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827" w:rsidRPr="009251F1" w:rsidRDefault="008F6827" w:rsidP="008F6827"/>
    <w:p w:rsidR="00BF1617" w:rsidRPr="009251F1" w:rsidRDefault="00BF1617" w:rsidP="009251F1">
      <w:pPr>
        <w:jc w:val="center"/>
        <w:rPr>
          <w:b/>
        </w:rPr>
      </w:pPr>
      <w:r w:rsidRPr="009251F1">
        <w:rPr>
          <w:b/>
        </w:rPr>
        <w:t>Library Support for th</w:t>
      </w:r>
      <w:r w:rsidR="00027151">
        <w:rPr>
          <w:b/>
        </w:rPr>
        <w:t xml:space="preserve">e Proposed </w:t>
      </w:r>
      <w:r w:rsidR="009251F1">
        <w:rPr>
          <w:b/>
        </w:rPr>
        <w:t>Software Engineering</w:t>
      </w:r>
      <w:r w:rsidRPr="009251F1">
        <w:rPr>
          <w:b/>
        </w:rPr>
        <w:t xml:space="preserve"> Program on Cascades Campus</w:t>
      </w:r>
    </w:p>
    <w:p w:rsidR="00BF1617" w:rsidRPr="009251F1" w:rsidRDefault="00BF1617" w:rsidP="00BF1617"/>
    <w:p w:rsidR="00BF1617" w:rsidRPr="009251F1" w:rsidRDefault="00BF1617" w:rsidP="00BF1617">
      <w:r w:rsidRPr="009251F1">
        <w:t xml:space="preserve">This report is an analysis of the capacity of the OSU Cascades local library collection and services, in combination with access to the resources of the whole of OSU Libraries and Summit, to support the proposed </w:t>
      </w:r>
      <w:r w:rsidR="009251F1">
        <w:t>Software Engineering</w:t>
      </w:r>
      <w:r w:rsidRPr="009251F1">
        <w:t xml:space="preserve"> degree on the Cascades campus. </w:t>
      </w:r>
    </w:p>
    <w:p w:rsidR="00635AEB" w:rsidRPr="009251F1" w:rsidRDefault="00635AEB">
      <w:pPr>
        <w:pStyle w:val="CommentText1"/>
        <w:rPr>
          <w:sz w:val="24"/>
          <w:szCs w:val="24"/>
        </w:rPr>
      </w:pPr>
    </w:p>
    <w:p w:rsidR="00635AEB" w:rsidRPr="009251F1" w:rsidRDefault="00635AEB">
      <w:pPr>
        <w:rPr>
          <w:b/>
        </w:rPr>
      </w:pPr>
      <w:r w:rsidRPr="009251F1">
        <w:rPr>
          <w:b/>
        </w:rPr>
        <w:t>Print Monographs and E-Books</w:t>
      </w:r>
    </w:p>
    <w:p w:rsidR="009251F1" w:rsidRDefault="00A76BFB">
      <w:r w:rsidRPr="009251F1">
        <w:t>Due to the size restrictions of the OSU Cascades Library, support for this program will depend on the OSU Valley Library in Corvallis and OSULP e-book collections</w:t>
      </w:r>
      <w:r w:rsidR="00691B91" w:rsidRPr="009251F1">
        <w:t>.</w:t>
      </w:r>
      <w:r w:rsidRPr="009251F1">
        <w:t xml:space="preserve">  The print collection at the Valley Library is available to OSU Cascades students by request and can be received within 3 working days.  The print collection is </w:t>
      </w:r>
      <w:r w:rsidR="009251F1">
        <w:t>strong, being significantly larger than the peer institutions identified (See Table 1).</w:t>
      </w:r>
    </w:p>
    <w:p w:rsidR="009251F1" w:rsidRDefault="009251F1"/>
    <w:p w:rsidR="00635AEB" w:rsidRPr="009251F1" w:rsidRDefault="009251F1">
      <w:pPr>
        <w:rPr>
          <w:b/>
        </w:rPr>
      </w:pPr>
      <w:r w:rsidRPr="009251F1">
        <w:rPr>
          <w:b/>
        </w:rPr>
        <w:t xml:space="preserve">Table 1. Software Engineering Print Monograph Holdings Comparison with Peer Institutions </w:t>
      </w:r>
    </w:p>
    <w:tbl>
      <w:tblPr>
        <w:tblW w:w="5000" w:type="pct"/>
        <w:tblLook w:val="04A0" w:firstRow="1" w:lastRow="0" w:firstColumn="1" w:lastColumn="0" w:noHBand="0" w:noVBand="1"/>
      </w:tblPr>
      <w:tblGrid>
        <w:gridCol w:w="2289"/>
        <w:gridCol w:w="885"/>
        <w:gridCol w:w="1623"/>
        <w:gridCol w:w="1449"/>
        <w:gridCol w:w="1393"/>
        <w:gridCol w:w="1711"/>
        <w:tblGridChange w:id="0">
          <w:tblGrid>
            <w:gridCol w:w="2289"/>
            <w:gridCol w:w="885"/>
            <w:gridCol w:w="1623"/>
            <w:gridCol w:w="1449"/>
            <w:gridCol w:w="1393"/>
            <w:gridCol w:w="1711"/>
          </w:tblGrid>
        </w:tblGridChange>
      </w:tblGrid>
      <w:tr w:rsidR="009251F1" w:rsidRPr="009251F1" w:rsidTr="000D02D5">
        <w:trPr>
          <w:trHeight w:val="980"/>
        </w:trPr>
        <w:tc>
          <w:tcPr>
            <w:tcW w:w="1224"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9251F1" w:rsidRPr="009251F1" w:rsidRDefault="009251F1" w:rsidP="009251F1">
            <w:pPr>
              <w:rPr>
                <w:rFonts w:ascii="Calibri" w:eastAsia="Times New Roman" w:hAnsi="Calibri"/>
                <w:b/>
                <w:bCs/>
                <w:sz w:val="22"/>
                <w:szCs w:val="22"/>
              </w:rPr>
            </w:pPr>
            <w:r w:rsidRPr="009251F1">
              <w:rPr>
                <w:rFonts w:ascii="Calibri" w:eastAsia="Times New Roman" w:hAnsi="Calibri"/>
                <w:b/>
                <w:bCs/>
                <w:sz w:val="22"/>
                <w:szCs w:val="22"/>
              </w:rPr>
              <w:t>Subject terms</w:t>
            </w:r>
          </w:p>
        </w:tc>
        <w:tc>
          <w:tcPr>
            <w:tcW w:w="473" w:type="pct"/>
            <w:tcBorders>
              <w:top w:val="single" w:sz="4" w:space="0" w:color="auto"/>
              <w:left w:val="nil"/>
              <w:bottom w:val="single" w:sz="4" w:space="0" w:color="auto"/>
              <w:right w:val="single" w:sz="4" w:space="0" w:color="auto"/>
            </w:tcBorders>
            <w:shd w:val="clear" w:color="auto" w:fill="auto"/>
            <w:vAlign w:val="bottom"/>
            <w:hideMark/>
          </w:tcPr>
          <w:p w:rsidR="009251F1" w:rsidRPr="009251F1" w:rsidRDefault="009251F1" w:rsidP="009251F1">
            <w:pPr>
              <w:rPr>
                <w:rFonts w:ascii="Calibri" w:eastAsia="Times New Roman" w:hAnsi="Calibri"/>
                <w:b/>
                <w:bCs/>
                <w:sz w:val="22"/>
                <w:szCs w:val="22"/>
              </w:rPr>
            </w:pPr>
            <w:r w:rsidRPr="009251F1">
              <w:rPr>
                <w:rFonts w:ascii="Calibri" w:eastAsia="Times New Roman" w:hAnsi="Calibri"/>
                <w:b/>
                <w:bCs/>
                <w:sz w:val="22"/>
                <w:szCs w:val="22"/>
              </w:rPr>
              <w:t>OSU (ORE)</w:t>
            </w:r>
          </w:p>
        </w:tc>
        <w:tc>
          <w:tcPr>
            <w:tcW w:w="868" w:type="pct"/>
            <w:tcBorders>
              <w:top w:val="single" w:sz="4" w:space="0" w:color="auto"/>
              <w:left w:val="nil"/>
              <w:bottom w:val="single" w:sz="4" w:space="0" w:color="auto"/>
              <w:right w:val="single" w:sz="4" w:space="0" w:color="auto"/>
            </w:tcBorders>
            <w:shd w:val="clear" w:color="auto" w:fill="auto"/>
            <w:vAlign w:val="bottom"/>
            <w:hideMark/>
          </w:tcPr>
          <w:p w:rsidR="009251F1" w:rsidRPr="009251F1" w:rsidRDefault="009251F1" w:rsidP="009251F1">
            <w:pPr>
              <w:rPr>
                <w:rFonts w:ascii="Calibri" w:eastAsia="Times New Roman" w:hAnsi="Calibri"/>
                <w:b/>
                <w:bCs/>
                <w:sz w:val="22"/>
                <w:szCs w:val="22"/>
              </w:rPr>
            </w:pPr>
            <w:r w:rsidRPr="009251F1">
              <w:rPr>
                <w:rFonts w:ascii="Calibri" w:eastAsia="Times New Roman" w:hAnsi="Calibri"/>
                <w:b/>
                <w:bCs/>
                <w:sz w:val="22"/>
                <w:szCs w:val="22"/>
              </w:rPr>
              <w:t>Oregon Institute of Technology (OIT)</w:t>
            </w:r>
          </w:p>
        </w:tc>
        <w:tc>
          <w:tcPr>
            <w:tcW w:w="775" w:type="pct"/>
            <w:tcBorders>
              <w:top w:val="single" w:sz="4" w:space="0" w:color="auto"/>
              <w:left w:val="nil"/>
              <w:bottom w:val="single" w:sz="4" w:space="0" w:color="auto"/>
              <w:right w:val="single" w:sz="4" w:space="0" w:color="auto"/>
            </w:tcBorders>
            <w:shd w:val="clear" w:color="auto" w:fill="auto"/>
            <w:vAlign w:val="bottom"/>
            <w:hideMark/>
          </w:tcPr>
          <w:p w:rsidR="009251F1" w:rsidRPr="009251F1" w:rsidRDefault="009251F1" w:rsidP="009251F1">
            <w:pPr>
              <w:rPr>
                <w:rFonts w:ascii="Calibri" w:eastAsia="Times New Roman" w:hAnsi="Calibri"/>
                <w:b/>
                <w:bCs/>
                <w:sz w:val="22"/>
                <w:szCs w:val="22"/>
              </w:rPr>
            </w:pPr>
            <w:r w:rsidRPr="009251F1">
              <w:rPr>
                <w:rFonts w:ascii="Calibri" w:eastAsia="Times New Roman" w:hAnsi="Calibri"/>
                <w:b/>
                <w:bCs/>
                <w:sz w:val="22"/>
                <w:szCs w:val="22"/>
              </w:rPr>
              <w:t>Portland State University (ORZ)</w:t>
            </w:r>
          </w:p>
        </w:tc>
        <w:tc>
          <w:tcPr>
            <w:tcW w:w="745" w:type="pct"/>
            <w:tcBorders>
              <w:top w:val="single" w:sz="4" w:space="0" w:color="auto"/>
              <w:left w:val="nil"/>
              <w:bottom w:val="single" w:sz="4" w:space="0" w:color="auto"/>
              <w:right w:val="single" w:sz="4" w:space="0" w:color="auto"/>
            </w:tcBorders>
            <w:shd w:val="clear" w:color="auto" w:fill="auto"/>
            <w:vAlign w:val="bottom"/>
            <w:hideMark/>
          </w:tcPr>
          <w:p w:rsidR="009251F1" w:rsidRPr="009251F1" w:rsidRDefault="009251F1" w:rsidP="009251F1">
            <w:pPr>
              <w:rPr>
                <w:rFonts w:ascii="Calibri" w:eastAsia="Times New Roman" w:hAnsi="Calibri"/>
                <w:b/>
                <w:bCs/>
                <w:sz w:val="22"/>
                <w:szCs w:val="22"/>
              </w:rPr>
            </w:pPr>
            <w:r w:rsidRPr="009251F1">
              <w:rPr>
                <w:rFonts w:ascii="Calibri" w:eastAsia="Times New Roman" w:hAnsi="Calibri"/>
                <w:b/>
                <w:bCs/>
                <w:sz w:val="22"/>
                <w:szCs w:val="22"/>
              </w:rPr>
              <w:t>University of Oregon (ORU)</w:t>
            </w:r>
          </w:p>
        </w:tc>
        <w:tc>
          <w:tcPr>
            <w:tcW w:w="915" w:type="pct"/>
            <w:tcBorders>
              <w:top w:val="single" w:sz="4" w:space="0" w:color="auto"/>
              <w:left w:val="nil"/>
              <w:bottom w:val="single" w:sz="4" w:space="0" w:color="auto"/>
              <w:right w:val="single" w:sz="4" w:space="0" w:color="auto"/>
            </w:tcBorders>
            <w:shd w:val="clear" w:color="auto" w:fill="auto"/>
            <w:vAlign w:val="bottom"/>
            <w:hideMark/>
          </w:tcPr>
          <w:p w:rsidR="009251F1" w:rsidRPr="009251F1" w:rsidRDefault="009251F1" w:rsidP="009251F1">
            <w:pPr>
              <w:rPr>
                <w:rFonts w:ascii="Calibri" w:eastAsia="Times New Roman" w:hAnsi="Calibri"/>
                <w:b/>
                <w:bCs/>
                <w:sz w:val="22"/>
                <w:szCs w:val="22"/>
              </w:rPr>
            </w:pPr>
            <w:r w:rsidRPr="009251F1">
              <w:rPr>
                <w:rFonts w:ascii="Calibri" w:eastAsia="Times New Roman" w:hAnsi="Calibri"/>
                <w:b/>
                <w:bCs/>
                <w:sz w:val="22"/>
                <w:szCs w:val="22"/>
              </w:rPr>
              <w:t>Rose-Hulman Institute of Technology (IRQ)</w:t>
            </w:r>
          </w:p>
        </w:tc>
      </w:tr>
      <w:tr w:rsidR="009251F1" w:rsidRPr="009251F1" w:rsidTr="009251F1">
        <w:trPr>
          <w:trHeight w:val="300"/>
        </w:trPr>
        <w:tc>
          <w:tcPr>
            <w:tcW w:w="1224" w:type="pct"/>
            <w:tcBorders>
              <w:top w:val="nil"/>
              <w:left w:val="single" w:sz="4" w:space="0" w:color="auto"/>
              <w:bottom w:val="single" w:sz="4" w:space="0" w:color="auto"/>
              <w:right w:val="single" w:sz="4" w:space="0" w:color="auto"/>
            </w:tcBorders>
            <w:shd w:val="clear" w:color="auto" w:fill="auto"/>
            <w:noWrap/>
            <w:vAlign w:val="bottom"/>
            <w:hideMark/>
          </w:tcPr>
          <w:p w:rsidR="009251F1" w:rsidRPr="009251F1" w:rsidRDefault="009251F1" w:rsidP="009251F1">
            <w:pPr>
              <w:rPr>
                <w:rFonts w:ascii="Calibri" w:eastAsia="Times New Roman" w:hAnsi="Calibri"/>
                <w:sz w:val="22"/>
                <w:szCs w:val="22"/>
              </w:rPr>
            </w:pPr>
            <w:r w:rsidRPr="009251F1">
              <w:rPr>
                <w:rFonts w:ascii="Calibri" w:eastAsia="Times New Roman" w:hAnsi="Calibri"/>
                <w:sz w:val="22"/>
                <w:szCs w:val="22"/>
              </w:rPr>
              <w:t>Computer programs</w:t>
            </w:r>
          </w:p>
        </w:tc>
        <w:tc>
          <w:tcPr>
            <w:tcW w:w="473"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3,005</w:t>
            </w:r>
          </w:p>
        </w:tc>
        <w:tc>
          <w:tcPr>
            <w:tcW w:w="868"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1,232</w:t>
            </w:r>
          </w:p>
        </w:tc>
        <w:tc>
          <w:tcPr>
            <w:tcW w:w="77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2,516</w:t>
            </w:r>
          </w:p>
        </w:tc>
        <w:tc>
          <w:tcPr>
            <w:tcW w:w="74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2,024</w:t>
            </w:r>
          </w:p>
        </w:tc>
        <w:tc>
          <w:tcPr>
            <w:tcW w:w="91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393</w:t>
            </w:r>
          </w:p>
        </w:tc>
      </w:tr>
      <w:tr w:rsidR="009251F1" w:rsidRPr="009251F1" w:rsidTr="009251F1">
        <w:trPr>
          <w:trHeight w:val="300"/>
        </w:trPr>
        <w:tc>
          <w:tcPr>
            <w:tcW w:w="1224" w:type="pct"/>
            <w:tcBorders>
              <w:top w:val="nil"/>
              <w:left w:val="single" w:sz="4" w:space="0" w:color="auto"/>
              <w:bottom w:val="single" w:sz="4" w:space="0" w:color="auto"/>
              <w:right w:val="single" w:sz="4" w:space="0" w:color="auto"/>
            </w:tcBorders>
            <w:shd w:val="clear" w:color="auto" w:fill="auto"/>
            <w:noWrap/>
            <w:vAlign w:val="bottom"/>
            <w:hideMark/>
          </w:tcPr>
          <w:p w:rsidR="009251F1" w:rsidRPr="009251F1" w:rsidRDefault="009251F1" w:rsidP="009251F1">
            <w:pPr>
              <w:rPr>
                <w:rFonts w:ascii="Calibri" w:eastAsia="Times New Roman" w:hAnsi="Calibri"/>
                <w:sz w:val="22"/>
                <w:szCs w:val="22"/>
              </w:rPr>
            </w:pPr>
            <w:r w:rsidRPr="009251F1">
              <w:rPr>
                <w:rFonts w:ascii="Calibri" w:eastAsia="Times New Roman" w:hAnsi="Calibri"/>
                <w:sz w:val="22"/>
                <w:szCs w:val="22"/>
              </w:rPr>
              <w:t>Computer science</w:t>
            </w:r>
          </w:p>
        </w:tc>
        <w:tc>
          <w:tcPr>
            <w:tcW w:w="473"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3,786</w:t>
            </w:r>
          </w:p>
        </w:tc>
        <w:tc>
          <w:tcPr>
            <w:tcW w:w="868"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524</w:t>
            </w:r>
          </w:p>
        </w:tc>
        <w:tc>
          <w:tcPr>
            <w:tcW w:w="77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1,868</w:t>
            </w:r>
          </w:p>
        </w:tc>
        <w:tc>
          <w:tcPr>
            <w:tcW w:w="74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1,768</w:t>
            </w:r>
          </w:p>
        </w:tc>
        <w:tc>
          <w:tcPr>
            <w:tcW w:w="91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195</w:t>
            </w:r>
          </w:p>
        </w:tc>
      </w:tr>
      <w:tr w:rsidR="009251F1" w:rsidRPr="009251F1" w:rsidTr="009251F1">
        <w:trPr>
          <w:trHeight w:val="300"/>
        </w:trPr>
        <w:tc>
          <w:tcPr>
            <w:tcW w:w="1224" w:type="pct"/>
            <w:tcBorders>
              <w:top w:val="nil"/>
              <w:left w:val="single" w:sz="4" w:space="0" w:color="auto"/>
              <w:bottom w:val="single" w:sz="4" w:space="0" w:color="auto"/>
              <w:right w:val="single" w:sz="4" w:space="0" w:color="auto"/>
            </w:tcBorders>
            <w:shd w:val="clear" w:color="auto" w:fill="auto"/>
            <w:noWrap/>
            <w:vAlign w:val="bottom"/>
            <w:hideMark/>
          </w:tcPr>
          <w:p w:rsidR="009251F1" w:rsidRPr="009251F1" w:rsidRDefault="009251F1" w:rsidP="009251F1">
            <w:pPr>
              <w:rPr>
                <w:rFonts w:ascii="Calibri" w:eastAsia="Times New Roman" w:hAnsi="Calibri"/>
                <w:sz w:val="22"/>
                <w:szCs w:val="22"/>
              </w:rPr>
            </w:pPr>
            <w:r w:rsidRPr="009251F1">
              <w:rPr>
                <w:rFonts w:ascii="Calibri" w:eastAsia="Times New Roman" w:hAnsi="Calibri"/>
                <w:sz w:val="22"/>
                <w:szCs w:val="22"/>
              </w:rPr>
              <w:t>Computer software</w:t>
            </w:r>
          </w:p>
        </w:tc>
        <w:tc>
          <w:tcPr>
            <w:tcW w:w="473"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1,655</w:t>
            </w:r>
          </w:p>
        </w:tc>
        <w:tc>
          <w:tcPr>
            <w:tcW w:w="868"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284</w:t>
            </w:r>
          </w:p>
        </w:tc>
        <w:tc>
          <w:tcPr>
            <w:tcW w:w="77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680</w:t>
            </w:r>
          </w:p>
        </w:tc>
        <w:tc>
          <w:tcPr>
            <w:tcW w:w="74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526</w:t>
            </w:r>
          </w:p>
        </w:tc>
        <w:tc>
          <w:tcPr>
            <w:tcW w:w="91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85</w:t>
            </w:r>
          </w:p>
        </w:tc>
      </w:tr>
      <w:tr w:rsidR="009251F1" w:rsidRPr="009251F1" w:rsidTr="009251F1">
        <w:trPr>
          <w:trHeight w:val="300"/>
        </w:trPr>
        <w:tc>
          <w:tcPr>
            <w:tcW w:w="1224" w:type="pct"/>
            <w:tcBorders>
              <w:top w:val="nil"/>
              <w:left w:val="single" w:sz="4" w:space="0" w:color="auto"/>
              <w:bottom w:val="single" w:sz="4" w:space="0" w:color="auto"/>
              <w:right w:val="single" w:sz="4" w:space="0" w:color="auto"/>
            </w:tcBorders>
            <w:shd w:val="clear" w:color="auto" w:fill="auto"/>
            <w:noWrap/>
            <w:vAlign w:val="bottom"/>
            <w:hideMark/>
          </w:tcPr>
          <w:p w:rsidR="009251F1" w:rsidRPr="009251F1" w:rsidRDefault="009251F1" w:rsidP="009251F1">
            <w:pPr>
              <w:rPr>
                <w:rFonts w:ascii="Calibri" w:eastAsia="Times New Roman" w:hAnsi="Calibri"/>
                <w:sz w:val="22"/>
                <w:szCs w:val="22"/>
              </w:rPr>
            </w:pPr>
            <w:r w:rsidRPr="009251F1">
              <w:rPr>
                <w:rFonts w:ascii="Calibri" w:eastAsia="Times New Roman" w:hAnsi="Calibri"/>
                <w:sz w:val="22"/>
                <w:szCs w:val="22"/>
              </w:rPr>
              <w:t>Open source</w:t>
            </w:r>
          </w:p>
        </w:tc>
        <w:tc>
          <w:tcPr>
            <w:tcW w:w="473"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59</w:t>
            </w:r>
          </w:p>
        </w:tc>
        <w:tc>
          <w:tcPr>
            <w:tcW w:w="868"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8</w:t>
            </w:r>
          </w:p>
        </w:tc>
        <w:tc>
          <w:tcPr>
            <w:tcW w:w="77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16</w:t>
            </w:r>
          </w:p>
        </w:tc>
        <w:tc>
          <w:tcPr>
            <w:tcW w:w="74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49</w:t>
            </w:r>
          </w:p>
        </w:tc>
        <w:tc>
          <w:tcPr>
            <w:tcW w:w="91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4</w:t>
            </w:r>
          </w:p>
        </w:tc>
      </w:tr>
      <w:tr w:rsidR="009251F1" w:rsidRPr="009251F1" w:rsidTr="009251F1">
        <w:trPr>
          <w:trHeight w:val="300"/>
        </w:trPr>
        <w:tc>
          <w:tcPr>
            <w:tcW w:w="1224" w:type="pct"/>
            <w:tcBorders>
              <w:top w:val="nil"/>
              <w:left w:val="single" w:sz="4" w:space="0" w:color="auto"/>
              <w:bottom w:val="single" w:sz="4" w:space="0" w:color="auto"/>
              <w:right w:val="single" w:sz="4" w:space="0" w:color="auto"/>
            </w:tcBorders>
            <w:shd w:val="clear" w:color="auto" w:fill="auto"/>
            <w:noWrap/>
            <w:vAlign w:val="bottom"/>
            <w:hideMark/>
          </w:tcPr>
          <w:p w:rsidR="009251F1" w:rsidRPr="009251F1" w:rsidRDefault="009251F1" w:rsidP="009251F1">
            <w:pPr>
              <w:rPr>
                <w:rFonts w:ascii="Calibri" w:eastAsia="Times New Roman" w:hAnsi="Calibri"/>
                <w:sz w:val="22"/>
                <w:szCs w:val="22"/>
              </w:rPr>
            </w:pPr>
            <w:r w:rsidRPr="009251F1">
              <w:rPr>
                <w:rFonts w:ascii="Calibri" w:eastAsia="Times New Roman" w:hAnsi="Calibri"/>
                <w:sz w:val="22"/>
                <w:szCs w:val="22"/>
              </w:rPr>
              <w:t>Programming language</w:t>
            </w:r>
          </w:p>
        </w:tc>
        <w:tc>
          <w:tcPr>
            <w:tcW w:w="473"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1,110</w:t>
            </w:r>
          </w:p>
        </w:tc>
        <w:tc>
          <w:tcPr>
            <w:tcW w:w="868"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618</w:t>
            </w:r>
          </w:p>
        </w:tc>
        <w:tc>
          <w:tcPr>
            <w:tcW w:w="77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788</w:t>
            </w:r>
          </w:p>
        </w:tc>
        <w:tc>
          <w:tcPr>
            <w:tcW w:w="74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668</w:t>
            </w:r>
          </w:p>
        </w:tc>
        <w:tc>
          <w:tcPr>
            <w:tcW w:w="91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185</w:t>
            </w:r>
          </w:p>
        </w:tc>
      </w:tr>
      <w:tr w:rsidR="009251F1" w:rsidRPr="009251F1" w:rsidTr="009251F1">
        <w:trPr>
          <w:trHeight w:val="300"/>
        </w:trPr>
        <w:tc>
          <w:tcPr>
            <w:tcW w:w="1224" w:type="pct"/>
            <w:tcBorders>
              <w:top w:val="nil"/>
              <w:left w:val="single" w:sz="4" w:space="0" w:color="auto"/>
              <w:bottom w:val="single" w:sz="4" w:space="0" w:color="auto"/>
              <w:right w:val="single" w:sz="4" w:space="0" w:color="auto"/>
            </w:tcBorders>
            <w:shd w:val="clear" w:color="auto" w:fill="auto"/>
            <w:vAlign w:val="bottom"/>
            <w:hideMark/>
          </w:tcPr>
          <w:p w:rsidR="009251F1" w:rsidRPr="009251F1" w:rsidRDefault="009251F1" w:rsidP="009251F1">
            <w:pPr>
              <w:rPr>
                <w:rFonts w:ascii="Calibri" w:eastAsia="Times New Roman" w:hAnsi="Calibri"/>
                <w:sz w:val="22"/>
                <w:szCs w:val="22"/>
              </w:rPr>
            </w:pPr>
            <w:r w:rsidRPr="009251F1">
              <w:rPr>
                <w:rFonts w:ascii="Calibri" w:eastAsia="Times New Roman" w:hAnsi="Calibri"/>
                <w:sz w:val="22"/>
                <w:szCs w:val="22"/>
              </w:rPr>
              <w:t>Software architecture</w:t>
            </w:r>
          </w:p>
        </w:tc>
        <w:tc>
          <w:tcPr>
            <w:tcW w:w="473"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184</w:t>
            </w:r>
          </w:p>
        </w:tc>
        <w:tc>
          <w:tcPr>
            <w:tcW w:w="868"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18</w:t>
            </w:r>
          </w:p>
        </w:tc>
        <w:tc>
          <w:tcPr>
            <w:tcW w:w="77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47</w:t>
            </w:r>
          </w:p>
        </w:tc>
        <w:tc>
          <w:tcPr>
            <w:tcW w:w="74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38</w:t>
            </w:r>
          </w:p>
        </w:tc>
        <w:tc>
          <w:tcPr>
            <w:tcW w:w="91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8</w:t>
            </w:r>
          </w:p>
        </w:tc>
      </w:tr>
      <w:tr w:rsidR="009251F1" w:rsidRPr="009251F1" w:rsidTr="009251F1">
        <w:trPr>
          <w:trHeight w:val="300"/>
        </w:trPr>
        <w:tc>
          <w:tcPr>
            <w:tcW w:w="1224" w:type="pct"/>
            <w:tcBorders>
              <w:top w:val="nil"/>
              <w:left w:val="single" w:sz="4" w:space="0" w:color="auto"/>
              <w:bottom w:val="single" w:sz="4" w:space="0" w:color="auto"/>
              <w:right w:val="single" w:sz="4" w:space="0" w:color="auto"/>
            </w:tcBorders>
            <w:shd w:val="clear" w:color="auto" w:fill="auto"/>
            <w:noWrap/>
            <w:vAlign w:val="bottom"/>
            <w:hideMark/>
          </w:tcPr>
          <w:p w:rsidR="009251F1" w:rsidRPr="009251F1" w:rsidRDefault="009251F1" w:rsidP="009251F1">
            <w:pPr>
              <w:rPr>
                <w:rFonts w:ascii="Calibri" w:eastAsia="Times New Roman" w:hAnsi="Calibri"/>
                <w:sz w:val="22"/>
                <w:szCs w:val="22"/>
              </w:rPr>
            </w:pPr>
            <w:r w:rsidRPr="009251F1">
              <w:rPr>
                <w:rFonts w:ascii="Calibri" w:eastAsia="Times New Roman" w:hAnsi="Calibri"/>
                <w:sz w:val="22"/>
                <w:szCs w:val="22"/>
              </w:rPr>
              <w:t>Software development</w:t>
            </w:r>
          </w:p>
        </w:tc>
        <w:tc>
          <w:tcPr>
            <w:tcW w:w="473" w:type="pct"/>
            <w:tcBorders>
              <w:top w:val="nil"/>
              <w:left w:val="nil"/>
              <w:bottom w:val="single" w:sz="4" w:space="0" w:color="auto"/>
              <w:right w:val="single" w:sz="4" w:space="0" w:color="auto"/>
            </w:tcBorders>
            <w:shd w:val="clear" w:color="auto" w:fill="auto"/>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817</w:t>
            </w:r>
          </w:p>
        </w:tc>
        <w:tc>
          <w:tcPr>
            <w:tcW w:w="868" w:type="pct"/>
            <w:tcBorders>
              <w:top w:val="nil"/>
              <w:left w:val="nil"/>
              <w:bottom w:val="single" w:sz="4" w:space="0" w:color="auto"/>
              <w:right w:val="single" w:sz="4" w:space="0" w:color="auto"/>
            </w:tcBorders>
            <w:shd w:val="clear" w:color="auto" w:fill="auto"/>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165</w:t>
            </w:r>
          </w:p>
        </w:tc>
        <w:tc>
          <w:tcPr>
            <w:tcW w:w="775" w:type="pct"/>
            <w:tcBorders>
              <w:top w:val="nil"/>
              <w:left w:val="nil"/>
              <w:bottom w:val="single" w:sz="4" w:space="0" w:color="auto"/>
              <w:right w:val="single" w:sz="4" w:space="0" w:color="auto"/>
            </w:tcBorders>
            <w:shd w:val="clear" w:color="auto" w:fill="auto"/>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251</w:t>
            </w:r>
          </w:p>
        </w:tc>
        <w:tc>
          <w:tcPr>
            <w:tcW w:w="745" w:type="pct"/>
            <w:tcBorders>
              <w:top w:val="nil"/>
              <w:left w:val="nil"/>
              <w:bottom w:val="single" w:sz="4" w:space="0" w:color="auto"/>
              <w:right w:val="single" w:sz="4" w:space="0" w:color="auto"/>
            </w:tcBorders>
            <w:shd w:val="clear" w:color="auto" w:fill="auto"/>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227</w:t>
            </w:r>
          </w:p>
        </w:tc>
        <w:tc>
          <w:tcPr>
            <w:tcW w:w="915" w:type="pct"/>
            <w:tcBorders>
              <w:top w:val="nil"/>
              <w:left w:val="nil"/>
              <w:bottom w:val="single" w:sz="4" w:space="0" w:color="auto"/>
              <w:right w:val="single" w:sz="4" w:space="0" w:color="auto"/>
            </w:tcBorders>
            <w:shd w:val="clear" w:color="auto" w:fill="auto"/>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60</w:t>
            </w:r>
          </w:p>
        </w:tc>
      </w:tr>
      <w:tr w:rsidR="009251F1" w:rsidRPr="009251F1" w:rsidTr="009251F1">
        <w:trPr>
          <w:trHeight w:val="300"/>
        </w:trPr>
        <w:tc>
          <w:tcPr>
            <w:tcW w:w="1224" w:type="pct"/>
            <w:tcBorders>
              <w:top w:val="nil"/>
              <w:left w:val="single" w:sz="4" w:space="0" w:color="auto"/>
              <w:bottom w:val="single" w:sz="4" w:space="0" w:color="auto"/>
              <w:right w:val="single" w:sz="4" w:space="0" w:color="auto"/>
            </w:tcBorders>
            <w:shd w:val="clear" w:color="auto" w:fill="auto"/>
            <w:noWrap/>
            <w:vAlign w:val="bottom"/>
            <w:hideMark/>
          </w:tcPr>
          <w:p w:rsidR="009251F1" w:rsidRPr="009251F1" w:rsidRDefault="009251F1" w:rsidP="009251F1">
            <w:pPr>
              <w:rPr>
                <w:rFonts w:ascii="Calibri" w:eastAsia="Times New Roman" w:hAnsi="Calibri"/>
                <w:sz w:val="22"/>
                <w:szCs w:val="22"/>
              </w:rPr>
            </w:pPr>
            <w:r w:rsidRPr="009251F1">
              <w:rPr>
                <w:rFonts w:ascii="Calibri" w:eastAsia="Times New Roman" w:hAnsi="Calibri"/>
                <w:sz w:val="22"/>
                <w:szCs w:val="22"/>
              </w:rPr>
              <w:t>Software engineering</w:t>
            </w:r>
          </w:p>
        </w:tc>
        <w:tc>
          <w:tcPr>
            <w:tcW w:w="473"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759</w:t>
            </w:r>
          </w:p>
        </w:tc>
        <w:tc>
          <w:tcPr>
            <w:tcW w:w="868"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111</w:t>
            </w:r>
          </w:p>
        </w:tc>
        <w:tc>
          <w:tcPr>
            <w:tcW w:w="77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243</w:t>
            </w:r>
          </w:p>
        </w:tc>
        <w:tc>
          <w:tcPr>
            <w:tcW w:w="74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139</w:t>
            </w:r>
          </w:p>
        </w:tc>
        <w:tc>
          <w:tcPr>
            <w:tcW w:w="91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35</w:t>
            </w:r>
          </w:p>
        </w:tc>
      </w:tr>
      <w:tr w:rsidR="009251F1" w:rsidRPr="009251F1" w:rsidTr="009251F1">
        <w:trPr>
          <w:trHeight w:val="300"/>
        </w:trPr>
        <w:tc>
          <w:tcPr>
            <w:tcW w:w="1224" w:type="pct"/>
            <w:tcBorders>
              <w:top w:val="nil"/>
              <w:left w:val="single" w:sz="4" w:space="0" w:color="auto"/>
              <w:bottom w:val="single" w:sz="4" w:space="0" w:color="auto"/>
              <w:right w:val="single" w:sz="4" w:space="0" w:color="auto"/>
            </w:tcBorders>
            <w:shd w:val="clear" w:color="auto" w:fill="auto"/>
            <w:noWrap/>
            <w:vAlign w:val="bottom"/>
            <w:hideMark/>
          </w:tcPr>
          <w:p w:rsidR="009251F1" w:rsidRPr="009251F1" w:rsidRDefault="009251F1" w:rsidP="009251F1">
            <w:pPr>
              <w:rPr>
                <w:rFonts w:ascii="Calibri" w:eastAsia="Times New Roman" w:hAnsi="Calibri"/>
                <w:sz w:val="22"/>
                <w:szCs w:val="22"/>
              </w:rPr>
            </w:pPr>
            <w:r w:rsidRPr="009251F1">
              <w:rPr>
                <w:rFonts w:ascii="Calibri" w:eastAsia="Times New Roman" w:hAnsi="Calibri"/>
                <w:sz w:val="22"/>
                <w:szCs w:val="22"/>
              </w:rPr>
              <w:t>Total</w:t>
            </w:r>
          </w:p>
        </w:tc>
        <w:tc>
          <w:tcPr>
            <w:tcW w:w="473"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10,659</w:t>
            </w:r>
          </w:p>
        </w:tc>
        <w:tc>
          <w:tcPr>
            <w:tcW w:w="868"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2,187</w:t>
            </w:r>
          </w:p>
        </w:tc>
        <w:tc>
          <w:tcPr>
            <w:tcW w:w="77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5,304</w:t>
            </w:r>
          </w:p>
        </w:tc>
        <w:tc>
          <w:tcPr>
            <w:tcW w:w="74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4,525</w:t>
            </w:r>
          </w:p>
        </w:tc>
        <w:tc>
          <w:tcPr>
            <w:tcW w:w="915" w:type="pct"/>
            <w:tcBorders>
              <w:top w:val="nil"/>
              <w:left w:val="nil"/>
              <w:bottom w:val="single" w:sz="4" w:space="0" w:color="auto"/>
              <w:right w:val="single" w:sz="4" w:space="0" w:color="auto"/>
            </w:tcBorders>
            <w:shd w:val="clear" w:color="auto" w:fill="auto"/>
            <w:noWrap/>
            <w:vAlign w:val="bottom"/>
            <w:hideMark/>
          </w:tcPr>
          <w:p w:rsidR="009251F1" w:rsidRPr="009251F1" w:rsidRDefault="009251F1" w:rsidP="009251F1">
            <w:pPr>
              <w:jc w:val="right"/>
              <w:rPr>
                <w:rFonts w:ascii="Calibri" w:eastAsia="Times New Roman" w:hAnsi="Calibri"/>
                <w:sz w:val="22"/>
                <w:szCs w:val="22"/>
              </w:rPr>
            </w:pPr>
            <w:r w:rsidRPr="009251F1">
              <w:rPr>
                <w:rFonts w:ascii="Calibri" w:eastAsia="Times New Roman" w:hAnsi="Calibri"/>
                <w:sz w:val="22"/>
                <w:szCs w:val="22"/>
              </w:rPr>
              <w:t>707</w:t>
            </w:r>
          </w:p>
        </w:tc>
      </w:tr>
    </w:tbl>
    <w:p w:rsidR="004478B7" w:rsidRPr="009251F1" w:rsidRDefault="004478B7"/>
    <w:p w:rsidR="00EE6157" w:rsidRPr="009251F1" w:rsidRDefault="00635AEB" w:rsidP="00EE6157">
      <w:r w:rsidRPr="009251F1">
        <w:t>The gro</w:t>
      </w:r>
      <w:r w:rsidR="00EC78FE" w:rsidRPr="009251F1">
        <w:t>wing availability of e-</w:t>
      </w:r>
      <w:r w:rsidRPr="009251F1">
        <w:t xml:space="preserve">books makes it possible to expedite access to </w:t>
      </w:r>
      <w:r w:rsidR="003A353D" w:rsidRPr="009251F1">
        <w:t>more information from various locations</w:t>
      </w:r>
      <w:r w:rsidRPr="009251F1">
        <w:t xml:space="preserve">. This </w:t>
      </w:r>
      <w:r w:rsidR="00A76BFB" w:rsidRPr="009251F1">
        <w:t xml:space="preserve">immediate access </w:t>
      </w:r>
      <w:r w:rsidRPr="009251F1">
        <w:t xml:space="preserve">serves </w:t>
      </w:r>
      <w:r w:rsidR="00A76BFB" w:rsidRPr="009251F1">
        <w:t>the OSU Cascades students and faculty well.</w:t>
      </w:r>
      <w:r w:rsidRPr="009251F1">
        <w:t xml:space="preserve"> </w:t>
      </w:r>
      <w:r w:rsidR="00617A92" w:rsidRPr="009251F1">
        <w:t xml:space="preserve">Students at the </w:t>
      </w:r>
      <w:r w:rsidR="00A76BFB" w:rsidRPr="009251F1">
        <w:t xml:space="preserve">OSU Cascades </w:t>
      </w:r>
      <w:r w:rsidR="00617A92" w:rsidRPr="009251F1">
        <w:t xml:space="preserve">campus will have access to the e-books purchased </w:t>
      </w:r>
      <w:r w:rsidR="00870F4B" w:rsidRPr="009251F1">
        <w:t>centrally</w:t>
      </w:r>
      <w:r w:rsidR="00617A92" w:rsidRPr="009251F1">
        <w:t xml:space="preserve">, which includes </w:t>
      </w:r>
      <w:r w:rsidR="004B3BD5" w:rsidRPr="009251F1">
        <w:t xml:space="preserve">over </w:t>
      </w:r>
      <w:r w:rsidR="009251F1">
        <w:t xml:space="preserve">6,953 </w:t>
      </w:r>
      <w:r w:rsidR="00A76BFB" w:rsidRPr="009251F1">
        <w:t>titles</w:t>
      </w:r>
      <w:r w:rsidR="004B3BD5" w:rsidRPr="009251F1">
        <w:t xml:space="preserve"> in </w:t>
      </w:r>
      <w:r w:rsidR="009251F1">
        <w:t>software engineering</w:t>
      </w:r>
      <w:r w:rsidR="00A76BFB" w:rsidRPr="009251F1">
        <w:t>, in a collection of almost 400,000 titles</w:t>
      </w:r>
      <w:r w:rsidR="00617A92" w:rsidRPr="009251F1">
        <w:t>.</w:t>
      </w:r>
    </w:p>
    <w:p w:rsidR="00464F47" w:rsidRPr="009251F1" w:rsidRDefault="00464F47" w:rsidP="00EE6157"/>
    <w:p w:rsidR="00241E2D" w:rsidRPr="009251F1" w:rsidRDefault="00241E2D" w:rsidP="00241E2D">
      <w:r w:rsidRPr="009251F1">
        <w:t>OSU</w:t>
      </w:r>
      <w:r w:rsidR="005E7513" w:rsidRPr="009251F1">
        <w:t xml:space="preserve"> is served well by the </w:t>
      </w:r>
      <w:r w:rsidR="003D66D1" w:rsidRPr="009251F1">
        <w:t xml:space="preserve">OSULP </w:t>
      </w:r>
      <w:r w:rsidRPr="009251F1">
        <w:t>investment in the Orbis/Cascades Alliance, whose combined collection is substantial. Students and faculty can order from the collections of all the libraries in the Orbis Cascade Alliance through the Summit catalog. University of Oregon, Portland State University, University of Washington and Washington State University are some of the larger research libraries represented in the Summit catalog.  Books requested through Summi</w:t>
      </w:r>
      <w:r w:rsidR="005E7513" w:rsidRPr="009251F1">
        <w:t xml:space="preserve">t are delivered to </w:t>
      </w:r>
      <w:r w:rsidR="003D66D1" w:rsidRPr="009251F1">
        <w:t xml:space="preserve">OSULP </w:t>
      </w:r>
      <w:r w:rsidRPr="009251F1">
        <w:t xml:space="preserve">within three to five working days. </w:t>
      </w:r>
    </w:p>
    <w:p w:rsidR="00D333C0" w:rsidRPr="009251F1" w:rsidRDefault="00D333C0">
      <w:pPr>
        <w:rPr>
          <w:b/>
        </w:rPr>
      </w:pPr>
    </w:p>
    <w:p w:rsidR="00635AEB" w:rsidRPr="009251F1" w:rsidRDefault="00E83835" w:rsidP="000D02D5">
      <w:pPr>
        <w:keepNext/>
        <w:rPr>
          <w:b/>
        </w:rPr>
      </w:pPr>
      <w:r w:rsidRPr="009251F1">
        <w:rPr>
          <w:b/>
        </w:rPr>
        <w:t>Serials/Journals</w:t>
      </w:r>
    </w:p>
    <w:p w:rsidR="00126666" w:rsidRPr="009251F1" w:rsidRDefault="00245E48" w:rsidP="000D02D5">
      <w:pPr>
        <w:keepNext/>
      </w:pPr>
      <w:r w:rsidRPr="009251F1">
        <w:lastRenderedPageBreak/>
        <w:t>The</w:t>
      </w:r>
      <w:r w:rsidR="005E7513" w:rsidRPr="009251F1">
        <w:t xml:space="preserve"> OSUL</w:t>
      </w:r>
      <w:r w:rsidR="003D66D1" w:rsidRPr="009251F1">
        <w:t>P</w:t>
      </w:r>
      <w:r w:rsidR="00AB7D27" w:rsidRPr="009251F1">
        <w:t xml:space="preserve"> maintain </w:t>
      </w:r>
      <w:r w:rsidR="009251F1">
        <w:t>a strong journals collection in Software Engineering</w:t>
      </w:r>
      <w:r w:rsidR="00AB7D27" w:rsidRPr="009251F1">
        <w:t xml:space="preserve">. </w:t>
      </w:r>
      <w:r w:rsidR="009251F1">
        <w:t>Of the 106 journals in the Computer Science—Software Engineering Category in Web of Science,  OSULP has access to 83 titles</w:t>
      </w:r>
      <w:r w:rsidR="000D02D5">
        <w:t xml:space="preserve"> (78%)</w:t>
      </w:r>
      <w:r w:rsidR="009251F1">
        <w:t>, including all</w:t>
      </w:r>
      <w:r w:rsidR="000D02D5">
        <w:t xml:space="preserve"> 27</w:t>
      </w:r>
      <w:r w:rsidR="009251F1">
        <w:t xml:space="preserve"> of the high-impact journals (Impact Factor &gt; 2).</w:t>
      </w:r>
      <w:r w:rsidR="00AB7D27" w:rsidRPr="009251F1">
        <w:t xml:space="preserve"> </w:t>
      </w:r>
      <w:r w:rsidR="009251F1">
        <w:t xml:space="preserve">All of these subscriptions </w:t>
      </w:r>
      <w:r w:rsidR="00A76BFB" w:rsidRPr="009251F1">
        <w:t>are for electronic access to the articles, so OSU Cascades students have immediate access to the content</w:t>
      </w:r>
      <w:r w:rsidR="00126666" w:rsidRPr="009251F1">
        <w:t xml:space="preserve">. </w:t>
      </w:r>
      <w:r w:rsidR="00AB7D27" w:rsidRPr="009251F1">
        <w:t xml:space="preserve">There is concern that with regular price increases to our licenses and a flat budget that access may be </w:t>
      </w:r>
      <w:r w:rsidR="005E7513" w:rsidRPr="009251F1">
        <w:t>eroded over time.  The OSUL</w:t>
      </w:r>
      <w:r w:rsidR="003D66D1" w:rsidRPr="009251F1">
        <w:t>P</w:t>
      </w:r>
      <w:r w:rsidR="005E7513" w:rsidRPr="009251F1">
        <w:t xml:space="preserve"> already have</w:t>
      </w:r>
      <w:r w:rsidR="00AB7D27" w:rsidRPr="009251F1">
        <w:t xml:space="preserve"> sacrificed timely access to some titles in favor of an embargo period to cut costs.  </w:t>
      </w:r>
    </w:p>
    <w:p w:rsidR="00D333C0" w:rsidRPr="009251F1" w:rsidRDefault="00D333C0">
      <w:pPr>
        <w:rPr>
          <w:b/>
        </w:rPr>
      </w:pPr>
    </w:p>
    <w:p w:rsidR="00635AEB" w:rsidRPr="009251F1" w:rsidRDefault="00635AEB">
      <w:pPr>
        <w:rPr>
          <w:b/>
        </w:rPr>
      </w:pPr>
      <w:r w:rsidRPr="009251F1">
        <w:rPr>
          <w:b/>
        </w:rPr>
        <w:t>Indexes and Databases</w:t>
      </w:r>
    </w:p>
    <w:p w:rsidR="00635AEB" w:rsidRPr="009251F1" w:rsidRDefault="00EC78FE">
      <w:r w:rsidRPr="009251F1">
        <w:t xml:space="preserve">The core indexes to the relevant information for this program are </w:t>
      </w:r>
      <w:r w:rsidR="00AA6C06" w:rsidRPr="009251F1">
        <w:t xml:space="preserve">shown in Table </w:t>
      </w:r>
      <w:r w:rsidR="00953FD7">
        <w:t>2</w:t>
      </w:r>
      <w:r w:rsidR="00E704A9" w:rsidRPr="009251F1">
        <w:t>.</w:t>
      </w:r>
      <w:r w:rsidRPr="009251F1">
        <w:t xml:space="preserve">  The OSUL</w:t>
      </w:r>
      <w:r w:rsidR="003D66D1" w:rsidRPr="009251F1">
        <w:t>P</w:t>
      </w:r>
      <w:r w:rsidRPr="009251F1">
        <w:t xml:space="preserve"> maintain access to these </w:t>
      </w:r>
      <w:r w:rsidR="004412B4" w:rsidRPr="009251F1">
        <w:t xml:space="preserve">databases </w:t>
      </w:r>
      <w:r w:rsidR="00AA6C06" w:rsidRPr="009251F1">
        <w:t xml:space="preserve">as they </w:t>
      </w:r>
      <w:r w:rsidRPr="009251F1">
        <w:t xml:space="preserve">are core to </w:t>
      </w:r>
      <w:r w:rsidR="00535CD6" w:rsidRPr="009251F1">
        <w:t>a number</w:t>
      </w:r>
      <w:r w:rsidRPr="009251F1">
        <w:t xml:space="preserve"> of OSU’s primary research </w:t>
      </w:r>
      <w:r w:rsidR="00535CD6" w:rsidRPr="009251F1">
        <w:t xml:space="preserve">and teaching </w:t>
      </w:r>
      <w:r w:rsidRPr="009251F1">
        <w:t>areas.</w:t>
      </w:r>
    </w:p>
    <w:p w:rsidR="00AA6C06" w:rsidRPr="009251F1" w:rsidRDefault="00AA6C06"/>
    <w:p w:rsidR="00AA6C06" w:rsidRPr="000D02D5" w:rsidRDefault="00AA6C06">
      <w:pPr>
        <w:rPr>
          <w:b/>
        </w:rPr>
      </w:pPr>
      <w:r w:rsidRPr="000D02D5">
        <w:rPr>
          <w:b/>
        </w:rPr>
        <w:t xml:space="preserve">Table </w:t>
      </w:r>
      <w:r w:rsidR="00953FD7">
        <w:rPr>
          <w:b/>
        </w:rPr>
        <w:t>2</w:t>
      </w:r>
      <w:r w:rsidRPr="000D02D5">
        <w:rPr>
          <w:b/>
        </w:rPr>
        <w:t xml:space="preserve">: Indexes and Databases for </w:t>
      </w:r>
      <w:r w:rsidR="000D02D5" w:rsidRPr="000D02D5">
        <w:rPr>
          <w:b/>
        </w:rPr>
        <w:t>Software Engineering</w:t>
      </w:r>
    </w:p>
    <w:tbl>
      <w:tblPr>
        <w:tblStyle w:val="TableGrid"/>
        <w:tblW w:w="0" w:type="auto"/>
        <w:tblLook w:val="04A0" w:firstRow="1" w:lastRow="0" w:firstColumn="1" w:lastColumn="0" w:noHBand="0" w:noVBand="1"/>
      </w:tblPr>
      <w:tblGrid>
        <w:gridCol w:w="2364"/>
        <w:gridCol w:w="1952"/>
        <w:gridCol w:w="1889"/>
        <w:gridCol w:w="2651"/>
      </w:tblGrid>
      <w:tr w:rsidR="00043985" w:rsidRPr="000D02D5" w:rsidTr="00953FD7">
        <w:tc>
          <w:tcPr>
            <w:tcW w:w="2364" w:type="dxa"/>
          </w:tcPr>
          <w:p w:rsidR="00043985" w:rsidRPr="000D02D5" w:rsidRDefault="00043985">
            <w:pPr>
              <w:rPr>
                <w:b/>
              </w:rPr>
            </w:pPr>
            <w:r w:rsidRPr="000D02D5">
              <w:rPr>
                <w:b/>
              </w:rPr>
              <w:t>Databases</w:t>
            </w:r>
          </w:p>
        </w:tc>
        <w:tc>
          <w:tcPr>
            <w:tcW w:w="1952" w:type="dxa"/>
          </w:tcPr>
          <w:p w:rsidR="00043985" w:rsidRPr="000D02D5" w:rsidRDefault="00043985">
            <w:pPr>
              <w:rPr>
                <w:b/>
              </w:rPr>
            </w:pPr>
            <w:r w:rsidRPr="000D02D5">
              <w:rPr>
                <w:b/>
              </w:rPr>
              <w:t>Publisher</w:t>
            </w:r>
          </w:p>
        </w:tc>
        <w:tc>
          <w:tcPr>
            <w:tcW w:w="1889" w:type="dxa"/>
          </w:tcPr>
          <w:p w:rsidR="00043985" w:rsidRPr="000D02D5" w:rsidRDefault="00043985">
            <w:pPr>
              <w:rPr>
                <w:b/>
              </w:rPr>
            </w:pPr>
            <w:r w:rsidRPr="000D02D5">
              <w:rPr>
                <w:b/>
              </w:rPr>
              <w:t>Index Coverage</w:t>
            </w:r>
          </w:p>
        </w:tc>
        <w:tc>
          <w:tcPr>
            <w:tcW w:w="2651" w:type="dxa"/>
          </w:tcPr>
          <w:p w:rsidR="00043985" w:rsidRPr="000D02D5" w:rsidRDefault="00043985">
            <w:pPr>
              <w:rPr>
                <w:b/>
              </w:rPr>
            </w:pPr>
            <w:r w:rsidRPr="000D02D5">
              <w:rPr>
                <w:b/>
              </w:rPr>
              <w:t>Full Text Coverage</w:t>
            </w:r>
          </w:p>
        </w:tc>
      </w:tr>
      <w:tr w:rsidR="00043985" w:rsidRPr="000726CC" w:rsidTr="00953FD7">
        <w:tc>
          <w:tcPr>
            <w:tcW w:w="2364" w:type="dxa"/>
          </w:tcPr>
          <w:p w:rsidR="00043985" w:rsidRPr="009251F1" w:rsidRDefault="000D02D5">
            <w:r>
              <w:t>Compendex</w:t>
            </w:r>
          </w:p>
        </w:tc>
        <w:tc>
          <w:tcPr>
            <w:tcW w:w="1952" w:type="dxa"/>
          </w:tcPr>
          <w:p w:rsidR="00043985" w:rsidRPr="009251F1" w:rsidRDefault="000D02D5">
            <w:r>
              <w:t>Elsevier</w:t>
            </w:r>
          </w:p>
        </w:tc>
        <w:tc>
          <w:tcPr>
            <w:tcW w:w="1889" w:type="dxa"/>
          </w:tcPr>
          <w:p w:rsidR="00043985" w:rsidRPr="009251F1" w:rsidRDefault="000D02D5">
            <w:r>
              <w:t>1969-Present</w:t>
            </w:r>
          </w:p>
        </w:tc>
        <w:tc>
          <w:tcPr>
            <w:tcW w:w="2651" w:type="dxa"/>
          </w:tcPr>
          <w:p w:rsidR="00043985" w:rsidRPr="009251F1" w:rsidRDefault="000D02D5">
            <w:r>
              <w:t>Index Only</w:t>
            </w:r>
          </w:p>
        </w:tc>
      </w:tr>
      <w:tr w:rsidR="00043985" w:rsidRPr="000726CC" w:rsidTr="00953FD7">
        <w:tc>
          <w:tcPr>
            <w:tcW w:w="2364" w:type="dxa"/>
          </w:tcPr>
          <w:p w:rsidR="00043985" w:rsidRPr="009251F1" w:rsidRDefault="000D02D5">
            <w:r>
              <w:t>ACM Digital Library</w:t>
            </w:r>
          </w:p>
        </w:tc>
        <w:tc>
          <w:tcPr>
            <w:tcW w:w="1952" w:type="dxa"/>
          </w:tcPr>
          <w:p w:rsidR="00043985" w:rsidRPr="009251F1" w:rsidRDefault="000D02D5">
            <w:r>
              <w:t>ACM</w:t>
            </w:r>
          </w:p>
        </w:tc>
        <w:tc>
          <w:tcPr>
            <w:tcW w:w="1889" w:type="dxa"/>
          </w:tcPr>
          <w:p w:rsidR="00043985" w:rsidRPr="009251F1" w:rsidRDefault="000D02D5">
            <w:r>
              <w:t>1954-Present</w:t>
            </w:r>
          </w:p>
        </w:tc>
        <w:tc>
          <w:tcPr>
            <w:tcW w:w="2651" w:type="dxa"/>
          </w:tcPr>
          <w:p w:rsidR="00043985" w:rsidRPr="009251F1" w:rsidRDefault="000D02D5" w:rsidP="00D962BC">
            <w:r>
              <w:t>1954-Present</w:t>
            </w:r>
            <w:r w:rsidR="00D962BC">
              <w:t>; Includes j</w:t>
            </w:r>
            <w:r>
              <w:t xml:space="preserve">ournals and </w:t>
            </w:r>
            <w:r w:rsidR="00D962BC">
              <w:t>c</w:t>
            </w:r>
            <w:r>
              <w:t xml:space="preserve">onference </w:t>
            </w:r>
            <w:r w:rsidR="00D962BC">
              <w:t>p</w:t>
            </w:r>
            <w:r>
              <w:t>apers</w:t>
            </w:r>
          </w:p>
        </w:tc>
      </w:tr>
      <w:tr w:rsidR="00043985" w:rsidRPr="000726CC" w:rsidTr="00953FD7">
        <w:tc>
          <w:tcPr>
            <w:tcW w:w="2364" w:type="dxa"/>
          </w:tcPr>
          <w:p w:rsidR="00043985" w:rsidRPr="009251F1" w:rsidRDefault="000D02D5">
            <w:r>
              <w:t>IEEE Xplore</w:t>
            </w:r>
          </w:p>
        </w:tc>
        <w:tc>
          <w:tcPr>
            <w:tcW w:w="1952" w:type="dxa"/>
          </w:tcPr>
          <w:p w:rsidR="00043985" w:rsidRPr="009251F1" w:rsidRDefault="000D02D5">
            <w:r>
              <w:t>IEEE</w:t>
            </w:r>
          </w:p>
        </w:tc>
        <w:tc>
          <w:tcPr>
            <w:tcW w:w="1889" w:type="dxa"/>
          </w:tcPr>
          <w:p w:rsidR="00043985" w:rsidRPr="009251F1" w:rsidRDefault="000D02D5">
            <w:r>
              <w:t>1951-Present</w:t>
            </w:r>
          </w:p>
        </w:tc>
        <w:tc>
          <w:tcPr>
            <w:tcW w:w="2651" w:type="dxa"/>
          </w:tcPr>
          <w:p w:rsidR="00043985" w:rsidRPr="009251F1" w:rsidRDefault="000D02D5" w:rsidP="008F13D8">
            <w:r>
              <w:t xml:space="preserve">1951-Present; Includes </w:t>
            </w:r>
            <w:r w:rsidR="008F13D8">
              <w:t>j</w:t>
            </w:r>
            <w:r>
              <w:t xml:space="preserve">ournals, </w:t>
            </w:r>
            <w:r w:rsidR="008F13D8">
              <w:t>conference p</w:t>
            </w:r>
            <w:r>
              <w:t xml:space="preserve">apers, </w:t>
            </w:r>
            <w:r w:rsidR="008F13D8">
              <w:t>books, and s</w:t>
            </w:r>
            <w:r>
              <w:t>tandards</w:t>
            </w:r>
          </w:p>
        </w:tc>
      </w:tr>
      <w:tr w:rsidR="000D02D5" w:rsidRPr="000726CC" w:rsidTr="00953FD7">
        <w:tc>
          <w:tcPr>
            <w:tcW w:w="2364" w:type="dxa"/>
          </w:tcPr>
          <w:p w:rsidR="000D02D5" w:rsidRDefault="000D02D5">
            <w:r>
              <w:t>Morgan &amp; Claypool Synthesis Digita</w:t>
            </w:r>
            <w:bookmarkStart w:id="1" w:name="_GoBack"/>
            <w:bookmarkEnd w:id="1"/>
            <w:r>
              <w:t>l Library</w:t>
            </w:r>
          </w:p>
        </w:tc>
        <w:tc>
          <w:tcPr>
            <w:tcW w:w="1952" w:type="dxa"/>
          </w:tcPr>
          <w:p w:rsidR="000D02D5" w:rsidRDefault="000D02D5">
            <w:r>
              <w:t>Morgan &amp; Claypool</w:t>
            </w:r>
          </w:p>
        </w:tc>
        <w:tc>
          <w:tcPr>
            <w:tcW w:w="1889" w:type="dxa"/>
          </w:tcPr>
          <w:p w:rsidR="000D02D5" w:rsidRDefault="0012572E">
            <w:r>
              <w:t>2005-present</w:t>
            </w:r>
          </w:p>
        </w:tc>
        <w:tc>
          <w:tcPr>
            <w:tcW w:w="2651" w:type="dxa"/>
          </w:tcPr>
          <w:p w:rsidR="000D02D5" w:rsidRDefault="0012572E" w:rsidP="00953FD7">
            <w:r>
              <w:t>2005-present; short, authoritative e</w:t>
            </w:r>
            <w:r w:rsidR="00953FD7">
              <w:t>-</w:t>
            </w:r>
            <w:r>
              <w:t>books</w:t>
            </w:r>
          </w:p>
        </w:tc>
      </w:tr>
      <w:tr w:rsidR="00953FD7" w:rsidRPr="000726CC" w:rsidTr="00953FD7">
        <w:tc>
          <w:tcPr>
            <w:tcW w:w="2364" w:type="dxa"/>
          </w:tcPr>
          <w:p w:rsidR="00953FD7" w:rsidRDefault="00953FD7">
            <w:r>
              <w:t>Safari Books Online</w:t>
            </w:r>
          </w:p>
        </w:tc>
        <w:tc>
          <w:tcPr>
            <w:tcW w:w="1952" w:type="dxa"/>
          </w:tcPr>
          <w:p w:rsidR="00953FD7" w:rsidRDefault="00953FD7">
            <w:r>
              <w:t>Various</w:t>
            </w:r>
          </w:p>
        </w:tc>
        <w:tc>
          <w:tcPr>
            <w:tcW w:w="1889" w:type="dxa"/>
          </w:tcPr>
          <w:p w:rsidR="00953FD7" w:rsidRDefault="00953FD7">
            <w:r>
              <w:t>N/A</w:t>
            </w:r>
          </w:p>
        </w:tc>
        <w:tc>
          <w:tcPr>
            <w:tcW w:w="2651" w:type="dxa"/>
          </w:tcPr>
          <w:p w:rsidR="00953FD7" w:rsidRDefault="00953FD7" w:rsidP="00953FD7">
            <w:r>
              <w:t>Technology e-books; titles can be requested by contacting the Engineering Librarian</w:t>
            </w:r>
          </w:p>
        </w:tc>
      </w:tr>
    </w:tbl>
    <w:p w:rsidR="00D333C0" w:rsidRPr="009251F1" w:rsidRDefault="00D333C0"/>
    <w:p w:rsidR="00D333C0" w:rsidRPr="009251F1" w:rsidRDefault="00D333C0"/>
    <w:p w:rsidR="00E704A9" w:rsidRPr="009251F1" w:rsidRDefault="00E704A9">
      <w:pPr>
        <w:rPr>
          <w:b/>
        </w:rPr>
      </w:pPr>
      <w:r w:rsidRPr="009251F1">
        <w:rPr>
          <w:b/>
        </w:rPr>
        <w:t>Key library services &amp; librar</w:t>
      </w:r>
      <w:r w:rsidR="008F6827" w:rsidRPr="009251F1">
        <w:rPr>
          <w:b/>
        </w:rPr>
        <w:t>ian</w:t>
      </w:r>
      <w:r w:rsidRPr="009251F1">
        <w:rPr>
          <w:b/>
        </w:rPr>
        <w:t xml:space="preserve"> expertise</w:t>
      </w:r>
    </w:p>
    <w:p w:rsidR="008F6827" w:rsidRPr="009251F1" w:rsidRDefault="00E704A9" w:rsidP="008F6827">
      <w:r w:rsidRPr="009251F1">
        <w:t xml:space="preserve">Expertise </w:t>
      </w:r>
      <w:r w:rsidR="00AA6C06" w:rsidRPr="009251F1">
        <w:t>at OSU-Cascades</w:t>
      </w:r>
      <w:r w:rsidRPr="009251F1">
        <w:t xml:space="preserve"> is covered by </w:t>
      </w:r>
      <w:r w:rsidR="00953FD7">
        <w:t>Sami Kerzei</w:t>
      </w:r>
      <w:r w:rsidR="00AA6C06" w:rsidRPr="009251F1">
        <w:t xml:space="preserve">, </w:t>
      </w:r>
      <w:r w:rsidR="00953FD7">
        <w:t>who</w:t>
      </w:r>
      <w:r w:rsidR="008F6827" w:rsidRPr="009251F1">
        <w:t xml:space="preserve"> provides instruction as requested either in-class or via the web, responds to reference inquiries, and develops materials to assist faculty members and students in their research.  </w:t>
      </w:r>
    </w:p>
    <w:p w:rsidR="008F6827" w:rsidRPr="009251F1" w:rsidRDefault="008F6827" w:rsidP="008F6827"/>
    <w:p w:rsidR="003D66D1" w:rsidRPr="009251F1" w:rsidRDefault="00953FD7" w:rsidP="00E704A9">
      <w:r>
        <w:t>The liaison for the College of Engineering is Lindsay Marlow</w:t>
      </w:r>
      <w:r w:rsidR="00E55089" w:rsidRPr="009251F1">
        <w:t xml:space="preserve">. </w:t>
      </w:r>
      <w:r>
        <w:t>Liaison</w:t>
      </w:r>
      <w:r w:rsidR="00E55089" w:rsidRPr="009251F1">
        <w:t xml:space="preserve">s serve as the major contact for faculty, staff and students, monitor trends in </w:t>
      </w:r>
      <w:r>
        <w:t>curriculum and research, attend</w:t>
      </w:r>
      <w:r w:rsidR="00E55089" w:rsidRPr="009251F1">
        <w:t xml:space="preserve"> relevant college, departmental and program events to gain insight, and identif</w:t>
      </w:r>
      <w:r>
        <w:t>y</w:t>
      </w:r>
      <w:r w:rsidR="00E55089" w:rsidRPr="009251F1">
        <w:t xml:space="preserve"> how OSULP expertise and resources can be most effectively used.  The</w:t>
      </w:r>
      <w:r>
        <w:t>y</w:t>
      </w:r>
      <w:r w:rsidR="00E55089" w:rsidRPr="009251F1">
        <w:t xml:space="preserve"> promote OSULP expertise and collaborate with the Expert Leads to integrate and leverage that expertise throughout the OSU Community. </w:t>
      </w:r>
      <w:r w:rsidR="008F6827" w:rsidRPr="009251F1">
        <w:t xml:space="preserve">.  </w:t>
      </w:r>
    </w:p>
    <w:p w:rsidR="003D66D1" w:rsidRPr="009251F1" w:rsidRDefault="003D66D1" w:rsidP="00E704A9"/>
    <w:p w:rsidR="00E704A9" w:rsidRPr="009251F1" w:rsidRDefault="008F6827" w:rsidP="00E704A9">
      <w:r w:rsidRPr="009251F1">
        <w:t xml:space="preserve">Providing access to items not owned by </w:t>
      </w:r>
      <w:r w:rsidR="003D66D1" w:rsidRPr="009251F1">
        <w:t xml:space="preserve">OSULP </w:t>
      </w:r>
      <w:r w:rsidRPr="009251F1">
        <w:t xml:space="preserve">is the domain of the Interlibrary Loan and Summit staff both at </w:t>
      </w:r>
      <w:r w:rsidR="003D66D1" w:rsidRPr="009251F1">
        <w:t xml:space="preserve">OSULP </w:t>
      </w:r>
      <w:r w:rsidRPr="009251F1">
        <w:t>and at lending libraries.  Print articles located in the OSU Libraries</w:t>
      </w:r>
      <w:r w:rsidR="003D66D1" w:rsidRPr="009251F1">
        <w:t>’</w:t>
      </w:r>
      <w:r w:rsidRPr="009251F1">
        <w:t xml:space="preserve"> collections may be requested via the Scan and Deliver service, which provides PDFs of the requested articles.  </w:t>
      </w:r>
    </w:p>
    <w:p w:rsidR="00635AEB" w:rsidRDefault="00635AEB"/>
    <w:p w:rsidR="000726CC" w:rsidRPr="009251F1" w:rsidRDefault="000726CC" w:rsidP="000726CC">
      <w:pPr>
        <w:rPr>
          <w:b/>
        </w:rPr>
      </w:pPr>
      <w:r w:rsidRPr="009251F1">
        <w:rPr>
          <w:b/>
        </w:rPr>
        <w:t xml:space="preserve">Summary </w:t>
      </w:r>
    </w:p>
    <w:p w:rsidR="000726CC" w:rsidRPr="009251F1" w:rsidRDefault="000726CC" w:rsidP="000726CC">
      <w:r>
        <w:t xml:space="preserve">OSU Libraries collections are adequate to support the proposed </w:t>
      </w:r>
      <w:r w:rsidR="00953FD7">
        <w:t>Software Engineering</w:t>
      </w:r>
      <w:r>
        <w:t xml:space="preserve"> degree at Cascades campus</w:t>
      </w:r>
      <w:r w:rsidR="00953FD7">
        <w:t>.</w:t>
      </w:r>
    </w:p>
    <w:p w:rsidR="00635AEB" w:rsidRPr="009251F1" w:rsidRDefault="00635AEB"/>
    <w:p w:rsidR="00635AEB" w:rsidRPr="009251F1" w:rsidRDefault="00635AEB">
      <w:r w:rsidRPr="009251F1">
        <w:t>Respectfully submitted,</w:t>
      </w:r>
    </w:p>
    <w:p w:rsidR="00EC78FE" w:rsidRPr="009251F1" w:rsidRDefault="00EC78FE">
      <w:pPr>
        <w:pStyle w:val="FreeForm"/>
        <w:rPr>
          <w:sz w:val="24"/>
          <w:szCs w:val="24"/>
        </w:rPr>
      </w:pPr>
    </w:p>
    <w:p w:rsidR="001B7999" w:rsidRPr="009251F1" w:rsidRDefault="00E704A9" w:rsidP="001B7999">
      <w:pPr>
        <w:pStyle w:val="FreeForm"/>
        <w:rPr>
          <w:sz w:val="24"/>
          <w:szCs w:val="24"/>
        </w:rPr>
      </w:pPr>
      <w:r w:rsidRPr="009251F1">
        <w:rPr>
          <w:sz w:val="24"/>
          <w:szCs w:val="24"/>
        </w:rPr>
        <w:t>Laurel Kristick</w:t>
      </w:r>
    </w:p>
    <w:p w:rsidR="00E704A9" w:rsidRPr="009251F1" w:rsidRDefault="00E704A9" w:rsidP="001B7999">
      <w:pPr>
        <w:pStyle w:val="FreeForm"/>
        <w:rPr>
          <w:sz w:val="24"/>
          <w:szCs w:val="24"/>
        </w:rPr>
      </w:pPr>
      <w:r w:rsidRPr="009251F1">
        <w:rPr>
          <w:sz w:val="24"/>
          <w:szCs w:val="24"/>
        </w:rPr>
        <w:t>Collection Assessment and Science Librarian</w:t>
      </w:r>
    </w:p>
    <w:p w:rsidR="00E704A9" w:rsidRPr="009251F1" w:rsidRDefault="00953FD7" w:rsidP="001B7999">
      <w:pPr>
        <w:pStyle w:val="FreeForm"/>
        <w:rPr>
          <w:sz w:val="24"/>
          <w:szCs w:val="24"/>
        </w:rPr>
      </w:pPr>
      <w:r>
        <w:rPr>
          <w:sz w:val="24"/>
          <w:szCs w:val="24"/>
        </w:rPr>
        <w:lastRenderedPageBreak/>
        <w:t>September 22, 2017</w:t>
      </w:r>
    </w:p>
    <w:sectPr w:rsidR="00E704A9" w:rsidRPr="009251F1" w:rsidSect="009251F1">
      <w:footerReference w:type="even" r:id="rId6"/>
      <w:footerReference w:type="default" r:id="rId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936" w:rsidRDefault="00B64936">
      <w:r>
        <w:separator/>
      </w:r>
    </w:p>
  </w:endnote>
  <w:endnote w:type="continuationSeparator" w:id="0">
    <w:p w:rsidR="00B64936" w:rsidRDefault="00B6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ヒラギノ角ゴ Pro W3">
    <w:altName w:val="MS Gothic"/>
    <w:charset w:val="80"/>
    <w:family w:val="auto"/>
    <w:pitch w:val="variable"/>
    <w:sig w:usb0="00000000"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7D7" w:rsidRDefault="002267D7" w:rsidP="00BC5A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62BC">
      <w:rPr>
        <w:rStyle w:val="PageNumber"/>
        <w:noProof/>
      </w:rPr>
      <w:t>2</w:t>
    </w:r>
    <w:r>
      <w:rPr>
        <w:rStyle w:val="PageNumber"/>
      </w:rPr>
      <w:fldChar w:fldCharType="end"/>
    </w:r>
  </w:p>
  <w:p w:rsidR="00B64936" w:rsidRDefault="00B64936" w:rsidP="002267D7">
    <w:pPr>
      <w:pStyle w:val="Footer1"/>
      <w:tabs>
        <w:tab w:val="clear" w:pos="9360"/>
        <w:tab w:val="right" w:pos="9340"/>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7D7" w:rsidRDefault="002267D7" w:rsidP="00BC5A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62BC">
      <w:rPr>
        <w:rStyle w:val="PageNumber"/>
        <w:noProof/>
      </w:rPr>
      <w:t>3</w:t>
    </w:r>
    <w:r>
      <w:rPr>
        <w:rStyle w:val="PageNumber"/>
      </w:rPr>
      <w:fldChar w:fldCharType="end"/>
    </w:r>
  </w:p>
  <w:p w:rsidR="00B64936" w:rsidRDefault="00B64936" w:rsidP="002267D7">
    <w:pPr>
      <w:pStyle w:val="Footer1"/>
      <w:tabs>
        <w:tab w:val="clear" w:pos="9360"/>
        <w:tab w:val="right" w:pos="9340"/>
      </w:tabs>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936" w:rsidRDefault="00B64936">
      <w:r>
        <w:separator/>
      </w:r>
    </w:p>
  </w:footnote>
  <w:footnote w:type="continuationSeparator" w:id="0">
    <w:p w:rsidR="00B64936" w:rsidRDefault="00B649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A3"/>
    <w:rsid w:val="000006E9"/>
    <w:rsid w:val="00010DB2"/>
    <w:rsid w:val="00027151"/>
    <w:rsid w:val="000311EA"/>
    <w:rsid w:val="00043985"/>
    <w:rsid w:val="000726CC"/>
    <w:rsid w:val="000D02D5"/>
    <w:rsid w:val="0012572E"/>
    <w:rsid w:val="00126666"/>
    <w:rsid w:val="00165D02"/>
    <w:rsid w:val="001A79DE"/>
    <w:rsid w:val="001B7999"/>
    <w:rsid w:val="001F01BD"/>
    <w:rsid w:val="00204DE0"/>
    <w:rsid w:val="002267D7"/>
    <w:rsid w:val="00241E2D"/>
    <w:rsid w:val="00245E48"/>
    <w:rsid w:val="002A7FB7"/>
    <w:rsid w:val="00311536"/>
    <w:rsid w:val="003704A5"/>
    <w:rsid w:val="003A353D"/>
    <w:rsid w:val="003D66D1"/>
    <w:rsid w:val="003F5C70"/>
    <w:rsid w:val="0041123F"/>
    <w:rsid w:val="00411581"/>
    <w:rsid w:val="004412B4"/>
    <w:rsid w:val="004478B7"/>
    <w:rsid w:val="00461A64"/>
    <w:rsid w:val="00464F47"/>
    <w:rsid w:val="004727EB"/>
    <w:rsid w:val="004B3BD5"/>
    <w:rsid w:val="004E111D"/>
    <w:rsid w:val="004E3439"/>
    <w:rsid w:val="00535CD6"/>
    <w:rsid w:val="00585B26"/>
    <w:rsid w:val="0059669E"/>
    <w:rsid w:val="005E7513"/>
    <w:rsid w:val="00617A92"/>
    <w:rsid w:val="00635AEB"/>
    <w:rsid w:val="00691B91"/>
    <w:rsid w:val="006A1D76"/>
    <w:rsid w:val="006E27BB"/>
    <w:rsid w:val="006E50B2"/>
    <w:rsid w:val="00831E3A"/>
    <w:rsid w:val="00835B10"/>
    <w:rsid w:val="008460A5"/>
    <w:rsid w:val="00861657"/>
    <w:rsid w:val="00870F4B"/>
    <w:rsid w:val="0087121F"/>
    <w:rsid w:val="00892BFB"/>
    <w:rsid w:val="008A4986"/>
    <w:rsid w:val="008F13D8"/>
    <w:rsid w:val="008F6827"/>
    <w:rsid w:val="00917B87"/>
    <w:rsid w:val="009251F1"/>
    <w:rsid w:val="00944840"/>
    <w:rsid w:val="00953FD7"/>
    <w:rsid w:val="009F3BD5"/>
    <w:rsid w:val="00A001FF"/>
    <w:rsid w:val="00A333F8"/>
    <w:rsid w:val="00A76BFB"/>
    <w:rsid w:val="00A90F99"/>
    <w:rsid w:val="00AA6C06"/>
    <w:rsid w:val="00AB7D27"/>
    <w:rsid w:val="00B1176D"/>
    <w:rsid w:val="00B33FAD"/>
    <w:rsid w:val="00B64936"/>
    <w:rsid w:val="00B94E38"/>
    <w:rsid w:val="00BB1CA7"/>
    <w:rsid w:val="00BE51DB"/>
    <w:rsid w:val="00BF1617"/>
    <w:rsid w:val="00C8063E"/>
    <w:rsid w:val="00CF136E"/>
    <w:rsid w:val="00D333C0"/>
    <w:rsid w:val="00D608FC"/>
    <w:rsid w:val="00D70BF2"/>
    <w:rsid w:val="00D962BC"/>
    <w:rsid w:val="00DF57AA"/>
    <w:rsid w:val="00E00762"/>
    <w:rsid w:val="00E049B8"/>
    <w:rsid w:val="00E168FC"/>
    <w:rsid w:val="00E55089"/>
    <w:rsid w:val="00E55C44"/>
    <w:rsid w:val="00E704A9"/>
    <w:rsid w:val="00E83835"/>
    <w:rsid w:val="00EC3934"/>
    <w:rsid w:val="00EC78FE"/>
    <w:rsid w:val="00ED16F2"/>
    <w:rsid w:val="00ED30AC"/>
    <w:rsid w:val="00EE6157"/>
    <w:rsid w:val="00F41CA3"/>
    <w:rsid w:val="00F4514B"/>
    <w:rsid w:val="00FB2B8F"/>
    <w:rsid w:val="00FE2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A009887"/>
  <w15:docId w15:val="{6AC9D586-0D31-4F61-96EF-BD7ECFF0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ヒラギノ角ゴ Pro W3"/>
      <w:color w:val="000000"/>
      <w:sz w:val="24"/>
      <w:szCs w:val="24"/>
    </w:rPr>
  </w:style>
  <w:style w:type="paragraph" w:styleId="Heading1">
    <w:name w:val="heading 1"/>
    <w:basedOn w:val="Normal"/>
    <w:next w:val="Normal"/>
    <w:link w:val="Heading1Char"/>
    <w:qFormat/>
    <w:locked/>
    <w:rsid w:val="008F6827"/>
    <w:pPr>
      <w:keepNext/>
      <w:outlineLvl w:val="0"/>
    </w:pPr>
    <w:rPr>
      <w:rFonts w:eastAsia="Times New Roman"/>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Footer1">
    <w:name w:val="Footer1"/>
    <w:pPr>
      <w:tabs>
        <w:tab w:val="center" w:pos="4680"/>
        <w:tab w:val="right" w:pos="9360"/>
      </w:tabs>
    </w:pPr>
    <w:rPr>
      <w:rFonts w:ascii="Calibri" w:eastAsia="ヒラギノ角ゴ Pro W3" w:hAnsi="Calibri"/>
      <w:color w:val="000000"/>
      <w:sz w:val="22"/>
    </w:rPr>
  </w:style>
  <w:style w:type="paragraph" w:customStyle="1" w:styleId="CommentText1">
    <w:name w:val="Comment Text1"/>
    <w:rPr>
      <w:rFonts w:eastAsia="ヒラギノ角ゴ Pro W3"/>
      <w:color w:val="000000"/>
    </w:rPr>
  </w:style>
  <w:style w:type="table" w:styleId="TableGrid">
    <w:name w:val="Table Grid"/>
    <w:basedOn w:val="TableNormal"/>
    <w:locked/>
    <w:rsid w:val="00AB7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locked/>
    <w:rsid w:val="004478B7"/>
    <w:rPr>
      <w:color w:val="0000FF"/>
      <w:u w:val="single"/>
    </w:rPr>
  </w:style>
  <w:style w:type="character" w:customStyle="1" w:styleId="Heading1Char">
    <w:name w:val="Heading 1 Char"/>
    <w:basedOn w:val="DefaultParagraphFont"/>
    <w:link w:val="Heading1"/>
    <w:rsid w:val="008F6827"/>
    <w:rPr>
      <w:b/>
      <w:bCs/>
      <w:sz w:val="24"/>
      <w:szCs w:val="24"/>
    </w:rPr>
  </w:style>
  <w:style w:type="paragraph" w:styleId="BalloonText">
    <w:name w:val="Balloon Text"/>
    <w:basedOn w:val="Normal"/>
    <w:link w:val="BalloonTextChar"/>
    <w:locked/>
    <w:rsid w:val="001F01BD"/>
    <w:rPr>
      <w:rFonts w:ascii="Tahoma" w:hAnsi="Tahoma" w:cs="Tahoma"/>
      <w:sz w:val="16"/>
      <w:szCs w:val="16"/>
    </w:rPr>
  </w:style>
  <w:style w:type="character" w:customStyle="1" w:styleId="BalloonTextChar">
    <w:name w:val="Balloon Text Char"/>
    <w:basedOn w:val="DefaultParagraphFont"/>
    <w:link w:val="BalloonText"/>
    <w:rsid w:val="001F01BD"/>
    <w:rPr>
      <w:rFonts w:ascii="Tahoma" w:eastAsia="ヒラギノ角ゴ Pro W3" w:hAnsi="Tahoma" w:cs="Tahoma"/>
      <w:color w:val="000000"/>
      <w:sz w:val="16"/>
      <w:szCs w:val="16"/>
    </w:rPr>
  </w:style>
  <w:style w:type="character" w:styleId="CommentReference">
    <w:name w:val="annotation reference"/>
    <w:basedOn w:val="DefaultParagraphFont"/>
    <w:locked/>
    <w:rsid w:val="00461A64"/>
    <w:rPr>
      <w:sz w:val="18"/>
      <w:szCs w:val="18"/>
    </w:rPr>
  </w:style>
  <w:style w:type="paragraph" w:styleId="CommentText">
    <w:name w:val="annotation text"/>
    <w:basedOn w:val="Normal"/>
    <w:link w:val="CommentTextChar"/>
    <w:locked/>
    <w:rsid w:val="00461A64"/>
  </w:style>
  <w:style w:type="character" w:customStyle="1" w:styleId="CommentTextChar">
    <w:name w:val="Comment Text Char"/>
    <w:basedOn w:val="DefaultParagraphFont"/>
    <w:link w:val="CommentText"/>
    <w:rsid w:val="00461A64"/>
    <w:rPr>
      <w:rFonts w:eastAsia="ヒラギノ角ゴ Pro W3"/>
      <w:color w:val="000000"/>
      <w:sz w:val="24"/>
      <w:szCs w:val="24"/>
    </w:rPr>
  </w:style>
  <w:style w:type="paragraph" w:styleId="CommentSubject">
    <w:name w:val="annotation subject"/>
    <w:basedOn w:val="CommentText"/>
    <w:next w:val="CommentText"/>
    <w:link w:val="CommentSubjectChar"/>
    <w:locked/>
    <w:rsid w:val="00461A64"/>
    <w:rPr>
      <w:b/>
      <w:bCs/>
      <w:sz w:val="20"/>
      <w:szCs w:val="20"/>
    </w:rPr>
  </w:style>
  <w:style w:type="character" w:customStyle="1" w:styleId="CommentSubjectChar">
    <w:name w:val="Comment Subject Char"/>
    <w:basedOn w:val="CommentTextChar"/>
    <w:link w:val="CommentSubject"/>
    <w:rsid w:val="00461A64"/>
    <w:rPr>
      <w:rFonts w:eastAsia="ヒラギノ角ゴ Pro W3"/>
      <w:b/>
      <w:bCs/>
      <w:color w:val="000000"/>
      <w:sz w:val="24"/>
      <w:szCs w:val="24"/>
    </w:rPr>
  </w:style>
  <w:style w:type="paragraph" w:styleId="Footer">
    <w:name w:val="footer"/>
    <w:basedOn w:val="Normal"/>
    <w:link w:val="FooterChar"/>
    <w:locked/>
    <w:rsid w:val="002267D7"/>
    <w:pPr>
      <w:tabs>
        <w:tab w:val="center" w:pos="4320"/>
        <w:tab w:val="right" w:pos="8640"/>
      </w:tabs>
    </w:pPr>
  </w:style>
  <w:style w:type="character" w:customStyle="1" w:styleId="FooterChar">
    <w:name w:val="Footer Char"/>
    <w:basedOn w:val="DefaultParagraphFont"/>
    <w:link w:val="Footer"/>
    <w:rsid w:val="002267D7"/>
    <w:rPr>
      <w:rFonts w:eastAsia="ヒラギノ角ゴ Pro W3"/>
      <w:color w:val="000000"/>
      <w:sz w:val="24"/>
      <w:szCs w:val="24"/>
    </w:rPr>
  </w:style>
  <w:style w:type="character" w:styleId="PageNumber">
    <w:name w:val="page number"/>
    <w:basedOn w:val="DefaultParagraphFont"/>
    <w:locked/>
    <w:rsid w:val="00226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463330">
      <w:bodyDiv w:val="1"/>
      <w:marLeft w:val="0"/>
      <w:marRight w:val="0"/>
      <w:marTop w:val="0"/>
      <w:marBottom w:val="0"/>
      <w:divBdr>
        <w:top w:val="none" w:sz="0" w:space="0" w:color="auto"/>
        <w:left w:val="none" w:sz="0" w:space="0" w:color="auto"/>
        <w:bottom w:val="none" w:sz="0" w:space="0" w:color="auto"/>
        <w:right w:val="none" w:sz="0" w:space="0" w:color="auto"/>
      </w:divBdr>
    </w:div>
    <w:div w:id="914777249">
      <w:bodyDiv w:val="1"/>
      <w:marLeft w:val="0"/>
      <w:marRight w:val="0"/>
      <w:marTop w:val="0"/>
      <w:marBottom w:val="0"/>
      <w:divBdr>
        <w:top w:val="none" w:sz="0" w:space="0" w:color="auto"/>
        <w:left w:val="none" w:sz="0" w:space="0" w:color="auto"/>
        <w:bottom w:val="none" w:sz="0" w:space="0" w:color="auto"/>
        <w:right w:val="none" w:sz="0" w:space="0" w:color="auto"/>
      </w:divBdr>
    </w:div>
    <w:div w:id="1054237200">
      <w:bodyDiv w:val="1"/>
      <w:marLeft w:val="0"/>
      <w:marRight w:val="0"/>
      <w:marTop w:val="0"/>
      <w:marBottom w:val="0"/>
      <w:divBdr>
        <w:top w:val="none" w:sz="0" w:space="0" w:color="auto"/>
        <w:left w:val="none" w:sz="0" w:space="0" w:color="auto"/>
        <w:bottom w:val="none" w:sz="0" w:space="0" w:color="auto"/>
        <w:right w:val="none" w:sz="0" w:space="0" w:color="auto"/>
      </w:divBdr>
    </w:div>
    <w:div w:id="1548570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759</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library owns these serials</vt:lpstr>
    </vt:vector>
  </TitlesOfParts>
  <Company>Oregon State University</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owns these serials</dc:title>
  <dc:creator>Community Network Customer</dc:creator>
  <cp:lastModifiedBy>Kristick, Laurel</cp:lastModifiedBy>
  <cp:revision>5</cp:revision>
  <cp:lastPrinted>2014-02-24T16:15:00Z</cp:lastPrinted>
  <dcterms:created xsi:type="dcterms:W3CDTF">2017-09-25T19:51:00Z</dcterms:created>
  <dcterms:modified xsi:type="dcterms:W3CDTF">2017-09-25T20:01:00Z</dcterms:modified>
</cp:coreProperties>
</file>