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a software engineering program.</w:t>
      </w:r>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Rose-</w:t>
      </w:r>
      <w:proofErr w:type="spellStart"/>
      <w:r>
        <w:rPr>
          <w:rFonts w:ascii="Garamond" w:hAnsi="Garamond"/>
        </w:rPr>
        <w:t>Hulman</w:t>
      </w:r>
      <w:proofErr w:type="spellEnd"/>
      <w:r>
        <w:rPr>
          <w:rFonts w:ascii="Garamond" w:hAnsi="Garamond"/>
        </w:rPr>
        <w:t xml:space="preserve"> </w:t>
      </w:r>
      <w:r w:rsidR="005A09D1">
        <w:rPr>
          <w:rFonts w:ascii="Garamond" w:hAnsi="Garamond"/>
        </w:rPr>
        <w:t>uses the CSSE prefix for all courses in both the computer science and software engineering curriculum, a combination of CS and SE</w:t>
      </w:r>
      <w:r w:rsidR="00FC424D">
        <w:rPr>
          <w:rFonts w:ascii="Garamond" w:hAnsi="Garamond"/>
        </w:rPr>
        <w:t>. This makes sense for Rose-</w:t>
      </w:r>
      <w:proofErr w:type="spellStart"/>
      <w:r w:rsidR="00FC424D">
        <w:rPr>
          <w:rFonts w:ascii="Garamond" w:hAnsi="Garamond"/>
        </w:rPr>
        <w:t>Hulman</w:t>
      </w:r>
      <w:proofErr w:type="spellEnd"/>
      <w:r w:rsidR="00FC424D">
        <w:rPr>
          <w:rFonts w:ascii="Garamond" w:hAnsi="Garamond"/>
        </w:rPr>
        <w:t xml:space="preserve">,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w:t>
      </w:r>
      <w:proofErr w:type="spellStart"/>
      <w:r>
        <w:rPr>
          <w:rFonts w:ascii="Garamond" w:hAnsi="Garamond"/>
        </w:rPr>
        <w:t>Hulman</w:t>
      </w:r>
      <w:proofErr w:type="spellEnd"/>
      <w:r>
        <w:rPr>
          <w:rFonts w:ascii="Garamond" w:hAnsi="Garamond"/>
        </w:rPr>
        <w:t xml:space="preserve">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1BD4CCEC"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w:t>
      </w:r>
      <w:r w:rsidR="00FD4748">
        <w:rPr>
          <w:rFonts w:ascii="Garamond" w:hAnsi="Garamond"/>
          <w:i/>
        </w:rPr>
        <w:t>have significant</w:t>
      </w:r>
      <w:r w:rsidRPr="00A93F81">
        <w:rPr>
          <w:rFonts w:ascii="Garamond" w:hAnsi="Garamond"/>
          <w:i/>
        </w:rPr>
        <w:t xml:space="preserve"> </w:t>
      </w:r>
      <w:r w:rsidR="00FD4748">
        <w:rPr>
          <w:rFonts w:ascii="Garamond" w:hAnsi="Garamond"/>
          <w:i/>
        </w:rPr>
        <w:t>overlap with</w:t>
      </w:r>
      <w:r w:rsidRPr="00A93F81">
        <w:rPr>
          <w:rFonts w:ascii="Garamond" w:hAnsi="Garamond"/>
          <w:i/>
        </w:rPr>
        <w:t xml:space="preserve">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FF0A62E" w:rsidR="00596E6E" w:rsidRDefault="00EC6DDC" w:rsidP="00955ADD">
      <w:pPr>
        <w:ind w:left="720"/>
        <w:rPr>
          <w:rFonts w:ascii="Garamond" w:hAnsi="Garamond"/>
        </w:rPr>
      </w:pPr>
      <w:r>
        <w:rPr>
          <w:rFonts w:ascii="Garamond" w:hAnsi="Garamond"/>
        </w:rPr>
        <w:t>The SE program has different outcomes than CS, different courses, and different course sequences outside of the CS courses it employs. Using one CSSE designator for all CS and SE courses would raise the following issues:</w:t>
      </w:r>
    </w:p>
    <w:p w14:paraId="042A01AA" w14:textId="77777777" w:rsidR="00EC6DDC" w:rsidRDefault="00EC6DDC" w:rsidP="00955ADD">
      <w:pPr>
        <w:ind w:left="720"/>
        <w:rPr>
          <w:rFonts w:ascii="Garamond" w:hAnsi="Garamond"/>
        </w:rPr>
      </w:pPr>
    </w:p>
    <w:p w14:paraId="7D9EC759" w14:textId="32AA5F28" w:rsidR="00EC6DDC" w:rsidRDefault="00EC6DDC" w:rsidP="00EC6DDC">
      <w:pPr>
        <w:pStyle w:val="ListParagraph"/>
        <w:numPr>
          <w:ilvl w:val="1"/>
          <w:numId w:val="4"/>
        </w:numPr>
        <w:rPr>
          <w:rFonts w:ascii="Garamond" w:hAnsi="Garamond"/>
        </w:rPr>
      </w:pPr>
      <w:r>
        <w:rPr>
          <w:rFonts w:ascii="Garamond" w:hAnsi="Garamond"/>
        </w:rPr>
        <w:t xml:space="preserve">As a first year student, is the intro sequence </w:t>
      </w:r>
      <w:r w:rsidR="00487592">
        <w:rPr>
          <w:rFonts w:ascii="Garamond" w:hAnsi="Garamond"/>
        </w:rPr>
        <w:t xml:space="preserve">of </w:t>
      </w:r>
      <w:r>
        <w:rPr>
          <w:rFonts w:ascii="Garamond" w:hAnsi="Garamond"/>
        </w:rPr>
        <w:t>the “CS” path of CSSE 160, 161 and 162, or the “SE” path of CSSE 111, 112 and 113 coupled with CSSE 101, 102 and 103?</w:t>
      </w:r>
    </w:p>
    <w:p w14:paraId="12ED931C" w14:textId="014A2249" w:rsidR="00EC6DDC" w:rsidRDefault="00EC6DDC" w:rsidP="00EC6DDC">
      <w:pPr>
        <w:pStyle w:val="ListParagraph"/>
        <w:numPr>
          <w:ilvl w:val="1"/>
          <w:numId w:val="4"/>
        </w:numPr>
        <w:rPr>
          <w:rFonts w:ascii="Garamond" w:hAnsi="Garamond"/>
        </w:rPr>
      </w:pPr>
      <w:r>
        <w:rPr>
          <w:rFonts w:ascii="Garamond" w:hAnsi="Garamond"/>
        </w:rPr>
        <w:t>As an “SE” student in CSSE, what is the explanation for not being able to take the large number of CSSE courses? Is there any other program at OSU or at other institutions that has such significant exclusions between two large sets of courses within one designator?</w:t>
      </w:r>
    </w:p>
    <w:p w14:paraId="5BA02828" w14:textId="77777777" w:rsidR="002874D4" w:rsidRPr="002874D4" w:rsidRDefault="002874D4" w:rsidP="002874D4">
      <w:pPr>
        <w:rPr>
          <w:rFonts w:ascii="Garamond" w:hAnsi="Garamond"/>
        </w:rPr>
      </w:pPr>
    </w:p>
    <w:p w14:paraId="58930D58" w14:textId="3B82D3D5" w:rsidR="00596E6E" w:rsidRPr="00955ADD" w:rsidRDefault="00A93491" w:rsidP="00A93491">
      <w:pPr>
        <w:ind w:left="720"/>
        <w:rPr>
          <w:rFonts w:ascii="Garamond" w:hAnsi="Garamond"/>
        </w:rPr>
      </w:pPr>
      <w:r>
        <w:rPr>
          <w:rFonts w:ascii="Garamond" w:hAnsi="Garamond"/>
        </w:rPr>
        <w:t xml:space="preserve">See </w:t>
      </w:r>
      <w:r w:rsidRPr="00A93491">
        <w:rPr>
          <w:rFonts w:ascii="Garamond" w:hAnsi="Garamond"/>
          <w:i/>
        </w:rPr>
        <w:t>Impacts</w:t>
      </w:r>
      <w:r>
        <w:rPr>
          <w:rFonts w:ascii="Garamond" w:hAnsi="Garamond"/>
        </w:rPr>
        <w:t>, below, for further illustration on the distinguishing factors of SE that cannot be replicated with courses in the CS and ECE programs.</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696B3C8D" w14:textId="68EB510F" w:rsidR="002C0B1F" w:rsidRDefault="002C0B1F" w:rsidP="00FF66FB">
      <w:pPr>
        <w:ind w:left="720"/>
        <w:rPr>
          <w:rFonts w:ascii="Garamond" w:hAnsi="Garamond"/>
        </w:rPr>
      </w:pPr>
      <w:r>
        <w:rPr>
          <w:rFonts w:ascii="Garamond" w:hAnsi="Garamond"/>
        </w:rPr>
        <w:t xml:space="preserve">The CS program does contain software engineering courses. These courses represent a two-course introductory sequence to the topic (CS 361 and CS 362) and a three-course senior capstone project (CS 461, CS 462, and CS 463). The creation of a new SE designator naturally precipitates designating these software engineering courses with SE instead of CS. </w:t>
      </w:r>
      <w:r w:rsidRPr="0028238E">
        <w:rPr>
          <w:rFonts w:ascii="Garamond" w:hAnsi="Garamond"/>
          <w:highlight w:val="yellow"/>
        </w:rPr>
        <w:t>The computer science faculty have provided a letter of support for this change.</w:t>
      </w:r>
      <w:r>
        <w:rPr>
          <w:rFonts w:ascii="Garamond" w:hAnsi="Garamond"/>
        </w:rPr>
        <w:t xml:space="preserve"> In the end, all existing software engineering courses will use the new SE designator.</w:t>
      </w:r>
    </w:p>
    <w:p w14:paraId="3AD06CD1" w14:textId="77777777" w:rsidR="002C0B1F" w:rsidRDefault="002C0B1F" w:rsidP="00FF66FB">
      <w:pPr>
        <w:ind w:left="720"/>
        <w:rPr>
          <w:rFonts w:ascii="Garamond" w:hAnsi="Garamond"/>
        </w:rPr>
      </w:pPr>
    </w:p>
    <w:p w14:paraId="3E42489F" w14:textId="067E2F1D" w:rsidR="00995BA3" w:rsidRDefault="002C0B1F" w:rsidP="00FF66FB">
      <w:pPr>
        <w:ind w:left="720"/>
        <w:rPr>
          <w:rFonts w:ascii="Garamond" w:hAnsi="Garamond"/>
        </w:rPr>
      </w:pPr>
      <w:r>
        <w:rPr>
          <w:rFonts w:ascii="Garamond" w:hAnsi="Garamond"/>
        </w:rPr>
        <w:t>Other than the existing software engineering courses within CS, the c</w:t>
      </w:r>
      <w:r w:rsidR="005A09D1">
        <w:rPr>
          <w:rFonts w:ascii="Garamond" w:hAnsi="Garamond"/>
        </w:rPr>
        <w:t xml:space="preserve">ourses in the SE designator </w:t>
      </w:r>
      <w:r w:rsidR="00DE3010">
        <w:rPr>
          <w:rFonts w:ascii="Garamond" w:hAnsi="Garamond"/>
        </w:rPr>
        <w:t>stand apart from</w:t>
      </w:r>
      <w:r w:rsidR="005A09D1">
        <w:rPr>
          <w:rFonts w:ascii="Garamond" w:hAnsi="Garamond"/>
        </w:rPr>
        <w:t xml:space="preserve">, rather than compete with, existing courses in the computer science curriculum. </w:t>
      </w:r>
      <w:r w:rsidR="00995BA3">
        <w:rPr>
          <w:rFonts w:ascii="Garamond" w:hAnsi="Garamond"/>
        </w:rPr>
        <w:t>We present the following facts:</w:t>
      </w:r>
    </w:p>
    <w:p w14:paraId="719F4EE4" w14:textId="77777777" w:rsidR="00995BA3" w:rsidRDefault="00995BA3" w:rsidP="00FF66FB">
      <w:pPr>
        <w:ind w:left="720"/>
        <w:rPr>
          <w:rFonts w:ascii="Garamond" w:hAnsi="Garamond"/>
        </w:rPr>
      </w:pPr>
    </w:p>
    <w:p w14:paraId="3ED8A7B6" w14:textId="18A6C1E5" w:rsidR="00995BA3" w:rsidRDefault="00995BA3" w:rsidP="00995BA3">
      <w:pPr>
        <w:pStyle w:val="ListParagraph"/>
        <w:numPr>
          <w:ilvl w:val="1"/>
          <w:numId w:val="4"/>
        </w:numPr>
        <w:rPr>
          <w:rFonts w:ascii="Garamond" w:hAnsi="Garamond"/>
        </w:rPr>
      </w:pPr>
      <w:bookmarkStart w:id="0" w:name="_GoBack"/>
      <w:bookmarkEnd w:id="0"/>
      <w:r w:rsidRPr="00995BA3">
        <w:rPr>
          <w:rFonts w:ascii="Garamond" w:hAnsi="Garamond"/>
        </w:rPr>
        <w:t>Regarding electrical and computer engineering (ECE), the ECE courses do not include any courses named software engineering or contain the content of software engineering.</w:t>
      </w:r>
    </w:p>
    <w:p w14:paraId="204DA97A" w14:textId="77777777" w:rsidR="00995BA3" w:rsidRDefault="00FF66FB" w:rsidP="00995BA3">
      <w:pPr>
        <w:pStyle w:val="ListParagraph"/>
        <w:numPr>
          <w:ilvl w:val="1"/>
          <w:numId w:val="4"/>
        </w:numPr>
        <w:rPr>
          <w:rFonts w:ascii="Garamond" w:hAnsi="Garamond"/>
        </w:rPr>
      </w:pPr>
      <w:r w:rsidRPr="00995BA3">
        <w:rPr>
          <w:rFonts w:ascii="Garamond" w:hAnsi="Garamond"/>
        </w:rPr>
        <w:t xml:space="preserve">The </w:t>
      </w:r>
      <w:r w:rsidR="00995BA3">
        <w:rPr>
          <w:rFonts w:ascii="Garamond" w:hAnsi="Garamond"/>
        </w:rPr>
        <w:t>SE</w:t>
      </w:r>
      <w:r w:rsidRPr="00995BA3">
        <w:rPr>
          <w:rFonts w:ascii="Garamond" w:hAnsi="Garamond"/>
        </w:rPr>
        <w:t xml:space="preserve"> curriculum differs from CS in its program learning outcomes, accreditation standards (but still ABET), and body of knowledge (IEEE SWEBOK).</w:t>
      </w:r>
    </w:p>
    <w:p w14:paraId="3B577D6A" w14:textId="77777777" w:rsidR="00995BA3" w:rsidRDefault="00995BA3" w:rsidP="00995BA3">
      <w:pPr>
        <w:pStyle w:val="ListParagraph"/>
        <w:numPr>
          <w:ilvl w:val="1"/>
          <w:numId w:val="4"/>
        </w:numPr>
        <w:rPr>
          <w:rFonts w:ascii="Garamond" w:hAnsi="Garamond"/>
        </w:rPr>
      </w:pPr>
      <w:r>
        <w:rPr>
          <w:rFonts w:ascii="Garamond" w:hAnsi="Garamond"/>
        </w:rPr>
        <w:t>SE</w:t>
      </w:r>
      <w:r w:rsidR="00FF66FB" w:rsidRPr="00995BA3">
        <w:rPr>
          <w:rFonts w:ascii="Garamond" w:hAnsi="Garamond"/>
        </w:rPr>
        <w:t xml:space="preserve"> stands apart from CS as other institutions have done (this isn't som</w:t>
      </w:r>
      <w:r>
        <w:rPr>
          <w:rFonts w:ascii="Garamond" w:hAnsi="Garamond"/>
        </w:rPr>
        <w:t>ething radical).</w:t>
      </w:r>
    </w:p>
    <w:p w14:paraId="4D191BCE" w14:textId="77777777" w:rsidR="00995BA3" w:rsidRDefault="00995BA3" w:rsidP="00995BA3">
      <w:pPr>
        <w:pStyle w:val="ListParagraph"/>
        <w:numPr>
          <w:ilvl w:val="1"/>
          <w:numId w:val="4"/>
        </w:numPr>
        <w:rPr>
          <w:rFonts w:ascii="Garamond" w:hAnsi="Garamond"/>
        </w:rPr>
      </w:pPr>
      <w:r>
        <w:rPr>
          <w:rFonts w:ascii="Garamond" w:hAnsi="Garamond"/>
        </w:rPr>
        <w:t xml:space="preserve">SE consists of </w:t>
      </w:r>
      <w:r w:rsidR="00FF66FB" w:rsidRPr="00995BA3">
        <w:rPr>
          <w:rFonts w:ascii="Garamond" w:hAnsi="Garamond"/>
        </w:rPr>
        <w:t>a completely different curriculum design and pre-requisite structure</w:t>
      </w:r>
    </w:p>
    <w:p w14:paraId="7FDA6ACF" w14:textId="77777777" w:rsidR="00995BA3" w:rsidRDefault="00995BA3" w:rsidP="00995BA3">
      <w:pPr>
        <w:pStyle w:val="ListParagraph"/>
        <w:numPr>
          <w:ilvl w:val="1"/>
          <w:numId w:val="4"/>
        </w:numPr>
        <w:rPr>
          <w:rFonts w:ascii="Garamond" w:hAnsi="Garamond"/>
        </w:rPr>
      </w:pPr>
      <w:r>
        <w:rPr>
          <w:rFonts w:ascii="Garamond" w:hAnsi="Garamond"/>
        </w:rPr>
        <w:t xml:space="preserve">SE </w:t>
      </w:r>
      <w:r w:rsidR="00FF66FB" w:rsidRPr="00995BA3">
        <w:rPr>
          <w:rFonts w:ascii="Garamond" w:hAnsi="Garamond"/>
        </w:rPr>
        <w:t>does not accommodate frictionless transfer between CS and SE</w:t>
      </w:r>
      <w:r>
        <w:rPr>
          <w:rFonts w:ascii="Garamond" w:hAnsi="Garamond"/>
        </w:rPr>
        <w:t xml:space="preserve"> the way that</w:t>
      </w:r>
      <w:r w:rsidR="00FF66FB" w:rsidRPr="00995BA3">
        <w:rPr>
          <w:rFonts w:ascii="Garamond" w:hAnsi="Garamond"/>
        </w:rPr>
        <w:t xml:space="preserve"> options/tracks do within CS itself</w:t>
      </w:r>
      <w:r>
        <w:rPr>
          <w:rFonts w:ascii="Garamond" w:hAnsi="Garamond"/>
        </w:rPr>
        <w:t>.</w:t>
      </w:r>
    </w:p>
    <w:p w14:paraId="6D944C76" w14:textId="4D61B803" w:rsidR="00995BA3" w:rsidRDefault="00995BA3" w:rsidP="00995BA3">
      <w:pPr>
        <w:pStyle w:val="ListParagraph"/>
        <w:numPr>
          <w:ilvl w:val="1"/>
          <w:numId w:val="4"/>
        </w:numPr>
        <w:rPr>
          <w:rFonts w:ascii="Garamond" w:hAnsi="Garamond"/>
        </w:rPr>
      </w:pPr>
      <w:r>
        <w:rPr>
          <w:rFonts w:ascii="Garamond" w:hAnsi="Garamond"/>
        </w:rPr>
        <w:t>SE</w:t>
      </w:r>
      <w:r w:rsidR="00FF66FB" w:rsidRPr="00995BA3">
        <w:rPr>
          <w:rFonts w:ascii="Garamond" w:hAnsi="Garamond"/>
        </w:rPr>
        <w:t xml:space="preserve"> provides a minor that can stand apart from CS</w:t>
      </w:r>
      <w:r>
        <w:rPr>
          <w:rFonts w:ascii="Garamond" w:hAnsi="Garamond"/>
        </w:rPr>
        <w:t>.</w:t>
      </w:r>
    </w:p>
    <w:p w14:paraId="02B4D697" w14:textId="395ABF57" w:rsidR="0028238E" w:rsidRPr="002C0B1F" w:rsidRDefault="00995BA3" w:rsidP="002C0B1F">
      <w:pPr>
        <w:pStyle w:val="ListParagraph"/>
        <w:numPr>
          <w:ilvl w:val="1"/>
          <w:numId w:val="4"/>
        </w:numPr>
        <w:rPr>
          <w:rFonts w:ascii="Garamond" w:hAnsi="Garamond"/>
        </w:rPr>
      </w:pPr>
      <w:r>
        <w:rPr>
          <w:rFonts w:ascii="Garamond" w:hAnsi="Garamond"/>
        </w:rPr>
        <w:t>The pre-engineering course sequence for SE and CS, and the learning outcomes of these pre-engineering courses, are completely different from each other.</w:t>
      </w:r>
    </w:p>
    <w:p w14:paraId="7F6CEF0D" w14:textId="77777777" w:rsidR="0028238E" w:rsidRDefault="0028238E" w:rsidP="001F4ECC">
      <w:pPr>
        <w:pStyle w:val="ListParagraph"/>
        <w:rPr>
          <w:rFonts w:ascii="Garamond" w:hAnsi="Garamond"/>
        </w:rPr>
      </w:pPr>
    </w:p>
    <w:p w14:paraId="1226C671" w14:textId="52A51869" w:rsidR="00773CAB" w:rsidRDefault="008B7BBA" w:rsidP="001F4ECC">
      <w:pPr>
        <w:pStyle w:val="ListParagraph"/>
        <w:rPr>
          <w:rFonts w:ascii="Garamond" w:hAnsi="Garamond"/>
        </w:rPr>
      </w:pPr>
      <w:r>
        <w:rPr>
          <w:rFonts w:ascii="Garamond" w:hAnsi="Garamond"/>
        </w:rPr>
        <w:t>However</w:t>
      </w:r>
      <w:r w:rsidR="00410D66">
        <w:rPr>
          <w:rFonts w:ascii="Garamond" w:hAnsi="Garamond"/>
        </w:rPr>
        <w:t>, i</w:t>
      </w:r>
      <w:r w:rsidR="00773CAB">
        <w:rPr>
          <w:rFonts w:ascii="Garamond" w:hAnsi="Garamond"/>
        </w:rPr>
        <w:t>t is</w:t>
      </w:r>
      <w:r>
        <w:rPr>
          <w:rFonts w:ascii="Garamond" w:hAnsi="Garamond"/>
        </w:rPr>
        <w:t xml:space="preserve"> also</w:t>
      </w:r>
      <w:r w:rsidR="00773CAB">
        <w:rPr>
          <w:rFonts w:ascii="Garamond" w:hAnsi="Garamond"/>
        </w:rPr>
        <w:t xml:space="preserve"> not uncommon for different programs to contain computing topics that do not use the CS designator. Some examples include:</w:t>
      </w:r>
    </w:p>
    <w:p w14:paraId="7AE3B5BC" w14:textId="77777777" w:rsidR="00842B54" w:rsidRDefault="00842B54" w:rsidP="001F4ECC">
      <w:pPr>
        <w:pStyle w:val="ListParagraph"/>
        <w:rPr>
          <w:rFonts w:ascii="Garamond" w:hAnsi="Garamond"/>
        </w:rPr>
      </w:pPr>
    </w:p>
    <w:p w14:paraId="6AAB28BD" w14:textId="38552200" w:rsidR="00773CAB" w:rsidRDefault="00773CAB" w:rsidP="00773CAB">
      <w:pPr>
        <w:pStyle w:val="ListParagraph"/>
        <w:numPr>
          <w:ilvl w:val="1"/>
          <w:numId w:val="4"/>
        </w:numPr>
        <w:rPr>
          <w:rFonts w:ascii="Garamond" w:hAnsi="Garamond"/>
        </w:rPr>
      </w:pPr>
      <w:r>
        <w:rPr>
          <w:rFonts w:ascii="Garamond" w:hAnsi="Garamond"/>
        </w:rPr>
        <w:t>ENGR 112 Introduction to Engineering Computing</w:t>
      </w:r>
    </w:p>
    <w:p w14:paraId="4F2ACF07" w14:textId="4BC7A5CF" w:rsidR="00773CAB" w:rsidRDefault="00773CAB" w:rsidP="00773CAB">
      <w:pPr>
        <w:pStyle w:val="ListParagraph"/>
        <w:numPr>
          <w:ilvl w:val="1"/>
          <w:numId w:val="4"/>
        </w:numPr>
        <w:rPr>
          <w:rFonts w:ascii="Garamond" w:hAnsi="Garamond"/>
        </w:rPr>
      </w:pPr>
      <w:r>
        <w:rPr>
          <w:rFonts w:ascii="Garamond" w:hAnsi="Garamond"/>
        </w:rPr>
        <w:t>IE 212 Computational Methods fo</w:t>
      </w:r>
      <w:r w:rsidR="00842B54">
        <w:rPr>
          <w:rFonts w:ascii="Garamond" w:hAnsi="Garamond"/>
        </w:rPr>
        <w:t>r</w:t>
      </w:r>
      <w:r>
        <w:rPr>
          <w:rFonts w:ascii="Garamond" w:hAnsi="Garamond"/>
        </w:rPr>
        <w:t xml:space="preserve"> IE</w:t>
      </w:r>
    </w:p>
    <w:p w14:paraId="62FE7494" w14:textId="4530C433" w:rsidR="00842B54" w:rsidRDefault="00842B54" w:rsidP="00773CAB">
      <w:pPr>
        <w:pStyle w:val="ListParagraph"/>
        <w:numPr>
          <w:ilvl w:val="1"/>
          <w:numId w:val="4"/>
        </w:numPr>
        <w:rPr>
          <w:rFonts w:ascii="Garamond" w:hAnsi="Garamond"/>
        </w:rPr>
      </w:pPr>
      <w:r>
        <w:rPr>
          <w:rFonts w:ascii="Garamond" w:hAnsi="Garamond"/>
        </w:rPr>
        <w:t>IE 415 Simulation and Decision Support Systems</w:t>
      </w:r>
    </w:p>
    <w:p w14:paraId="304F3106" w14:textId="69D07990" w:rsidR="00DF7448" w:rsidRDefault="00DF7448" w:rsidP="00773CAB">
      <w:pPr>
        <w:pStyle w:val="ListParagraph"/>
        <w:numPr>
          <w:ilvl w:val="1"/>
          <w:numId w:val="4"/>
        </w:numPr>
        <w:rPr>
          <w:rFonts w:ascii="Garamond" w:hAnsi="Garamond"/>
        </w:rPr>
      </w:pPr>
      <w:r>
        <w:rPr>
          <w:rFonts w:ascii="Garamond" w:hAnsi="Garamond"/>
        </w:rPr>
        <w:t>BI 371 Ecological Methods</w:t>
      </w:r>
    </w:p>
    <w:p w14:paraId="691871BE" w14:textId="5870DAE4" w:rsidR="00DF7448" w:rsidRDefault="00DF7448" w:rsidP="00773CAB">
      <w:pPr>
        <w:pStyle w:val="ListParagraph"/>
        <w:numPr>
          <w:ilvl w:val="1"/>
          <w:numId w:val="4"/>
        </w:numPr>
        <w:rPr>
          <w:rFonts w:ascii="Garamond" w:hAnsi="Garamond"/>
        </w:rPr>
      </w:pPr>
      <w:r>
        <w:rPr>
          <w:rFonts w:ascii="Garamond" w:hAnsi="Garamond"/>
        </w:rPr>
        <w:t>FOR 112 Computers in Forestry</w:t>
      </w:r>
    </w:p>
    <w:p w14:paraId="7DD46698" w14:textId="0CDF0B7A" w:rsidR="00DF7448" w:rsidRDefault="00E421B3" w:rsidP="00773CAB">
      <w:pPr>
        <w:pStyle w:val="ListParagraph"/>
        <w:numPr>
          <w:ilvl w:val="1"/>
          <w:numId w:val="4"/>
        </w:numPr>
        <w:rPr>
          <w:rFonts w:ascii="Garamond" w:hAnsi="Garamond"/>
        </w:rPr>
      </w:pPr>
      <w:r>
        <w:rPr>
          <w:rFonts w:ascii="Garamond" w:hAnsi="Garamond"/>
        </w:rPr>
        <w:t>FW 303 Survey of GIS</w:t>
      </w:r>
    </w:p>
    <w:p w14:paraId="17AAC1F1" w14:textId="0AEA2A67" w:rsidR="00E421B3" w:rsidRDefault="00E421B3" w:rsidP="00773CAB">
      <w:pPr>
        <w:pStyle w:val="ListParagraph"/>
        <w:numPr>
          <w:ilvl w:val="1"/>
          <w:numId w:val="4"/>
        </w:numPr>
        <w:rPr>
          <w:rFonts w:ascii="Garamond" w:hAnsi="Garamond"/>
        </w:rPr>
      </w:pPr>
      <w:r>
        <w:rPr>
          <w:rFonts w:ascii="Garamond" w:hAnsi="Garamond"/>
        </w:rPr>
        <w:t>GEO 360 GIS and Theory</w:t>
      </w:r>
    </w:p>
    <w:p w14:paraId="63C80163" w14:textId="77777777" w:rsidR="00E421B3" w:rsidRPr="00995BA3" w:rsidRDefault="00E421B3" w:rsidP="00E421B3">
      <w:pPr>
        <w:pStyle w:val="ListParagraph"/>
        <w:rPr>
          <w:rFonts w:ascii="Garamond" w:hAnsi="Garamond"/>
        </w:rPr>
      </w:pPr>
    </w:p>
    <w:p w14:paraId="0CCDFE4C" w14:textId="454C0972" w:rsidR="002D31EE" w:rsidRDefault="00E421B3" w:rsidP="00FF66FB">
      <w:pPr>
        <w:ind w:left="720"/>
        <w:rPr>
          <w:rFonts w:ascii="Garamond" w:hAnsi="Garamond"/>
        </w:rPr>
      </w:pPr>
      <w:r>
        <w:rPr>
          <w:rFonts w:ascii="Garamond" w:hAnsi="Garamond"/>
        </w:rPr>
        <w:t xml:space="preserve">Lastly, a student </w:t>
      </w:r>
      <w:r w:rsidR="00410D66">
        <w:rPr>
          <w:rFonts w:ascii="Garamond" w:hAnsi="Garamond"/>
        </w:rPr>
        <w:t>cannot complete a degree program with a set of existing CS and ECE courses that would be identical to the SE program. The differences include:</w:t>
      </w:r>
    </w:p>
    <w:p w14:paraId="42CCC91C" w14:textId="77777777" w:rsidR="00410D66" w:rsidRDefault="00410D66" w:rsidP="00FF66FB">
      <w:pPr>
        <w:ind w:left="720"/>
        <w:rPr>
          <w:rFonts w:ascii="Garamond" w:hAnsi="Garamond"/>
        </w:rPr>
      </w:pPr>
    </w:p>
    <w:p w14:paraId="2F20AF30" w14:textId="1504697D" w:rsidR="00410D66" w:rsidRDefault="006503D4" w:rsidP="00410D66">
      <w:pPr>
        <w:pStyle w:val="ListParagraph"/>
        <w:numPr>
          <w:ilvl w:val="1"/>
          <w:numId w:val="4"/>
        </w:numPr>
        <w:rPr>
          <w:rFonts w:ascii="Garamond" w:hAnsi="Garamond"/>
        </w:rPr>
      </w:pPr>
      <w:r>
        <w:rPr>
          <w:rFonts w:ascii="Garamond" w:hAnsi="Garamond"/>
        </w:rPr>
        <w:t>A three-course “introductory capstone” experience during the first year. First-year students cannot take CS 461-463 due to pro school requirements.</w:t>
      </w:r>
    </w:p>
    <w:p w14:paraId="654F9D7A" w14:textId="3D1BDD55" w:rsidR="006503D4" w:rsidRDefault="006503D4" w:rsidP="00410D66">
      <w:pPr>
        <w:pStyle w:val="ListParagraph"/>
        <w:numPr>
          <w:ilvl w:val="1"/>
          <w:numId w:val="4"/>
        </w:numPr>
        <w:rPr>
          <w:rFonts w:ascii="Garamond" w:hAnsi="Garamond"/>
        </w:rPr>
      </w:pPr>
      <w:r>
        <w:rPr>
          <w:rFonts w:ascii="Garamond" w:hAnsi="Garamond"/>
        </w:rPr>
        <w:t xml:space="preserve">A three-course introductory sequence of </w:t>
      </w:r>
      <w:r w:rsidRPr="006503D4">
        <w:rPr>
          <w:rFonts w:ascii="Garamond" w:hAnsi="Garamond"/>
          <w:i/>
        </w:rPr>
        <w:t>integrated</w:t>
      </w:r>
      <w:r>
        <w:rPr>
          <w:rFonts w:ascii="Garamond" w:hAnsi="Garamond"/>
        </w:rPr>
        <w:t xml:space="preserve"> software development including microcontroller programming, web services, service orchestration, test-driven development, database management systems, web applications, mobile applications, data visualization, software engineering tools, software engineering methodology, communication and teamwork. </w:t>
      </w:r>
      <w:r w:rsidR="003E4AD8">
        <w:rPr>
          <w:rFonts w:ascii="Garamond" w:hAnsi="Garamond"/>
        </w:rPr>
        <w:t>While the CS curriculum includes courses on most of these topics, first-year students cannot take them, and no CS course sequence presents these topics in an integrated, project-based manner.</w:t>
      </w:r>
    </w:p>
    <w:p w14:paraId="1A4DFE27" w14:textId="72A5789F" w:rsidR="003E4AD8" w:rsidRDefault="003E4AD8" w:rsidP="00410D66">
      <w:pPr>
        <w:pStyle w:val="ListParagraph"/>
        <w:numPr>
          <w:ilvl w:val="1"/>
          <w:numId w:val="4"/>
        </w:numPr>
        <w:rPr>
          <w:rFonts w:ascii="Garamond" w:hAnsi="Garamond"/>
        </w:rPr>
      </w:pPr>
      <w:r>
        <w:rPr>
          <w:rFonts w:ascii="Garamond" w:hAnsi="Garamond"/>
        </w:rPr>
        <w:t>A three-course sequence on data science engineering. The undergraduate CS curriculum does not provide courses that directly represent data science or how to engineer systems for data science. While the CS curriculum does provide a few related courses, second-year students cannot take them, and no CS course sequence presents these topics in an integrated manner.</w:t>
      </w:r>
    </w:p>
    <w:p w14:paraId="6EB6A8F9" w14:textId="24EBEE88" w:rsidR="003E4AD8" w:rsidRDefault="003E4AD8" w:rsidP="00410D66">
      <w:pPr>
        <w:pStyle w:val="ListParagraph"/>
        <w:numPr>
          <w:ilvl w:val="1"/>
          <w:numId w:val="4"/>
        </w:numPr>
        <w:rPr>
          <w:rFonts w:ascii="Garamond" w:hAnsi="Garamond"/>
        </w:rPr>
      </w:pPr>
      <w:r>
        <w:rPr>
          <w:rFonts w:ascii="Garamond" w:hAnsi="Garamond"/>
        </w:rPr>
        <w:t xml:space="preserve">A three-course sequence on scalability, infrastructure and security. While the CS curriculum does provide some courses on security, it does not provide courses on containerization, scalable </w:t>
      </w:r>
      <w:proofErr w:type="spellStart"/>
      <w:r>
        <w:rPr>
          <w:rFonts w:ascii="Garamond" w:hAnsi="Garamond"/>
        </w:rPr>
        <w:t>microservice</w:t>
      </w:r>
      <w:proofErr w:type="spellEnd"/>
      <w:r>
        <w:rPr>
          <w:rFonts w:ascii="Garamond" w:hAnsi="Garamond"/>
        </w:rPr>
        <w:t xml:space="preserve"> architectures, orchestration, systems engineering, high availability, and performance auditing.</w:t>
      </w:r>
    </w:p>
    <w:p w14:paraId="51116F69" w14:textId="6FAEBFDA" w:rsidR="003E4AD8" w:rsidRPr="00410D66" w:rsidRDefault="009057A8" w:rsidP="00410D66">
      <w:pPr>
        <w:pStyle w:val="ListParagraph"/>
        <w:numPr>
          <w:ilvl w:val="1"/>
          <w:numId w:val="4"/>
        </w:numPr>
        <w:rPr>
          <w:rFonts w:ascii="Garamond" w:hAnsi="Garamond"/>
        </w:rPr>
      </w:pPr>
      <w:r>
        <w:rPr>
          <w:rFonts w:ascii="Garamond" w:hAnsi="Garamond"/>
        </w:rPr>
        <w:t>A three-course sequence on the business of software. The CS curriculum does provide a single</w:t>
      </w:r>
      <w:r w:rsidR="00720101">
        <w:rPr>
          <w:rFonts w:ascii="Garamond" w:hAnsi="Garamond"/>
        </w:rPr>
        <w:t xml:space="preserve"> related</w:t>
      </w:r>
      <w:r>
        <w:rPr>
          <w:rFonts w:ascii="Garamond" w:hAnsi="Garamond"/>
        </w:rPr>
        <w:t xml:space="preserve"> course</w:t>
      </w:r>
      <w:r w:rsidR="00720101">
        <w:rPr>
          <w:rFonts w:ascii="Garamond" w:hAnsi="Garamond"/>
        </w:rPr>
        <w:t>, CS 466, but focuses only on the early stage of a software business. The SE curriculum extends this topic to include business operations, sales, marketing, management, project management, business scalability, process, leadership, and organizational change.</w:t>
      </w:r>
    </w:p>
    <w:p w14:paraId="3F380907" w14:textId="77777777" w:rsidR="00276F9A" w:rsidRDefault="00276F9A" w:rsidP="00995BA3">
      <w:pPr>
        <w:rPr>
          <w:rFonts w:ascii="Garamond" w:hAnsi="Garamond"/>
        </w:rPr>
      </w:pPr>
    </w:p>
    <w:p w14:paraId="53EC0B0A" w14:textId="1299CFE8" w:rsidR="00AA43E1" w:rsidRDefault="00BE37CB" w:rsidP="00FF66FB">
      <w:pPr>
        <w:ind w:left="720"/>
        <w:rPr>
          <w:rFonts w:ascii="Garamond" w:hAnsi="Garamond"/>
        </w:rPr>
      </w:pPr>
      <w:r>
        <w:rPr>
          <w:rFonts w:ascii="Garamond" w:hAnsi="Garamond"/>
        </w:rPr>
        <w:t>In addition to considering the examples above, we encourage the reader to recognize that the SE course designator is not merely for categorizing a subset of courses on entirely new topics that are not present within existing curricula. Rather, we request the SE course designator</w:t>
      </w:r>
      <w:r w:rsidR="00A56CCB">
        <w:rPr>
          <w:rFonts w:ascii="Garamond" w:hAnsi="Garamond"/>
        </w:rPr>
        <w:t xml:space="preserve"> primarily for identifying </w:t>
      </w:r>
      <w:r w:rsidR="00A56CCB" w:rsidRPr="00A56CCB">
        <w:rPr>
          <w:rFonts w:ascii="Garamond" w:hAnsi="Garamond"/>
          <w:i/>
        </w:rPr>
        <w:t>a</w:t>
      </w:r>
      <w:r w:rsidRPr="00A56CCB">
        <w:rPr>
          <w:rFonts w:ascii="Garamond" w:hAnsi="Garamond"/>
          <w:i/>
        </w:rPr>
        <w:t xml:space="preserve"> new, innovative curriculum design</w:t>
      </w:r>
      <w:r>
        <w:rPr>
          <w:rFonts w:ascii="Garamond" w:hAnsi="Garamond"/>
        </w:rPr>
        <w:t xml:space="preserve"> whose primary content is software engineering.</w:t>
      </w:r>
    </w:p>
    <w:p w14:paraId="5AC82EE9" w14:textId="77777777" w:rsidR="00B525DE" w:rsidRPr="00955ADD" w:rsidRDefault="00B525DE" w:rsidP="00773CAB">
      <w:pPr>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27DA3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1715A4"/>
    <w:rsid w:val="0018248F"/>
    <w:rsid w:val="001F4ECC"/>
    <w:rsid w:val="00245F99"/>
    <w:rsid w:val="00276F9A"/>
    <w:rsid w:val="0028238E"/>
    <w:rsid w:val="002874D4"/>
    <w:rsid w:val="002A212B"/>
    <w:rsid w:val="002C0B1F"/>
    <w:rsid w:val="002D248F"/>
    <w:rsid w:val="002D31EE"/>
    <w:rsid w:val="00307B8F"/>
    <w:rsid w:val="003E4AD8"/>
    <w:rsid w:val="003E5B02"/>
    <w:rsid w:val="00410D66"/>
    <w:rsid w:val="00462A87"/>
    <w:rsid w:val="00487592"/>
    <w:rsid w:val="004C700B"/>
    <w:rsid w:val="004D6FDB"/>
    <w:rsid w:val="004F2F0A"/>
    <w:rsid w:val="00596E6E"/>
    <w:rsid w:val="005A09D1"/>
    <w:rsid w:val="005F1472"/>
    <w:rsid w:val="00631260"/>
    <w:rsid w:val="0063770D"/>
    <w:rsid w:val="006503D4"/>
    <w:rsid w:val="00673A4E"/>
    <w:rsid w:val="006A5BB2"/>
    <w:rsid w:val="006C226D"/>
    <w:rsid w:val="006C68E4"/>
    <w:rsid w:val="00720101"/>
    <w:rsid w:val="00730549"/>
    <w:rsid w:val="00765271"/>
    <w:rsid w:val="00773CAB"/>
    <w:rsid w:val="007812DE"/>
    <w:rsid w:val="0078283A"/>
    <w:rsid w:val="007A3223"/>
    <w:rsid w:val="00820E08"/>
    <w:rsid w:val="00842B54"/>
    <w:rsid w:val="008A32C7"/>
    <w:rsid w:val="008B7BBA"/>
    <w:rsid w:val="008C2AE6"/>
    <w:rsid w:val="008F39B2"/>
    <w:rsid w:val="009057A8"/>
    <w:rsid w:val="00951259"/>
    <w:rsid w:val="00955ADD"/>
    <w:rsid w:val="00995BA3"/>
    <w:rsid w:val="009C5318"/>
    <w:rsid w:val="009E2B05"/>
    <w:rsid w:val="009F5D5B"/>
    <w:rsid w:val="009F7506"/>
    <w:rsid w:val="00A56CCB"/>
    <w:rsid w:val="00A87DDC"/>
    <w:rsid w:val="00A93491"/>
    <w:rsid w:val="00A937DF"/>
    <w:rsid w:val="00A93F81"/>
    <w:rsid w:val="00AA43E1"/>
    <w:rsid w:val="00AC44DD"/>
    <w:rsid w:val="00AF5C8D"/>
    <w:rsid w:val="00B057A0"/>
    <w:rsid w:val="00B31837"/>
    <w:rsid w:val="00B525DE"/>
    <w:rsid w:val="00BC108E"/>
    <w:rsid w:val="00BE37CB"/>
    <w:rsid w:val="00C3788B"/>
    <w:rsid w:val="00C44305"/>
    <w:rsid w:val="00C86033"/>
    <w:rsid w:val="00C946B3"/>
    <w:rsid w:val="00DD2695"/>
    <w:rsid w:val="00DE3010"/>
    <w:rsid w:val="00DF7448"/>
    <w:rsid w:val="00E421B3"/>
    <w:rsid w:val="00E82ADB"/>
    <w:rsid w:val="00EC1C62"/>
    <w:rsid w:val="00EC6DDC"/>
    <w:rsid w:val="00ED70AF"/>
    <w:rsid w:val="00F764FF"/>
    <w:rsid w:val="00F82307"/>
    <w:rsid w:val="00FC424D"/>
    <w:rsid w:val="00FD4748"/>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1676</Words>
  <Characters>9557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41</cp:revision>
  <dcterms:created xsi:type="dcterms:W3CDTF">2017-09-16T15:49:00Z</dcterms:created>
  <dcterms:modified xsi:type="dcterms:W3CDTF">2017-12-13T16:43:00Z</dcterms:modified>
</cp:coreProperties>
</file>