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387" w:rsidRPr="00BE5387" w:rsidRDefault="00BE5387" w:rsidP="00BE5387">
      <w:pPr>
        <w:spacing w:after="0" w:line="240" w:lineRule="auto"/>
        <w:jc w:val="center"/>
        <w:rPr>
          <w:rFonts w:ascii="Tahoma" w:eastAsia="Times New Roman" w:hAnsi="Tahoma" w:cs="Tahoma"/>
          <w:color w:val="5B5648"/>
          <w:sz w:val="17"/>
          <w:szCs w:val="17"/>
        </w:rPr>
      </w:pPr>
      <w:r w:rsidRPr="00BE5387">
        <w:rPr>
          <w:rFonts w:ascii="Times New Roman" w:eastAsia="Times New Roman" w:hAnsi="Times New Roman" w:cs="Times New Roman"/>
          <w:b/>
          <w:bCs/>
          <w:color w:val="5B5648"/>
          <w:sz w:val="32"/>
          <w:szCs w:val="32"/>
        </w:rPr>
        <w:br/>
        <w:t>2013-2014</w:t>
      </w:r>
    </w:p>
    <w:p w:rsidR="00BE5387" w:rsidRPr="00BE5387" w:rsidRDefault="00BE5387" w:rsidP="00BE5387">
      <w:pPr>
        <w:spacing w:after="0" w:line="240" w:lineRule="auto"/>
        <w:jc w:val="center"/>
        <w:rPr>
          <w:rFonts w:ascii="Tahoma" w:eastAsia="Times New Roman" w:hAnsi="Tahoma" w:cs="Tahoma"/>
          <w:color w:val="5B5648"/>
          <w:sz w:val="17"/>
          <w:szCs w:val="17"/>
        </w:rPr>
      </w:pPr>
      <w:r w:rsidRPr="00BE5387">
        <w:rPr>
          <w:rFonts w:ascii="Times New Roman" w:eastAsia="Times New Roman" w:hAnsi="Times New Roman" w:cs="Times New Roman"/>
          <w:b/>
          <w:bCs/>
          <w:color w:val="5B5648"/>
          <w:sz w:val="48"/>
          <w:szCs w:val="48"/>
        </w:rPr>
        <w:t>Ohio Grand Prix</w:t>
      </w:r>
    </w:p>
    <w:p w:rsidR="00BE5387" w:rsidRPr="00BE5387" w:rsidRDefault="00BE5387" w:rsidP="00BE5387">
      <w:pPr>
        <w:spacing w:after="0" w:line="240" w:lineRule="auto"/>
        <w:rPr>
          <w:rFonts w:ascii="Tahoma" w:eastAsia="Times New Roman" w:hAnsi="Tahoma" w:cs="Tahoma"/>
          <w:color w:val="5B5648"/>
          <w:sz w:val="17"/>
          <w:szCs w:val="17"/>
        </w:rPr>
      </w:pPr>
      <w:r w:rsidRPr="00BE5387">
        <w:rPr>
          <w:rFonts w:ascii="Times New Roman" w:eastAsia="Times New Roman" w:hAnsi="Times New Roman" w:cs="Times New Roman"/>
          <w:color w:val="5B5648"/>
          <w:sz w:val="24"/>
          <w:szCs w:val="24"/>
        </w:rPr>
        <w:t>The Ohio Grand Prix (OGP) is based on the score players earn at qualifying tournaments over a one year period, starting with the Ohio Chess Congress and ending with the last qualifying tournament prior to the following Congress.</w:t>
      </w:r>
    </w:p>
    <w:p w:rsidR="00BE5387" w:rsidRPr="00BE5387" w:rsidRDefault="00BE5387" w:rsidP="00BE5387">
      <w:pPr>
        <w:spacing w:after="0" w:line="240" w:lineRule="auto"/>
        <w:jc w:val="center"/>
        <w:rPr>
          <w:rFonts w:ascii="Tahoma" w:eastAsia="Times New Roman" w:hAnsi="Tahoma" w:cs="Tahoma"/>
          <w:color w:val="5B5648"/>
          <w:sz w:val="17"/>
          <w:szCs w:val="17"/>
        </w:rPr>
      </w:pPr>
      <w:r w:rsidRPr="00BE5387">
        <w:rPr>
          <w:rFonts w:ascii="Times New Roman" w:eastAsia="Times New Roman" w:hAnsi="Times New Roman" w:cs="Times New Roman"/>
          <w:b/>
          <w:bCs/>
          <w:color w:val="5B5648"/>
          <w:sz w:val="32"/>
          <w:szCs w:val="32"/>
        </w:rPr>
        <w:t>Requirements</w:t>
      </w:r>
    </w:p>
    <w:p w:rsidR="00BE5387" w:rsidRPr="00BE5387" w:rsidRDefault="00BE5387" w:rsidP="00BE5387">
      <w:pPr>
        <w:numPr>
          <w:ilvl w:val="0"/>
          <w:numId w:val="1"/>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All members of the Ohio Chess Association (OCA) are automatically enrolled in the program, no entry form or fee is required.</w:t>
      </w:r>
    </w:p>
    <w:p w:rsidR="00BE5387" w:rsidRPr="00BE5387" w:rsidRDefault="00BE5387" w:rsidP="00BE5387">
      <w:pPr>
        <w:numPr>
          <w:ilvl w:val="0"/>
          <w:numId w:val="1"/>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Ohio residency is not required.</w:t>
      </w:r>
    </w:p>
    <w:p w:rsidR="00BE5387" w:rsidRPr="00BE5387" w:rsidRDefault="00BE5387" w:rsidP="00BE5387">
      <w:pPr>
        <w:numPr>
          <w:ilvl w:val="0"/>
          <w:numId w:val="1"/>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OCA membership must be current at the time of a qualifying tournament for a player’s score from that tournament to count.</w:t>
      </w:r>
    </w:p>
    <w:p w:rsidR="00BE5387" w:rsidRPr="00BE5387" w:rsidRDefault="00BE5387" w:rsidP="00BE5387">
      <w:pPr>
        <w:numPr>
          <w:ilvl w:val="0"/>
          <w:numId w:val="1"/>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Players may check their membership status on the membership roster which will be maintained on the OCA website, </w:t>
      </w:r>
      <w:hyperlink r:id="rId6" w:history="1">
        <w:r w:rsidRPr="00BE5387">
          <w:rPr>
            <w:rFonts w:ascii="Tahoma" w:eastAsia="Times New Roman" w:hAnsi="Tahoma" w:cs="Tahoma"/>
            <w:color w:val="960000"/>
            <w:sz w:val="17"/>
            <w:szCs w:val="17"/>
          </w:rPr>
          <w:t>www.ohchess.org</w:t>
        </w:r>
      </w:hyperlink>
      <w:r w:rsidRPr="00BE5387">
        <w:rPr>
          <w:rFonts w:ascii="Tahoma" w:eastAsia="Times New Roman" w:hAnsi="Tahoma" w:cs="Tahoma"/>
          <w:color w:val="5B5648"/>
          <w:sz w:val="17"/>
          <w:szCs w:val="17"/>
        </w:rPr>
        <w:t>.</w:t>
      </w:r>
    </w:p>
    <w:p w:rsidR="00BE5387" w:rsidRPr="00BE5387" w:rsidRDefault="00BE5387" w:rsidP="00BE5387">
      <w:pPr>
        <w:numPr>
          <w:ilvl w:val="0"/>
          <w:numId w:val="1"/>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Renew or purchase your membership online at the OCA website (ohchess.org), or contact OCA Membership Chair Cheryl Stagg (</w:t>
      </w:r>
      <w:hyperlink r:id="rId7" w:history="1">
        <w:r w:rsidRPr="00BE5387">
          <w:rPr>
            <w:rFonts w:ascii="Tahoma" w:eastAsia="Times New Roman" w:hAnsi="Tahoma" w:cs="Tahoma"/>
            <w:color w:val="960000"/>
            <w:sz w:val="17"/>
            <w:szCs w:val="17"/>
          </w:rPr>
          <w:t>cstagg@columbus.rr.com</w:t>
        </w:r>
      </w:hyperlink>
      <w:r w:rsidRPr="00BE5387">
        <w:rPr>
          <w:rFonts w:ascii="Tahoma" w:eastAsia="Times New Roman" w:hAnsi="Tahoma" w:cs="Tahoma"/>
          <w:color w:val="5B5648"/>
          <w:sz w:val="17"/>
          <w:szCs w:val="17"/>
        </w:rPr>
        <w:t>). OCA memberships may not be available for sale at all tournaments.</w:t>
      </w:r>
    </w:p>
    <w:p w:rsidR="00BE5387" w:rsidRPr="00BE5387" w:rsidRDefault="00BE5387" w:rsidP="00BE5387">
      <w:pPr>
        <w:spacing w:after="0" w:line="240" w:lineRule="auto"/>
        <w:jc w:val="center"/>
        <w:rPr>
          <w:rFonts w:ascii="Tahoma" w:eastAsia="Times New Roman" w:hAnsi="Tahoma" w:cs="Tahoma"/>
          <w:color w:val="5B5648"/>
          <w:sz w:val="17"/>
          <w:szCs w:val="17"/>
        </w:rPr>
      </w:pPr>
      <w:r w:rsidRPr="00BE5387">
        <w:rPr>
          <w:rFonts w:ascii="Times New Roman" w:eastAsia="Times New Roman" w:hAnsi="Times New Roman" w:cs="Times New Roman"/>
          <w:b/>
          <w:bCs/>
          <w:color w:val="5B5648"/>
          <w:sz w:val="32"/>
          <w:szCs w:val="32"/>
        </w:rPr>
        <w:t>Scoring</w:t>
      </w:r>
    </w:p>
    <w:p w:rsidR="00BE5387" w:rsidRPr="00BE5387" w:rsidRDefault="00BE5387" w:rsidP="00BE5387">
      <w:pPr>
        <w:spacing w:after="0" w:line="240" w:lineRule="auto"/>
        <w:rPr>
          <w:rFonts w:ascii="Tahoma" w:eastAsia="Times New Roman" w:hAnsi="Tahoma" w:cs="Tahoma"/>
          <w:color w:val="5B5648"/>
          <w:sz w:val="17"/>
          <w:szCs w:val="17"/>
        </w:rPr>
      </w:pPr>
      <w:r w:rsidRPr="00BE5387">
        <w:rPr>
          <w:rFonts w:ascii="Times New Roman" w:eastAsia="Times New Roman" w:hAnsi="Times New Roman" w:cs="Times New Roman"/>
          <w:color w:val="5B5648"/>
          <w:sz w:val="24"/>
          <w:szCs w:val="24"/>
        </w:rPr>
        <w:t>A player’s final score in each qualifying tournament, plus one point for each qualifying</w:t>
      </w:r>
      <w:r w:rsidRPr="00BE5387">
        <w:rPr>
          <w:rFonts w:ascii="Tahoma" w:eastAsia="Times New Roman" w:hAnsi="Tahoma" w:cs="Tahoma"/>
          <w:color w:val="5B5648"/>
          <w:sz w:val="17"/>
          <w:szCs w:val="17"/>
        </w:rPr>
        <w:t> </w:t>
      </w:r>
      <w:r w:rsidRPr="00BE5387">
        <w:rPr>
          <w:rFonts w:ascii="Times New Roman" w:eastAsia="Times New Roman" w:hAnsi="Times New Roman" w:cs="Times New Roman"/>
          <w:color w:val="5B5648"/>
          <w:sz w:val="24"/>
          <w:szCs w:val="24"/>
        </w:rPr>
        <w:t xml:space="preserve">tournament entered, will be totaled to determine final points for the </w:t>
      </w:r>
      <w:proofErr w:type="spellStart"/>
      <w:r w:rsidRPr="00BE5387">
        <w:rPr>
          <w:rFonts w:ascii="Times New Roman" w:eastAsia="Times New Roman" w:hAnsi="Times New Roman" w:cs="Times New Roman"/>
          <w:color w:val="5B5648"/>
          <w:sz w:val="24"/>
          <w:szCs w:val="24"/>
        </w:rPr>
        <w:t>OGPx</w:t>
      </w:r>
      <w:proofErr w:type="spellEnd"/>
      <w:r w:rsidRPr="00BE5387">
        <w:rPr>
          <w:rFonts w:ascii="Times New Roman" w:eastAsia="Times New Roman" w:hAnsi="Times New Roman" w:cs="Times New Roman"/>
          <w:color w:val="5B5648"/>
          <w:sz w:val="24"/>
          <w:szCs w:val="24"/>
        </w:rPr>
        <w:t>.</w:t>
      </w:r>
      <w:r w:rsidRPr="00BE5387">
        <w:rPr>
          <w:rFonts w:ascii="Times New Roman" w:eastAsia="Times New Roman" w:hAnsi="Times New Roman" w:cs="Times New Roman"/>
          <w:color w:val="548DD4"/>
          <w:sz w:val="24"/>
          <w:szCs w:val="24"/>
        </w:rPr>
        <w:t>  </w:t>
      </w:r>
      <w:r w:rsidRPr="00BE5387">
        <w:rPr>
          <w:rFonts w:ascii="Times New Roman" w:eastAsia="Times New Roman" w:hAnsi="Times New Roman" w:cs="Times New Roman"/>
          <w:color w:val="5B5648"/>
          <w:sz w:val="24"/>
          <w:szCs w:val="24"/>
        </w:rPr>
        <w:t>OCA will tally scores from the cross tables posted on the USCF MSA website for each tournament, as follows:</w:t>
      </w:r>
    </w:p>
    <w:p w:rsidR="00BE5387" w:rsidRPr="00BE5387" w:rsidRDefault="00BE5387" w:rsidP="00BE5387">
      <w:pPr>
        <w:numPr>
          <w:ilvl w:val="0"/>
          <w:numId w:val="2"/>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Scores only from the main event will count; side events or extra rated games will not.</w:t>
      </w:r>
    </w:p>
    <w:p w:rsidR="00BE5387" w:rsidRPr="00BE5387" w:rsidRDefault="00BE5387" w:rsidP="00BE5387">
      <w:pPr>
        <w:numPr>
          <w:ilvl w:val="0"/>
          <w:numId w:val="2"/>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All byes will count. If a player receives a full point by and is cross-paired into another section for the same round, the result from the cross-paired game will not count.</w:t>
      </w:r>
    </w:p>
    <w:p w:rsidR="00BE5387" w:rsidRPr="00BE5387" w:rsidRDefault="00BE5387" w:rsidP="00BE5387">
      <w:pPr>
        <w:numPr>
          <w:ilvl w:val="0"/>
          <w:numId w:val="2"/>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Points earned in games which are abandoned to re-enter a tournament will not count.</w:t>
      </w:r>
    </w:p>
    <w:p w:rsidR="00BE5387" w:rsidRPr="00BE5387" w:rsidRDefault="00BE5387" w:rsidP="00BE5387">
      <w:pPr>
        <w:spacing w:after="0" w:line="240" w:lineRule="auto"/>
        <w:jc w:val="center"/>
        <w:rPr>
          <w:rFonts w:ascii="Tahoma" w:eastAsia="Times New Roman" w:hAnsi="Tahoma" w:cs="Tahoma"/>
          <w:color w:val="5B5648"/>
          <w:sz w:val="17"/>
          <w:szCs w:val="17"/>
        </w:rPr>
      </w:pPr>
      <w:r w:rsidRPr="00BE5387">
        <w:rPr>
          <w:rFonts w:ascii="Times New Roman" w:eastAsia="Times New Roman" w:hAnsi="Times New Roman" w:cs="Times New Roman"/>
          <w:b/>
          <w:bCs/>
          <w:color w:val="5B5648"/>
          <w:sz w:val="32"/>
          <w:szCs w:val="32"/>
        </w:rPr>
        <w:t>Prizes</w:t>
      </w:r>
    </w:p>
    <w:p w:rsidR="00BE5387" w:rsidRPr="00BE5387" w:rsidRDefault="00BE5387" w:rsidP="00BE5387">
      <w:pPr>
        <w:spacing w:after="0" w:line="240" w:lineRule="auto"/>
        <w:rPr>
          <w:rFonts w:ascii="Tahoma" w:eastAsia="Times New Roman" w:hAnsi="Tahoma" w:cs="Tahoma"/>
          <w:color w:val="5B5648"/>
          <w:sz w:val="17"/>
          <w:szCs w:val="17"/>
        </w:rPr>
      </w:pPr>
      <w:r w:rsidRPr="00BE5387">
        <w:rPr>
          <w:rFonts w:ascii="Times New Roman" w:eastAsia="Times New Roman" w:hAnsi="Times New Roman" w:cs="Times New Roman"/>
          <w:color w:val="5B5648"/>
          <w:sz w:val="24"/>
          <w:szCs w:val="24"/>
        </w:rPr>
        <w:t>Prizes consist of $25 and a trophy or plaque to the player with the most points in each rating class, following the last qualifying event prior to the next Congress. In the event of ties, duplicate full-value prizes will be awarded to those tied. A player’s rating class is based on his/her rating as of the September USCF Rating supplement at the end of the OGP:</w:t>
      </w:r>
    </w:p>
    <w:p w:rsidR="00BE5387" w:rsidRPr="00BE5387" w:rsidRDefault="00BE5387" w:rsidP="00BE5387">
      <w:pPr>
        <w:numPr>
          <w:ilvl w:val="0"/>
          <w:numId w:val="3"/>
        </w:numPr>
        <w:spacing w:before="100" w:beforeAutospacing="1" w:after="100" w:afterAutospacing="1" w:line="206" w:lineRule="atLeast"/>
        <w:rPr>
          <w:rFonts w:ascii="Tahoma" w:eastAsia="Times New Roman" w:hAnsi="Tahoma" w:cs="Tahoma"/>
          <w:color w:val="5B5648"/>
          <w:sz w:val="17"/>
          <w:szCs w:val="17"/>
        </w:rPr>
      </w:pPr>
      <w:r w:rsidRPr="00BE5387">
        <w:rPr>
          <w:rFonts w:ascii="Times New Roman" w:eastAsia="Times New Roman" w:hAnsi="Times New Roman" w:cs="Times New Roman"/>
          <w:color w:val="5B5648"/>
          <w:sz w:val="14"/>
          <w:szCs w:val="14"/>
        </w:rPr>
        <w:t>         </w:t>
      </w:r>
      <w:r w:rsidRPr="00BE5387">
        <w:rPr>
          <w:rFonts w:ascii="Times New Roman" w:eastAsia="Times New Roman" w:hAnsi="Times New Roman" w:cs="Times New Roman"/>
          <w:color w:val="5B5648"/>
          <w:sz w:val="24"/>
          <w:szCs w:val="24"/>
        </w:rPr>
        <w:t>Master 2200 &amp; above</w:t>
      </w:r>
    </w:p>
    <w:p w:rsidR="00BE5387" w:rsidRPr="00BE5387" w:rsidRDefault="00BE5387" w:rsidP="00BE5387">
      <w:pPr>
        <w:numPr>
          <w:ilvl w:val="0"/>
          <w:numId w:val="3"/>
        </w:numPr>
        <w:spacing w:before="100" w:beforeAutospacing="1" w:after="100" w:afterAutospacing="1" w:line="206" w:lineRule="atLeast"/>
        <w:rPr>
          <w:rFonts w:ascii="Tahoma" w:eastAsia="Times New Roman" w:hAnsi="Tahoma" w:cs="Tahoma"/>
          <w:color w:val="5B5648"/>
          <w:sz w:val="17"/>
          <w:szCs w:val="17"/>
        </w:rPr>
      </w:pPr>
      <w:r w:rsidRPr="00BE5387">
        <w:rPr>
          <w:rFonts w:ascii="Times New Roman" w:eastAsia="Times New Roman" w:hAnsi="Times New Roman" w:cs="Times New Roman"/>
          <w:color w:val="5B5648"/>
          <w:sz w:val="14"/>
          <w:szCs w:val="14"/>
        </w:rPr>
        <w:t>         </w:t>
      </w:r>
      <w:r w:rsidRPr="00BE5387">
        <w:rPr>
          <w:rFonts w:ascii="Times New Roman" w:eastAsia="Times New Roman" w:hAnsi="Times New Roman" w:cs="Times New Roman"/>
          <w:color w:val="5B5648"/>
          <w:sz w:val="24"/>
          <w:szCs w:val="24"/>
        </w:rPr>
        <w:t>Expert 2000-2199</w:t>
      </w:r>
    </w:p>
    <w:p w:rsidR="00BE5387" w:rsidRPr="00BE5387" w:rsidRDefault="00BE5387" w:rsidP="00BE5387">
      <w:pPr>
        <w:numPr>
          <w:ilvl w:val="0"/>
          <w:numId w:val="3"/>
        </w:numPr>
        <w:spacing w:before="100" w:beforeAutospacing="1" w:after="100" w:afterAutospacing="1" w:line="206" w:lineRule="atLeast"/>
        <w:rPr>
          <w:rFonts w:ascii="Tahoma" w:eastAsia="Times New Roman" w:hAnsi="Tahoma" w:cs="Tahoma"/>
          <w:color w:val="5B5648"/>
          <w:sz w:val="17"/>
          <w:szCs w:val="17"/>
        </w:rPr>
      </w:pPr>
      <w:r w:rsidRPr="00BE5387">
        <w:rPr>
          <w:rFonts w:ascii="Times New Roman" w:eastAsia="Times New Roman" w:hAnsi="Times New Roman" w:cs="Times New Roman"/>
          <w:color w:val="5B5648"/>
          <w:sz w:val="14"/>
          <w:szCs w:val="14"/>
        </w:rPr>
        <w:t>         </w:t>
      </w:r>
      <w:r w:rsidRPr="00BE5387">
        <w:rPr>
          <w:rFonts w:ascii="Times New Roman" w:eastAsia="Times New Roman" w:hAnsi="Times New Roman" w:cs="Times New Roman"/>
          <w:color w:val="5B5648"/>
          <w:sz w:val="24"/>
          <w:szCs w:val="24"/>
        </w:rPr>
        <w:t>A 1800-1999</w:t>
      </w:r>
    </w:p>
    <w:p w:rsidR="00BE5387" w:rsidRPr="00BE5387" w:rsidRDefault="00BE5387" w:rsidP="00BE5387">
      <w:pPr>
        <w:numPr>
          <w:ilvl w:val="0"/>
          <w:numId w:val="3"/>
        </w:numPr>
        <w:spacing w:before="100" w:beforeAutospacing="1" w:after="100" w:afterAutospacing="1" w:line="206" w:lineRule="atLeast"/>
        <w:rPr>
          <w:rFonts w:ascii="Tahoma" w:eastAsia="Times New Roman" w:hAnsi="Tahoma" w:cs="Tahoma"/>
          <w:color w:val="5B5648"/>
          <w:sz w:val="17"/>
          <w:szCs w:val="17"/>
        </w:rPr>
      </w:pPr>
      <w:r w:rsidRPr="00BE5387">
        <w:rPr>
          <w:rFonts w:ascii="Times New Roman" w:eastAsia="Times New Roman" w:hAnsi="Times New Roman" w:cs="Times New Roman"/>
          <w:color w:val="5B5648"/>
          <w:sz w:val="14"/>
          <w:szCs w:val="14"/>
        </w:rPr>
        <w:t>         </w:t>
      </w:r>
      <w:r w:rsidRPr="00BE5387">
        <w:rPr>
          <w:rFonts w:ascii="Times New Roman" w:eastAsia="Times New Roman" w:hAnsi="Times New Roman" w:cs="Times New Roman"/>
          <w:color w:val="5B5648"/>
          <w:sz w:val="24"/>
          <w:szCs w:val="24"/>
        </w:rPr>
        <w:t>B 1600-1799</w:t>
      </w:r>
    </w:p>
    <w:p w:rsidR="00BE5387" w:rsidRPr="00BE5387" w:rsidRDefault="00BE5387" w:rsidP="00BE5387">
      <w:pPr>
        <w:numPr>
          <w:ilvl w:val="0"/>
          <w:numId w:val="3"/>
        </w:numPr>
        <w:spacing w:before="100" w:beforeAutospacing="1" w:after="100" w:afterAutospacing="1" w:line="206" w:lineRule="atLeast"/>
        <w:rPr>
          <w:rFonts w:ascii="Tahoma" w:eastAsia="Times New Roman" w:hAnsi="Tahoma" w:cs="Tahoma"/>
          <w:color w:val="5B5648"/>
          <w:sz w:val="17"/>
          <w:szCs w:val="17"/>
        </w:rPr>
      </w:pPr>
      <w:r w:rsidRPr="00BE5387">
        <w:rPr>
          <w:rFonts w:ascii="Times New Roman" w:eastAsia="Times New Roman" w:hAnsi="Times New Roman" w:cs="Times New Roman"/>
          <w:color w:val="5B5648"/>
          <w:sz w:val="14"/>
          <w:szCs w:val="14"/>
        </w:rPr>
        <w:t>         </w:t>
      </w:r>
      <w:r w:rsidRPr="00BE5387">
        <w:rPr>
          <w:rFonts w:ascii="Times New Roman" w:eastAsia="Times New Roman" w:hAnsi="Times New Roman" w:cs="Times New Roman"/>
          <w:color w:val="5B5648"/>
          <w:sz w:val="24"/>
          <w:szCs w:val="24"/>
        </w:rPr>
        <w:t>C 1400-1599</w:t>
      </w:r>
    </w:p>
    <w:p w:rsidR="00BE5387" w:rsidRPr="00BE5387" w:rsidRDefault="00BE5387" w:rsidP="00BE5387">
      <w:pPr>
        <w:numPr>
          <w:ilvl w:val="0"/>
          <w:numId w:val="3"/>
        </w:numPr>
        <w:spacing w:before="100" w:beforeAutospacing="1" w:after="100" w:afterAutospacing="1" w:line="206" w:lineRule="atLeast"/>
        <w:rPr>
          <w:rFonts w:ascii="Tahoma" w:eastAsia="Times New Roman" w:hAnsi="Tahoma" w:cs="Tahoma"/>
          <w:color w:val="5B5648"/>
          <w:sz w:val="17"/>
          <w:szCs w:val="17"/>
        </w:rPr>
      </w:pPr>
      <w:r w:rsidRPr="00BE5387">
        <w:rPr>
          <w:rFonts w:ascii="Times New Roman" w:eastAsia="Times New Roman" w:hAnsi="Times New Roman" w:cs="Times New Roman"/>
          <w:color w:val="5B5648"/>
          <w:sz w:val="14"/>
          <w:szCs w:val="14"/>
        </w:rPr>
        <w:t>         </w:t>
      </w:r>
      <w:r w:rsidRPr="00BE5387">
        <w:rPr>
          <w:rFonts w:ascii="Times New Roman" w:eastAsia="Times New Roman" w:hAnsi="Times New Roman" w:cs="Times New Roman"/>
          <w:color w:val="5B5648"/>
          <w:sz w:val="24"/>
          <w:szCs w:val="24"/>
        </w:rPr>
        <w:t>D 1200-1399</w:t>
      </w:r>
    </w:p>
    <w:p w:rsidR="00BE5387" w:rsidRPr="00BE5387" w:rsidRDefault="00BE5387" w:rsidP="00BE5387">
      <w:pPr>
        <w:numPr>
          <w:ilvl w:val="0"/>
          <w:numId w:val="3"/>
        </w:numPr>
        <w:spacing w:before="100" w:beforeAutospacing="1" w:after="100" w:afterAutospacing="1" w:line="206" w:lineRule="atLeast"/>
        <w:rPr>
          <w:rFonts w:ascii="Tahoma" w:eastAsia="Times New Roman" w:hAnsi="Tahoma" w:cs="Tahoma"/>
          <w:color w:val="5B5648"/>
          <w:sz w:val="17"/>
          <w:szCs w:val="17"/>
        </w:rPr>
      </w:pPr>
      <w:r w:rsidRPr="00BE5387">
        <w:rPr>
          <w:rFonts w:ascii="Times New Roman" w:eastAsia="Times New Roman" w:hAnsi="Times New Roman" w:cs="Times New Roman"/>
          <w:color w:val="5B5648"/>
          <w:sz w:val="14"/>
          <w:szCs w:val="14"/>
        </w:rPr>
        <w:t>         </w:t>
      </w:r>
      <w:r w:rsidRPr="00BE5387">
        <w:rPr>
          <w:rFonts w:ascii="Times New Roman" w:eastAsia="Times New Roman" w:hAnsi="Times New Roman" w:cs="Times New Roman"/>
          <w:color w:val="5B5648"/>
          <w:sz w:val="24"/>
          <w:szCs w:val="24"/>
        </w:rPr>
        <w:t>E Under 1200</w:t>
      </w:r>
    </w:p>
    <w:p w:rsidR="00BE5387" w:rsidRPr="00BE5387" w:rsidRDefault="00BE5387" w:rsidP="00BE5387">
      <w:pPr>
        <w:spacing w:after="0" w:line="240" w:lineRule="auto"/>
        <w:jc w:val="center"/>
        <w:rPr>
          <w:rFonts w:ascii="Tahoma" w:eastAsia="Times New Roman" w:hAnsi="Tahoma" w:cs="Tahoma"/>
          <w:color w:val="5B5648"/>
          <w:sz w:val="17"/>
          <w:szCs w:val="17"/>
        </w:rPr>
      </w:pPr>
      <w:r w:rsidRPr="00BE5387">
        <w:rPr>
          <w:rFonts w:ascii="Times New Roman" w:eastAsia="Times New Roman" w:hAnsi="Times New Roman" w:cs="Times New Roman"/>
          <w:b/>
          <w:bCs/>
          <w:color w:val="5B5648"/>
          <w:sz w:val="32"/>
          <w:szCs w:val="32"/>
        </w:rPr>
        <w:t>Qualifying tournaments</w:t>
      </w:r>
    </w:p>
    <w:p w:rsidR="00BE5387" w:rsidRPr="00BE5387" w:rsidRDefault="00BE5387" w:rsidP="00BE5387">
      <w:pPr>
        <w:spacing w:after="0" w:line="240" w:lineRule="auto"/>
        <w:rPr>
          <w:rFonts w:ascii="Tahoma" w:eastAsia="Times New Roman" w:hAnsi="Tahoma" w:cs="Tahoma"/>
          <w:color w:val="5B5648"/>
          <w:sz w:val="17"/>
          <w:szCs w:val="17"/>
        </w:rPr>
      </w:pPr>
      <w:r w:rsidRPr="00BE5387">
        <w:rPr>
          <w:rFonts w:ascii="Times New Roman" w:eastAsia="Times New Roman" w:hAnsi="Times New Roman" w:cs="Times New Roman"/>
          <w:color w:val="5B5648"/>
          <w:sz w:val="24"/>
          <w:szCs w:val="24"/>
        </w:rPr>
        <w:t>Any tournament which meets the following conditions is automatically a qualifying tournament for the OGP:</w:t>
      </w:r>
    </w:p>
    <w:p w:rsidR="00BE5387" w:rsidRPr="00BE5387" w:rsidRDefault="00BE5387" w:rsidP="00BE5387">
      <w:pPr>
        <w:numPr>
          <w:ilvl w:val="0"/>
          <w:numId w:val="4"/>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lastRenderedPageBreak/>
        <w:t>Held in Ohio</w:t>
      </w:r>
    </w:p>
    <w:p w:rsidR="00BE5387" w:rsidRPr="00BE5387" w:rsidRDefault="00BE5387" w:rsidP="00BE5387">
      <w:pPr>
        <w:numPr>
          <w:ilvl w:val="0"/>
          <w:numId w:val="4"/>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Open to all USCF members who are also OCA members, with no restrictions based on age, rating or state of residence. For example, Scholastic, Senior, or masters-only tournaments do not qualify. Sections within an event may be restricted, but there must be sections such that everyone may compete. Team events may qualify.</w:t>
      </w:r>
    </w:p>
    <w:p w:rsidR="00BE5387" w:rsidRPr="00BE5387" w:rsidRDefault="00BE5387" w:rsidP="00BE5387">
      <w:pPr>
        <w:numPr>
          <w:ilvl w:val="0"/>
          <w:numId w:val="4"/>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Offer a minimum $3 discount off the normal entry fee to OCA members (except at Ohio Chess Congress and Cardinal Open where OCA membership is required to play)</w:t>
      </w:r>
    </w:p>
    <w:p w:rsidR="00BE5387" w:rsidRPr="00BE5387" w:rsidRDefault="00BE5387" w:rsidP="00BE5387">
      <w:pPr>
        <w:numPr>
          <w:ilvl w:val="0"/>
          <w:numId w:val="4"/>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Advertise in Chess Life and identify itself as an OGP tournament.</w:t>
      </w:r>
    </w:p>
    <w:p w:rsidR="00BE5387" w:rsidRPr="00BE5387" w:rsidRDefault="00BE5387" w:rsidP="00BE5387">
      <w:pPr>
        <w:numPr>
          <w:ilvl w:val="0"/>
          <w:numId w:val="4"/>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Advertise in the Ohio Chess Bulletin and identify itself as an OGP tournament (OGP events get one free ad in the OCB).</w:t>
      </w:r>
    </w:p>
    <w:p w:rsidR="00BE5387" w:rsidRPr="00BE5387" w:rsidRDefault="00BE5387" w:rsidP="00BE5387">
      <w:pPr>
        <w:numPr>
          <w:ilvl w:val="0"/>
          <w:numId w:val="4"/>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At the organizer’s option, OCA membership may or may not be required to enter the tournament (except at the Cardinal and Congress).</w:t>
      </w:r>
    </w:p>
    <w:p w:rsidR="00BE5387" w:rsidRPr="00BE5387" w:rsidRDefault="00BE5387" w:rsidP="00BE5387">
      <w:pPr>
        <w:numPr>
          <w:ilvl w:val="0"/>
          <w:numId w:val="4"/>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Tournaments are encouraged to sell OCA memberships with registration, but are not required to do so (except at the Cardinal and Congress).</w:t>
      </w:r>
    </w:p>
    <w:p w:rsidR="00BE5387" w:rsidRPr="00BE5387" w:rsidRDefault="00BE5387" w:rsidP="00BE5387">
      <w:pPr>
        <w:spacing w:after="0" w:line="240" w:lineRule="auto"/>
        <w:rPr>
          <w:rFonts w:ascii="Tahoma" w:eastAsia="Times New Roman" w:hAnsi="Tahoma" w:cs="Tahoma"/>
          <w:color w:val="5B5648"/>
          <w:sz w:val="17"/>
          <w:szCs w:val="17"/>
        </w:rPr>
      </w:pPr>
      <w:r w:rsidRPr="00BE5387">
        <w:rPr>
          <w:rFonts w:ascii="Times New Roman" w:eastAsia="Times New Roman" w:hAnsi="Times New Roman" w:cs="Times New Roman"/>
          <w:color w:val="5B5648"/>
          <w:sz w:val="24"/>
          <w:szCs w:val="24"/>
        </w:rPr>
        <w:t>Organizers of qualifying tournaments should contact either Cheryl Stagg or Duane Larkin (</w:t>
      </w:r>
      <w:hyperlink r:id="rId8" w:history="1">
        <w:r w:rsidRPr="00BE5387">
          <w:rPr>
            <w:rFonts w:ascii="Times New Roman" w:eastAsia="Times New Roman" w:hAnsi="Times New Roman" w:cs="Times New Roman"/>
            <w:color w:val="960000"/>
            <w:sz w:val="24"/>
            <w:szCs w:val="24"/>
          </w:rPr>
          <w:t>dman763@aol.com</w:t>
        </w:r>
      </w:hyperlink>
      <w:r w:rsidRPr="00BE5387">
        <w:rPr>
          <w:rFonts w:ascii="Times New Roman" w:eastAsia="Times New Roman" w:hAnsi="Times New Roman" w:cs="Times New Roman"/>
          <w:color w:val="5B5648"/>
          <w:sz w:val="24"/>
          <w:szCs w:val="24"/>
        </w:rPr>
        <w:t>) to notify them their event has met these criteria to ensure points are tallied for all players.</w:t>
      </w:r>
    </w:p>
    <w:p w:rsidR="00BE5387" w:rsidRPr="00BE5387" w:rsidRDefault="00BE5387" w:rsidP="00BE5387">
      <w:pPr>
        <w:spacing w:after="0" w:line="240" w:lineRule="auto"/>
        <w:rPr>
          <w:rFonts w:ascii="Tahoma" w:eastAsia="Times New Roman" w:hAnsi="Tahoma" w:cs="Tahoma"/>
          <w:color w:val="5B5648"/>
          <w:sz w:val="17"/>
          <w:szCs w:val="17"/>
        </w:rPr>
      </w:pPr>
      <w:r w:rsidRPr="00BE5387">
        <w:rPr>
          <w:rFonts w:ascii="Times New Roman" w:eastAsia="Times New Roman" w:hAnsi="Times New Roman" w:cs="Times New Roman"/>
          <w:b/>
          <w:bCs/>
          <w:color w:val="5B5648"/>
          <w:sz w:val="24"/>
          <w:szCs w:val="24"/>
        </w:rPr>
        <w:t>More information:</w:t>
      </w:r>
    </w:p>
    <w:p w:rsidR="00BE5387" w:rsidRPr="00BE5387" w:rsidRDefault="00BE5387" w:rsidP="00BE5387">
      <w:pPr>
        <w:numPr>
          <w:ilvl w:val="0"/>
          <w:numId w:val="5"/>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Check for qualifying tournaments at </w:t>
      </w:r>
      <w:hyperlink r:id="rId9" w:history="1">
        <w:r w:rsidRPr="00BE5387">
          <w:rPr>
            <w:rFonts w:ascii="Tahoma" w:eastAsia="Times New Roman" w:hAnsi="Tahoma" w:cs="Tahoma"/>
            <w:color w:val="960000"/>
            <w:sz w:val="17"/>
            <w:szCs w:val="17"/>
          </w:rPr>
          <w:t>www.ohchess.org</w:t>
        </w:r>
      </w:hyperlink>
      <w:r w:rsidRPr="00BE5387">
        <w:rPr>
          <w:rFonts w:ascii="Tahoma" w:eastAsia="Times New Roman" w:hAnsi="Tahoma" w:cs="Tahoma"/>
          <w:color w:val="5B5648"/>
          <w:sz w:val="17"/>
          <w:szCs w:val="17"/>
        </w:rPr>
        <w:t>;</w:t>
      </w:r>
    </w:p>
    <w:p w:rsidR="00BE5387" w:rsidRPr="00BE5387" w:rsidRDefault="00BE5387" w:rsidP="00BE5387">
      <w:pPr>
        <w:numPr>
          <w:ilvl w:val="0"/>
          <w:numId w:val="5"/>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To check the status of your OCA membership, visit </w:t>
      </w:r>
      <w:hyperlink r:id="rId10" w:history="1">
        <w:r w:rsidRPr="00BE5387">
          <w:rPr>
            <w:rFonts w:ascii="Tahoma" w:eastAsia="Times New Roman" w:hAnsi="Tahoma" w:cs="Tahoma"/>
            <w:color w:val="960000"/>
            <w:sz w:val="17"/>
            <w:szCs w:val="17"/>
          </w:rPr>
          <w:t>www.ohchess.org</w:t>
        </w:r>
      </w:hyperlink>
      <w:r w:rsidRPr="00BE5387">
        <w:rPr>
          <w:rFonts w:ascii="Tahoma" w:eastAsia="Times New Roman" w:hAnsi="Tahoma" w:cs="Tahoma"/>
          <w:color w:val="5B5648"/>
          <w:sz w:val="17"/>
          <w:szCs w:val="17"/>
        </w:rPr>
        <w:t>;</w:t>
      </w:r>
    </w:p>
    <w:p w:rsidR="00BE5387" w:rsidRPr="00BE5387" w:rsidRDefault="00BE5387" w:rsidP="00BE5387">
      <w:pPr>
        <w:numPr>
          <w:ilvl w:val="0"/>
          <w:numId w:val="5"/>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To purchase or renew your OCA membership, visit </w:t>
      </w:r>
      <w:hyperlink r:id="rId11" w:history="1">
        <w:r w:rsidRPr="00BE5387">
          <w:rPr>
            <w:rFonts w:ascii="Tahoma" w:eastAsia="Times New Roman" w:hAnsi="Tahoma" w:cs="Tahoma"/>
            <w:color w:val="960000"/>
            <w:sz w:val="17"/>
            <w:szCs w:val="17"/>
          </w:rPr>
          <w:t>www.ohchess.org</w:t>
        </w:r>
      </w:hyperlink>
      <w:r w:rsidRPr="00BE5387">
        <w:rPr>
          <w:rFonts w:ascii="Tahoma" w:eastAsia="Times New Roman" w:hAnsi="Tahoma" w:cs="Tahoma"/>
          <w:color w:val="5B5648"/>
          <w:sz w:val="17"/>
          <w:szCs w:val="17"/>
        </w:rPr>
        <w:t> or contact Membership Chair Cheryl Stagg (</w:t>
      </w:r>
      <w:hyperlink r:id="rId12" w:history="1">
        <w:r w:rsidRPr="00BE5387">
          <w:rPr>
            <w:rFonts w:ascii="Tahoma" w:eastAsia="Times New Roman" w:hAnsi="Tahoma" w:cs="Tahoma"/>
            <w:color w:val="960000"/>
            <w:sz w:val="17"/>
            <w:szCs w:val="17"/>
          </w:rPr>
          <w:t>cstagg@columbus.rr.com</w:t>
        </w:r>
      </w:hyperlink>
      <w:r w:rsidRPr="00BE5387">
        <w:rPr>
          <w:rFonts w:ascii="Tahoma" w:eastAsia="Times New Roman" w:hAnsi="Tahoma" w:cs="Tahoma"/>
          <w:color w:val="5B5648"/>
          <w:sz w:val="17"/>
          <w:szCs w:val="17"/>
        </w:rPr>
        <w:t>);</w:t>
      </w:r>
    </w:p>
    <w:p w:rsidR="00BE5387" w:rsidRPr="00BE5387" w:rsidRDefault="00BE5387" w:rsidP="00BE5387">
      <w:pPr>
        <w:numPr>
          <w:ilvl w:val="0"/>
          <w:numId w:val="5"/>
        </w:numPr>
        <w:spacing w:before="100" w:beforeAutospacing="1" w:after="100" w:afterAutospacing="1" w:line="206" w:lineRule="atLeast"/>
        <w:rPr>
          <w:rFonts w:ascii="Tahoma" w:eastAsia="Times New Roman" w:hAnsi="Tahoma" w:cs="Tahoma"/>
          <w:color w:val="5B5648"/>
          <w:sz w:val="17"/>
          <w:szCs w:val="17"/>
        </w:rPr>
      </w:pPr>
      <w:r w:rsidRPr="00BE5387">
        <w:rPr>
          <w:rFonts w:ascii="Tahoma" w:eastAsia="Times New Roman" w:hAnsi="Tahoma" w:cs="Tahoma"/>
          <w:color w:val="5B5648"/>
          <w:sz w:val="17"/>
          <w:szCs w:val="17"/>
        </w:rPr>
        <w:t>Other questions, contact OCA President Evan Shelton, </w:t>
      </w:r>
      <w:hyperlink r:id="rId13" w:history="1">
        <w:r w:rsidRPr="00BE5387">
          <w:rPr>
            <w:rFonts w:ascii="Tahoma" w:eastAsia="Times New Roman" w:hAnsi="Tahoma" w:cs="Tahoma"/>
            <w:color w:val="960000"/>
            <w:sz w:val="17"/>
            <w:szCs w:val="17"/>
          </w:rPr>
          <w:t>ohiochessassociation@gmail.com.</w:t>
        </w:r>
      </w:hyperlink>
    </w:p>
    <w:p w:rsidR="002D4A88" w:rsidRDefault="002D4A88">
      <w:bookmarkStart w:id="0" w:name="_GoBack"/>
      <w:bookmarkEnd w:id="0"/>
    </w:p>
    <w:sectPr w:rsidR="002D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808C9"/>
    <w:multiLevelType w:val="multilevel"/>
    <w:tmpl w:val="6EB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63476"/>
    <w:multiLevelType w:val="multilevel"/>
    <w:tmpl w:val="98FC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6A64"/>
    <w:multiLevelType w:val="multilevel"/>
    <w:tmpl w:val="76F8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C1AE9"/>
    <w:multiLevelType w:val="multilevel"/>
    <w:tmpl w:val="06C0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255034"/>
    <w:multiLevelType w:val="multilevel"/>
    <w:tmpl w:val="23C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387"/>
    <w:rsid w:val="002D4A88"/>
    <w:rsid w:val="00411EF1"/>
    <w:rsid w:val="00BE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387"/>
    <w:rPr>
      <w:b/>
      <w:bCs/>
    </w:rPr>
  </w:style>
  <w:style w:type="character" w:customStyle="1" w:styleId="apple-converted-space">
    <w:name w:val="apple-converted-space"/>
    <w:basedOn w:val="DefaultParagraphFont"/>
    <w:rsid w:val="00BE5387"/>
  </w:style>
  <w:style w:type="character" w:styleId="Hyperlink">
    <w:name w:val="Hyperlink"/>
    <w:basedOn w:val="DefaultParagraphFont"/>
    <w:uiPriority w:val="99"/>
    <w:semiHidden/>
    <w:unhideWhenUsed/>
    <w:rsid w:val="00BE53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387"/>
    <w:rPr>
      <w:b/>
      <w:bCs/>
    </w:rPr>
  </w:style>
  <w:style w:type="character" w:customStyle="1" w:styleId="apple-converted-space">
    <w:name w:val="apple-converted-space"/>
    <w:basedOn w:val="DefaultParagraphFont"/>
    <w:rsid w:val="00BE5387"/>
  </w:style>
  <w:style w:type="character" w:styleId="Hyperlink">
    <w:name w:val="Hyperlink"/>
    <w:basedOn w:val="DefaultParagraphFont"/>
    <w:uiPriority w:val="99"/>
    <w:semiHidden/>
    <w:unhideWhenUsed/>
    <w:rsid w:val="00BE5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an763@aol.com" TargetMode="External"/><Relationship Id="rId13" Type="http://schemas.openxmlformats.org/officeDocument/2006/relationships/hyperlink" Target="mailto:ohiochessassociation@gmail.com." TargetMode="External"/><Relationship Id="rId3" Type="http://schemas.microsoft.com/office/2007/relationships/stylesWithEffects" Target="stylesWithEffects.xml"/><Relationship Id="rId7" Type="http://schemas.openxmlformats.org/officeDocument/2006/relationships/hyperlink" Target="mailto:cstagg@columbus.rr.com" TargetMode="External"/><Relationship Id="rId12" Type="http://schemas.openxmlformats.org/officeDocument/2006/relationships/hyperlink" Target="mailto:cstagg@columbus.r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chess.org/" TargetMode="External"/><Relationship Id="rId11" Type="http://schemas.openxmlformats.org/officeDocument/2006/relationships/hyperlink" Target="http://www.ohches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hchess.org/" TargetMode="External"/><Relationship Id="rId4" Type="http://schemas.openxmlformats.org/officeDocument/2006/relationships/settings" Target="settings.xml"/><Relationship Id="rId9" Type="http://schemas.openxmlformats.org/officeDocument/2006/relationships/hyperlink" Target="http://www.ohches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2016-02-14T10:09:00Z</cp:lastPrinted>
  <dcterms:created xsi:type="dcterms:W3CDTF">2016-02-14T10:09:00Z</dcterms:created>
  <dcterms:modified xsi:type="dcterms:W3CDTF">2016-02-14T10:09:00Z</dcterms:modified>
</cp:coreProperties>
</file>