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shd w:val="clear" w:fill="auto"/>
        <w:spacing w:lineRule="auto" w:line="276" w:before="0" w:after="0"/>
        <w:ind w:hanging="0" w:start="0" w:end="0"/>
        <w:jc w:val="start"/>
        <w:rPr/>
      </w:pP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 xml:space="preserve">SUBJECT: </w:t>
      </w:r>
      <w:bookmarkStart w:id="0" w:name="docs-internal-guid-fd9720c9-7fff-8e5d-80"/>
      <w:bookmarkEnd w:id="0"/>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highlight w:val="white"/>
          <w:u w:val="none"/>
          <w:effect w:val="none"/>
          <w:shd w:fill="auto" w:val="clear"/>
          <w:vertAlign w:val="baseline"/>
        </w:rPr>
        <w:t>Disparities in Cardiovascular Mortality Among Long-Term Ovarian Cancer Survivors: A Competing Risk Analysis.</w:t>
        <w:br/>
        <w:br/>
      </w: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 xml:space="preserve">DATASET: </w:t>
        <w:tab/>
      </w: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SEER Registry (2000-2016) | N = 38,148</w:t>
        <w:br/>
        <w:br/>
      </w: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 xml:space="preserve">Study details: </w:t>
      </w: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This study used data from SEER records of patients diagnosed with cancer between 2000 and 2016, aged ≥ 20 years. The sample size for this study period was 6,412,621 patients. However, the study was focused on </w:t>
      </w:r>
      <w:r>
        <w:rPr>
          <w:rFonts w:eastAsia="Liberation Serif" w:cs="Liberation Serif" w:ascii="Liberation Serif" w:hAnsi="Liberation Serif"/>
          <w:color w:val="auto"/>
        </w:rPr>
        <w:t>long-term</w:t>
      </w: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ovarian cancer survivors and of our total sample size, only 38,148 patients were </w:t>
      </w:r>
      <w:r>
        <w:rPr>
          <w:rFonts w:eastAsia="Liberation Serif" w:cs="Liberation Serif" w:ascii="Liberation Serif" w:hAnsi="Liberation Serif"/>
          <w:color w:val="auto"/>
        </w:rPr>
        <w:t>long-term</w:t>
      </w: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survivors. The inclusion criteria for </w:t>
      </w:r>
      <w:r>
        <w:rPr>
          <w:rFonts w:eastAsia="Liberation Serif" w:cs="Liberation Serif" w:ascii="Liberation Serif" w:hAnsi="Liberation Serif"/>
          <w:color w:val="auto"/>
        </w:rPr>
        <w:t>long-term</w:t>
      </w: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survivors </w:t>
      </w:r>
      <w:r>
        <w:rPr>
          <w:rFonts w:eastAsia="Liberation Serif" w:cs="Liberation Serif" w:ascii="Liberation Serif" w:hAnsi="Liberation Serif"/>
          <w:color w:val="auto"/>
        </w:rPr>
        <w:t>were</w:t>
      </w: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patients who </w:t>
      </w:r>
      <w:r>
        <w:rPr>
          <w:rFonts w:eastAsia="Liberation Serif" w:cs="Liberation Serif" w:ascii="Liberation Serif" w:hAnsi="Liberation Serif"/>
          <w:color w:val="auto"/>
        </w:rPr>
        <w:t>had</w:t>
      </w: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survived ≥ 60 months (5+ years%). Table 1 shows the demographic and clinical characteristics of these </w:t>
      </w:r>
      <w:r>
        <w:rPr>
          <w:rFonts w:eastAsia="Liberation Serif" w:cs="Liberation Serif" w:ascii="Liberation Serif" w:hAnsi="Liberation Serif"/>
          <w:color w:val="auto"/>
        </w:rPr>
        <w:t>long-term</w:t>
      </w: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survivors.</w:t>
        <w:br/>
      </w:r>
    </w:p>
    <w:p>
      <w:pPr>
        <w:pStyle w:val="Heading1"/>
        <w:spacing w:lineRule="auto" w:line="240" w:before="0" w:after="0"/>
        <w:rPr>
          <w:rFonts w:ascii="Arial" w:hAnsi="Arial" w:eastAsia="Arial" w:cs="Arial"/>
          <w:b w:val="false"/>
          <w:bCs w:val="false"/>
          <w:i w:val="false"/>
          <w:i w:val="false"/>
          <w:iCs w:val="false"/>
          <w:caps w:val="false"/>
          <w:smallCaps w:val="false"/>
          <w:strike w:val="false"/>
          <w:dstrike w:val="false"/>
          <w:color w:val="000000"/>
          <w:sz w:val="22"/>
          <w:szCs w:val="22"/>
          <w:u w:val="none"/>
          <w:shd w:fill="auto" w:val="clear"/>
        </w:rPr>
      </w:pPr>
      <w:r>
        <w:rPr>
          <w:rFonts w:eastAsia="Liberation Serif" w:cs="Liberation Serif" w:ascii="Liberation Serif" w:hAnsi="Liberation Serif"/>
          <w:color w:val="auto"/>
          <w:sz w:val="22"/>
          <w:szCs w:val="22"/>
        </w:rPr>
        <w:t xml:space="preserve">Table 1: </w:t>
      </w:r>
      <w:r>
        <w:rPr>
          <w:rFonts w:eastAsia="Arial" w:cs="Arial" w:ascii="Liberation Serif" w:hAnsi="Liberation Serif"/>
          <w:b w:val="false"/>
          <w:bCs w:val="false"/>
          <w:i w:val="false"/>
          <w:iCs w:val="false"/>
          <w:caps w:val="false"/>
          <w:smallCaps w:val="false"/>
          <w:strike w:val="false"/>
          <w:dstrike w:val="false"/>
          <w:color w:val="000000"/>
          <w:spacing w:val="0"/>
          <w:sz w:val="22"/>
          <w:szCs w:val="22"/>
          <w:u w:val="none"/>
          <w:shd w:fill="auto" w:val="clear"/>
        </w:rPr>
        <w:t>Overall Demographic and Clinical Characteristics of Long-term Ovarian Cancer Survivors (5+ years) (Grouped by Treatment Type)</w:t>
      </w:r>
    </w:p>
    <w:tbl>
      <w:tblPr>
        <w:tblW w:w="9638" w:type="dxa"/>
        <w:jc w:val="start"/>
        <w:tblInd w:w="0" w:type="dxa"/>
        <w:tblLayout w:type="fixed"/>
        <w:tblCellMar>
          <w:top w:w="0" w:type="dxa"/>
          <w:start w:w="0" w:type="dxa"/>
          <w:bottom w:w="0" w:type="dxa"/>
          <w:end w:w="0" w:type="dxa"/>
        </w:tblCellMar>
      </w:tblPr>
      <w:tblGrid>
        <w:gridCol w:w="2173"/>
        <w:gridCol w:w="1208"/>
        <w:gridCol w:w="1192"/>
        <w:gridCol w:w="2171"/>
        <w:gridCol w:w="1932"/>
        <w:gridCol w:w="961"/>
      </w:tblGrid>
      <w:tr>
        <w:trPr/>
        <w:tc>
          <w:tcPr>
            <w:tcW w:w="2173" w:type="dxa"/>
            <w:tcBorders>
              <w:top w:val="single" w:sz="6" w:space="0" w:color="000000"/>
              <w:bottom w:val="single" w:sz="6" w:space="0" w:color="000000"/>
            </w:tcBorders>
            <w:vAlign w:val="center"/>
          </w:tcPr>
          <w:p>
            <w:pPr>
              <w:pStyle w:val="TableContents"/>
              <w:spacing w:lineRule="auto" w:line="271"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16"/>
                <w:szCs w:val="16"/>
                <w:u w:val="none"/>
              </w:rPr>
              <w:t>Characteristic</w:t>
            </w:r>
          </w:p>
        </w:tc>
        <w:tc>
          <w:tcPr>
            <w:tcW w:w="1208" w:type="dxa"/>
            <w:tcBorders>
              <w:top w:val="single" w:sz="6" w:space="0" w:color="000000"/>
              <w:bottom w:val="single" w:sz="6" w:space="0" w:color="000000"/>
            </w:tcBorders>
            <w:vAlign w:val="center"/>
          </w:tcPr>
          <w:p>
            <w:pPr>
              <w:pStyle w:val="TableContents"/>
              <w:spacing w:lineRule="auto" w:line="271"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16"/>
                <w:szCs w:val="16"/>
                <w:u w:val="none"/>
              </w:rPr>
              <w:t>Overall Cohort (n = 38,148)</w:t>
            </w:r>
          </w:p>
        </w:tc>
        <w:tc>
          <w:tcPr>
            <w:tcW w:w="1192" w:type="dxa"/>
            <w:tcBorders>
              <w:top w:val="single" w:sz="6" w:space="0" w:color="000000"/>
              <w:bottom w:val="single" w:sz="6" w:space="0" w:color="000000"/>
            </w:tcBorders>
            <w:vAlign w:val="center"/>
          </w:tcPr>
          <w:p>
            <w:pPr>
              <w:pStyle w:val="TableContents"/>
              <w:spacing w:lineRule="auto" w:line="271"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16"/>
                <w:szCs w:val="16"/>
                <w:u w:val="none"/>
              </w:rPr>
              <w:t>Surgery Only (n = 12,212)</w:t>
            </w:r>
          </w:p>
        </w:tc>
        <w:tc>
          <w:tcPr>
            <w:tcW w:w="2171" w:type="dxa"/>
            <w:tcBorders>
              <w:top w:val="single" w:sz="6" w:space="0" w:color="000000"/>
              <w:bottom w:val="single" w:sz="6" w:space="0" w:color="000000"/>
            </w:tcBorders>
            <w:vAlign w:val="center"/>
          </w:tcPr>
          <w:p>
            <w:pPr>
              <w:pStyle w:val="TableContents"/>
              <w:spacing w:lineRule="auto" w:line="271"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16"/>
                <w:szCs w:val="16"/>
                <w:u w:val="none"/>
              </w:rPr>
              <w:t>Surgery + Chemotherapy (n = 24,106)</w:t>
            </w:r>
          </w:p>
        </w:tc>
        <w:tc>
          <w:tcPr>
            <w:tcW w:w="1932" w:type="dxa"/>
            <w:tcBorders>
              <w:top w:val="single" w:sz="6" w:space="0" w:color="000000"/>
              <w:bottom w:val="single" w:sz="6" w:space="0" w:color="000000"/>
            </w:tcBorders>
            <w:vAlign w:val="center"/>
          </w:tcPr>
          <w:p>
            <w:pPr>
              <w:pStyle w:val="TableContents"/>
              <w:spacing w:lineRule="auto" w:line="271"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16"/>
                <w:szCs w:val="16"/>
                <w:u w:val="none"/>
              </w:rPr>
              <w:t>Chemotherapy Alone (n = 750)</w:t>
            </w:r>
          </w:p>
        </w:tc>
        <w:tc>
          <w:tcPr>
            <w:tcW w:w="961" w:type="dxa"/>
            <w:tcBorders>
              <w:top w:val="single" w:sz="6" w:space="0" w:color="000000"/>
              <w:bottom w:val="single" w:sz="6" w:space="0" w:color="000000"/>
            </w:tcBorders>
            <w:vAlign w:val="center"/>
          </w:tcPr>
          <w:p>
            <w:pPr>
              <w:pStyle w:val="TableContents"/>
              <w:spacing w:lineRule="auto" w:line="271"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16"/>
                <w:szCs w:val="16"/>
                <w:u w:val="none"/>
              </w:rPr>
              <w:t>P-value</w:t>
            </w:r>
          </w:p>
        </w:tc>
      </w:tr>
      <w:tr>
        <w:trPr>
          <w:trHeight w:val="547" w:hRule="exact"/>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bCs/>
                <w:i w:val="false"/>
                <w:iCs w:val="false"/>
                <w:strike w:val="false"/>
                <w:dstrike w:val="false"/>
                <w:outline w:val="false"/>
                <w:shadow w:val="false"/>
                <w:color w:val="000000"/>
                <w:sz w:val="16"/>
                <w:szCs w:val="16"/>
                <w:u w:val="none"/>
              </w:rPr>
              <w:t>Age at Diagnosis,</w:t>
            </w:r>
            <w:r>
              <w:rPr>
                <w:rFonts w:ascii="Liberation Serif" w:hAnsi="Liberation Serif"/>
                <w:b w:val="false"/>
                <w:bCs w:val="false"/>
                <w:i w:val="false"/>
                <w:iCs w:val="false"/>
                <w:strike w:val="false"/>
                <w:dstrike w:val="false"/>
                <w:outline w:val="false"/>
                <w:shadow w:val="false"/>
                <w:color w:val="000000"/>
                <w:sz w:val="16"/>
                <w:szCs w:val="16"/>
                <w:u w:val="none"/>
              </w:rPr>
              <w:t xml:space="preserve"> mean (SD)</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54.0y (13.8y)</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52.0 (15.0y)</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54.6y (12.9y)</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62.2y (13.9y)</w:t>
            </w:r>
          </w:p>
        </w:tc>
        <w:tc>
          <w:tcPr>
            <w:tcW w:w="96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&lt;0.001</w:t>
            </w:r>
          </w:p>
        </w:tc>
      </w:tr>
      <w:tr>
        <w:trPr>
          <w:trHeight w:val="547" w:hRule="exact"/>
        </w:trPr>
        <w:tc>
          <w:tcPr>
            <w:tcW w:w="8676" w:type="dxa"/>
            <w:gridSpan w:val="5"/>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bCs/>
                <w:i w:val="false"/>
                <w:iCs w:val="false"/>
                <w:strike w:val="false"/>
                <w:dstrike w:val="false"/>
                <w:outline w:val="false"/>
                <w:shadow w:val="false"/>
                <w:color w:val="000000"/>
                <w:sz w:val="16"/>
                <w:szCs w:val="16"/>
                <w:u w:val="none"/>
              </w:rPr>
              <w:t xml:space="preserve">Age Group, </w:t>
            </w:r>
            <w:r>
              <w:rPr>
                <w:rFonts w:ascii="Liberation Serif" w:hAnsi="Liberation Serif"/>
                <w:b w:val="false"/>
                <w:bCs w:val="false"/>
                <w:i w:val="false"/>
                <w:iCs w:val="false"/>
                <w:strike w:val="false"/>
                <w:dstrike w:val="false"/>
                <w:outline w:val="false"/>
                <w:shadow w:val="false"/>
                <w:color w:val="000000"/>
                <w:sz w:val="16"/>
                <w:szCs w:val="16"/>
                <w:u w:val="none"/>
              </w:rPr>
              <w:t>n (%)</w:t>
            </w:r>
          </w:p>
        </w:tc>
        <w:tc>
          <w:tcPr>
            <w:tcW w:w="96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&lt;0.001</w:t>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20 - 39 years</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4,401 (11.5%)</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2,063 (16.9%)</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2,157 (8.9%)</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39 (5.2%)</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40 - 59 years</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18,403 (48.2%)</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5,914 (48.4%)</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11,826 (49.1%)</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218 (29.1%)</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60 - 79 years</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13,811 (36.2%)</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3,643 (29.8%)</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9,397 (39.0%)</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396 (52.8%)</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80+ years</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1,533 (4.0%)</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592 (4.8%)</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726 (3.0%)</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97 (12.9%)</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rHeight w:val="547" w:hRule="exact"/>
        </w:trPr>
        <w:tc>
          <w:tcPr>
            <w:tcW w:w="8676" w:type="dxa"/>
            <w:gridSpan w:val="5"/>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bCs/>
                <w:i w:val="false"/>
                <w:iCs w:val="false"/>
                <w:strike w:val="false"/>
                <w:dstrike w:val="false"/>
                <w:outline w:val="false"/>
                <w:shadow w:val="false"/>
                <w:color w:val="000000"/>
                <w:sz w:val="16"/>
                <w:szCs w:val="16"/>
                <w:u w:val="none"/>
              </w:rPr>
              <w:t xml:space="preserve">Race/Ethnicity, </w:t>
            </w:r>
            <w:r>
              <w:rPr>
                <w:rFonts w:ascii="Liberation Serif" w:hAnsi="Liberation Serif"/>
                <w:b w:val="false"/>
                <w:bCs w:val="false"/>
                <w:i w:val="false"/>
                <w:iCs w:val="false"/>
                <w:strike w:val="false"/>
                <w:dstrike w:val="false"/>
                <w:outline w:val="false"/>
                <w:shadow w:val="false"/>
                <w:color w:val="000000"/>
                <w:sz w:val="16"/>
                <w:szCs w:val="16"/>
                <w:u w:val="none"/>
              </w:rPr>
              <w:t>n (%)</w:t>
            </w:r>
          </w:p>
        </w:tc>
        <w:tc>
          <w:tcPr>
            <w:tcW w:w="96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&lt;0.001</w:t>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Non-Hispanic White</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26,821 (70.3%)</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8,317 (68.1%)</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17,299 (71.8%)</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512 (68.3%)</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Non-Hispanic Black</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2,285 (6.0%)</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844 (6.9%)</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1,216 (5.0%)</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85 (11.3%)</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 xml:space="preserve">Hispanic </w:t>
            </w:r>
            <w:r>
              <w:rPr>
                <w:rFonts w:ascii="Liberation Serif" w:hAnsi="Liberation Serif"/>
                <w:b w:val="false"/>
                <w:bCs w:val="false"/>
                <w:i w:val="false"/>
                <w:iCs w:val="false"/>
                <w:strike w:val="false"/>
                <w:dstrike w:val="false"/>
                <w:outline w:val="false"/>
                <w:shadow w:val="false"/>
                <w:color w:val="auto"/>
                <w:sz w:val="16"/>
                <w:szCs w:val="16"/>
                <w:u w:val="none"/>
              </w:rPr>
              <w:t>(All Races)</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5,048 (13.2%)</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1,726 (14.1%)</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3,071 (12.7%)</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96 (12.8%)</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Asian / Pacific Islander</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3,652 (9.6%)</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1,198 (9.8%)</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2,333 (9.7%)</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45 (6.0%)</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American Indian / Alaska Native</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237 (0.6%)</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72 (0.6%)</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148 (0.6%)</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9 (1.2%)</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Other/Unknown</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105 (0.3%)</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55 (0.5%)</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39 (0.2%)</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3 (0.4%)</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rHeight w:val="547" w:hRule="exact"/>
        </w:trPr>
        <w:tc>
          <w:tcPr>
            <w:tcW w:w="8676" w:type="dxa"/>
            <w:gridSpan w:val="5"/>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bCs/>
                <w:i w:val="false"/>
                <w:iCs w:val="false"/>
                <w:strike w:val="false"/>
                <w:dstrike w:val="false"/>
                <w:outline w:val="false"/>
                <w:shadow w:val="false"/>
                <w:color w:val="000000"/>
                <w:sz w:val="16"/>
                <w:szCs w:val="16"/>
                <w:u w:val="none"/>
              </w:rPr>
              <w:t xml:space="preserve">Median Household Income, </w:t>
            </w:r>
            <w:r>
              <w:rPr>
                <w:rFonts w:ascii="Liberation Serif" w:hAnsi="Liberation Serif"/>
                <w:b w:val="false"/>
                <w:bCs w:val="false"/>
                <w:i w:val="false"/>
                <w:iCs w:val="false"/>
                <w:strike w:val="false"/>
                <w:dstrike w:val="false"/>
                <w:outline w:val="false"/>
                <w:shadow w:val="false"/>
                <w:color w:val="000000"/>
                <w:sz w:val="16"/>
                <w:szCs w:val="16"/>
                <w:u w:val="none"/>
              </w:rPr>
              <w:t>n (%)</w:t>
            </w:r>
          </w:p>
        </w:tc>
        <w:tc>
          <w:tcPr>
            <w:tcW w:w="96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0.001</w:t>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&lt; $60,000</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3,872 (10.1%)</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1,243 (10.2%)</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2,348 (9.7%)</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98 (13.1%)</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$60,000 - $99,999</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25,664 (67.3%)</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8,212 (67.2%)</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16,260 (67.5%)</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506 (67.5%)</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$100,000+</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8,606 (22.6%)</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2,757 (22.6%)</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5,493 (22.8%)</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145 (19.3%)</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Unknown/Missing</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6 (0.0%)</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0 (0.0%)</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5 (0.0%)</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 (0.1%)</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rHeight w:val="547" w:hRule="exact"/>
        </w:trPr>
        <w:tc>
          <w:tcPr>
            <w:tcW w:w="8676" w:type="dxa"/>
            <w:gridSpan w:val="5"/>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bCs/>
                <w:i w:val="false"/>
                <w:iCs w:val="false"/>
                <w:strike w:val="false"/>
                <w:dstrike w:val="false"/>
                <w:outline w:val="false"/>
                <w:shadow w:val="false"/>
                <w:color w:val="000000"/>
                <w:sz w:val="16"/>
                <w:szCs w:val="16"/>
                <w:u w:val="none"/>
              </w:rPr>
              <w:t xml:space="preserve">Geography (Rural/Urban), </w:t>
            </w:r>
            <w:r>
              <w:rPr>
                <w:rFonts w:ascii="Liberation Serif" w:hAnsi="Liberation Serif"/>
                <w:b w:val="false"/>
                <w:bCs w:val="false"/>
                <w:i w:val="false"/>
                <w:iCs w:val="false"/>
                <w:strike w:val="false"/>
                <w:dstrike w:val="false"/>
                <w:outline w:val="false"/>
                <w:shadow w:val="false"/>
                <w:color w:val="000000"/>
                <w:sz w:val="16"/>
                <w:szCs w:val="16"/>
                <w:u w:val="none"/>
              </w:rPr>
              <w:t>n (%)</w:t>
            </w:r>
          </w:p>
        </w:tc>
        <w:tc>
          <w:tcPr>
            <w:tcW w:w="96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0.527</w:t>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Urban (Metropolitan)</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34,226 (89.7%)</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10,967 (89.8%)</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21,671 (89.9%)</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673 (89.7%)</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Rural (Nonmetropolitan)</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3,889 (10.2%)</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1,239 (10.1%)</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2,410 (10.0%)</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76 (10.1%)</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Unknown/Missing</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33 (0.1%)</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6 (0.0%)</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25 (0.1%)</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 (0.1%)</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rHeight w:val="547" w:hRule="exact"/>
        </w:trPr>
        <w:tc>
          <w:tcPr>
            <w:tcW w:w="8676" w:type="dxa"/>
            <w:gridSpan w:val="5"/>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bCs/>
                <w:i w:val="false"/>
                <w:iCs w:val="false"/>
                <w:strike w:val="false"/>
                <w:dstrike w:val="false"/>
                <w:outline w:val="false"/>
                <w:shadow w:val="false"/>
                <w:color w:val="000000"/>
                <w:sz w:val="16"/>
                <w:szCs w:val="16"/>
                <w:u w:val="none"/>
              </w:rPr>
              <w:t xml:space="preserve">Cancer Stage, </w:t>
            </w:r>
            <w:r>
              <w:rPr>
                <w:rFonts w:ascii="Liberation Serif" w:hAnsi="Liberation Serif"/>
                <w:b w:val="false"/>
                <w:bCs w:val="false"/>
                <w:i w:val="false"/>
                <w:iCs w:val="false"/>
                <w:strike w:val="false"/>
                <w:dstrike w:val="false"/>
                <w:outline w:val="false"/>
                <w:shadow w:val="false"/>
                <w:color w:val="000000"/>
                <w:sz w:val="16"/>
                <w:szCs w:val="16"/>
                <w:u w:val="none"/>
              </w:rPr>
              <w:t>n (%)</w:t>
            </w:r>
          </w:p>
        </w:tc>
        <w:tc>
          <w:tcPr>
            <w:tcW w:w="96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&lt;0.001</w:t>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Localized</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11,086 (29.1%)</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7,063 (57.8%)</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3,905 (16.2%)</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19 (2.5%)</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Regional</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11,478 (30.1%)</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3,121 (25.6%)</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8,191 (34.0%)</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87 (11.6%)</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c>
          <w:tcPr>
            <w:tcW w:w="2173"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Distant</w:t>
            </w:r>
          </w:p>
        </w:tc>
        <w:tc>
          <w:tcPr>
            <w:tcW w:w="1208"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14,107 (37.0%)</w:t>
            </w:r>
          </w:p>
        </w:tc>
        <w:tc>
          <w:tcPr>
            <w:tcW w:w="119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1,639 (13.4%)</w:t>
            </w:r>
          </w:p>
        </w:tc>
        <w:tc>
          <w:tcPr>
            <w:tcW w:w="2171"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11,677 (48.4%)</w:t>
            </w:r>
          </w:p>
        </w:tc>
        <w:tc>
          <w:tcPr>
            <w:tcW w:w="1932" w:type="dxa"/>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554 (73.9%)</w:t>
            </w:r>
          </w:p>
        </w:tc>
        <w:tc>
          <w:tcPr>
            <w:tcW w:w="961" w:type="dxa"/>
            <w:tcBorders/>
            <w:vAlign w:val="center"/>
          </w:tcPr>
          <w:p>
            <w:pPr>
              <w:pStyle w:val="TableContents"/>
              <w:spacing w:before="0" w:after="20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r>
        <w:trPr/>
        <w:tc>
          <w:tcPr>
            <w:tcW w:w="2173" w:type="dxa"/>
            <w:tcBorders>
              <w:bottom w:val="single" w:sz="6" w:space="0" w:color="000000"/>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Unknown/unstaged</w:t>
            </w:r>
          </w:p>
        </w:tc>
        <w:tc>
          <w:tcPr>
            <w:tcW w:w="1208" w:type="dxa"/>
            <w:tcBorders>
              <w:bottom w:val="single" w:sz="6" w:space="0" w:color="000000"/>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1,477 (3.9%)</w:t>
            </w:r>
          </w:p>
        </w:tc>
        <w:tc>
          <w:tcPr>
            <w:tcW w:w="1192" w:type="dxa"/>
            <w:tcBorders>
              <w:bottom w:val="single" w:sz="6" w:space="0" w:color="000000"/>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389 (3.2%)</w:t>
            </w:r>
          </w:p>
        </w:tc>
        <w:tc>
          <w:tcPr>
            <w:tcW w:w="2171" w:type="dxa"/>
            <w:tcBorders>
              <w:bottom w:val="single" w:sz="6" w:space="0" w:color="000000"/>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333 (1.4%)</w:t>
            </w:r>
          </w:p>
        </w:tc>
        <w:tc>
          <w:tcPr>
            <w:tcW w:w="1932" w:type="dxa"/>
            <w:tcBorders>
              <w:bottom w:val="single" w:sz="6" w:space="0" w:color="000000"/>
            </w:tcBorders>
            <w:vAlign w:val="center"/>
          </w:tcPr>
          <w:p>
            <w:pPr>
              <w:pStyle w:val="TableContents"/>
              <w:spacing w:lineRule="auto" w:line="271"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t>90 (12.0%)</w:t>
            </w:r>
          </w:p>
        </w:tc>
        <w:tc>
          <w:tcPr>
            <w:tcW w:w="961" w:type="dxa"/>
            <w:tcBorders>
              <w:bottom w:val="single" w:sz="6" w:space="0" w:color="000000"/>
            </w:tcBorders>
            <w:vAlign w:val="center"/>
          </w:tcPr>
          <w:p>
            <w:pPr>
              <w:pStyle w:val="TableContents"/>
              <w:spacing w:before="0" w:after="200"/>
              <w:jc w:val="start"/>
              <w:rPr>
                <w:rFonts w:ascii="Liberation Serif" w:hAnsi="Liberation Serif"/>
                <w:b w:val="false"/>
                <w:bCs w:val="false"/>
                <w:i w:val="false"/>
                <w:i w:val="false"/>
                <w:iCs w:val="false"/>
                <w:strike w:val="false"/>
                <w:dstrike w:val="false"/>
                <w:outline w:val="false"/>
                <w:shadow w:val="false"/>
                <w:color w:val="000000"/>
                <w:sz w:val="16"/>
                <w:szCs w:val="16"/>
                <w:u w:val="none"/>
              </w:rPr>
            </w:pPr>
            <w:r>
              <w:rPr>
                <w:rFonts w:ascii="Liberation Serif" w:hAnsi="Liberation Serif"/>
                <w:b w:val="false"/>
                <w:bCs w:val="false"/>
                <w:i w:val="false"/>
                <w:iCs w:val="false"/>
                <w:strike w:val="false"/>
                <w:dstrike w:val="false"/>
                <w:outline w:val="false"/>
                <w:shadow w:val="false"/>
                <w:color w:val="000000"/>
                <w:sz w:val="16"/>
                <w:szCs w:val="16"/>
                <w:u w:val="none"/>
              </w:rPr>
            </w:r>
          </w:p>
        </w:tc>
      </w:tr>
    </w:tbl>
    <w:p>
      <w:pPr>
        <w:pStyle w:val="normal1"/>
        <w:spacing w:lineRule="auto" w:line="240" w:before="480" w:after="0"/>
        <w:rPr>
          <w:rFonts w:ascii="Arial" w:hAnsi="Arial" w:eastAsia="Arial" w:cs="Arial"/>
          <w:b w:val="false"/>
          <w:bCs w:val="false"/>
          <w:i w:val="false"/>
          <w:i w:val="false"/>
          <w:iCs w:val="false"/>
          <w:caps w:val="false"/>
          <w:smallCaps w:val="false"/>
          <w:strike w:val="false"/>
          <w:dstrike w:val="false"/>
          <w:color w:val="000000"/>
          <w:sz w:val="22"/>
          <w:szCs w:val="22"/>
          <w:u w:val="none"/>
          <w:shd w:fill="auto" w:val="clear"/>
        </w:rPr>
      </w:pPr>
      <w:r>
        <w:rPr>
          <w:rFonts w:eastAsia="Liberation Serif" w:cs="Liberation Serif" w:ascii="Liberation Serif" w:hAnsi="Liberation Serif"/>
          <w:b/>
          <w:bCs/>
          <w:i w:val="false"/>
          <w:iCs w:val="false"/>
          <w:caps w:val="false"/>
          <w:smallCaps w:val="false"/>
          <w:strike w:val="false"/>
          <w:dstrike w:val="false"/>
          <w:color w:val="000000"/>
          <w:sz w:val="22"/>
          <w:szCs w:val="22"/>
          <w:u w:val="none"/>
          <w:shd w:fill="auto" w:val="clear"/>
        </w:rPr>
        <w:t>y years, SD standard deviation</w:t>
      </w:r>
    </w:p>
    <w:p>
      <w:pPr>
        <w:pStyle w:val="normal1"/>
        <w:spacing w:lineRule="auto" w:line="331" w:before="0" w:after="0"/>
        <w:ind w:hanging="0" w:start="0" w:end="0"/>
        <w:rPr>
          <w:rFonts w:ascii="Liberation Serif" w:hAnsi="Liberation Serif" w:eastAsia="Liberation Serif" w:cs="Liberation Serif"/>
          <w:color w:val="000000"/>
          <w:sz w:val="22"/>
          <w:szCs w:val="22"/>
        </w:rPr>
      </w:pPr>
      <w:r>
        <w:rPr>
          <w:rFonts w:eastAsia="Liberation Serif" w:cs="Liberation Serif" w:ascii="Liberation Serif" w:hAnsi="Liberation Serif"/>
          <w:color w:val="000000"/>
          <w:sz w:val="22"/>
          <w:szCs w:val="22"/>
        </w:rPr>
      </w:r>
    </w:p>
    <w:p>
      <w:pPr>
        <w:pStyle w:val="normal1"/>
        <w:widowControl/>
        <w:shd w:val="clear" w:fill="auto"/>
        <w:tabs>
          <w:tab w:val="left" w:pos="709" w:leader="none"/>
        </w:tabs>
        <w:spacing w:lineRule="auto" w:line="276" w:before="0" w:after="120"/>
        <w:ind w:hanging="0" w:start="0" w:end="0"/>
        <w:jc w:val="start"/>
        <w:rPr>
          <w:rFonts w:ascii="Liberation Serif" w:hAnsi="Liberation Serif"/>
          <w:color w:val="auto"/>
        </w:rPr>
      </w:pPr>
      <w:r>
        <w:rPr>
          <w:rFonts w:eastAsia="Liberation Serif" w:cs="Liberation Serif" w:ascii="Liberation Serif" w:hAnsi="Liberation Serif"/>
          <w:b w:val="false"/>
          <w:bCs w:val="false"/>
          <w:i w:val="false"/>
          <w:caps w:val="false"/>
          <w:smallCaps w:val="false"/>
          <w:color w:val="auto"/>
          <w:spacing w:val="0"/>
          <w:sz w:val="22"/>
          <w:szCs w:val="22"/>
        </w:rPr>
        <w:t>Statistical comparisons (p-values) are restricted to women who received standard-of-care primary treatment modalities. The Overall column includes 1,080 additional patients who were excluded from the comparative subgroups due to receiving no active treatment or having missing therapeutic data. Continuous variables (Age at Diagnosis) are presented as Mean (SD), calculated using one-way analysis of variance (ANOVA). Categorical variables presented as absolute counts n, and percentages (%) were calculated using the Pearson’s Chi-square test.</w:t>
      </w:r>
    </w:p>
    <w:p>
      <w:pPr>
        <w:pStyle w:val="normal1"/>
        <w:keepNext w:val="false"/>
        <w:keepLines w:val="false"/>
        <w:pageBreakBefore w:val="false"/>
        <w:widowControl/>
        <w:shd w:val="clear" w:fill="auto"/>
        <w:spacing w:lineRule="auto" w:line="276" w:before="0" w:after="0"/>
        <w:ind w:hanging="0" w:start="0" w:end="0"/>
        <w:jc w:val="star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shd w:val="clear" w:fill="auto"/>
        <w:spacing w:lineRule="auto" w:line="276" w:before="0" w:after="12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br/>
      </w:r>
      <w:r>
        <w:br w:type="page"/>
      </w:r>
    </w:p>
    <w:p>
      <w:pPr>
        <w:pStyle w:val="normal1"/>
        <w:widowControl/>
        <w:shd w:val="clear" w:fill="auto"/>
        <w:spacing w:lineRule="auto" w:line="276" w:before="0" w:after="300"/>
        <w:ind w:hanging="0" w:start="0" w:end="0"/>
        <w:jc w:val="start"/>
        <w:rPr>
          <w:b/>
          <w:bCs/>
        </w:rPr>
      </w:pP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1. Overall Cumulative Incidence of Cardiovascular Mortality Among Long-Term Ovarian Cancer Survivors</w:t>
      </w:r>
    </w:p>
    <w:p>
      <w:pPr>
        <w:pStyle w:val="normal1"/>
        <w:keepNext w:val="false"/>
        <w:keepLines w:val="false"/>
        <w:widowControl/>
        <w:shd w:val="clear" w:fill="auto"/>
        <w:spacing w:lineRule="auto" w:line="331" w:before="0" w:after="0"/>
        <w:ind w:hanging="0" w:start="0" w:end="0"/>
        <w:jc w:val="start"/>
        <w:rPr>
          <w:rFonts w:ascii="Liberation Serif" w:hAnsi="Liberation Serif" w:eastAsia="Liberation Serif" w:cs="Liberation Serif"/>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67157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3671570"/>
                    </a:xfrm>
                    <a:prstGeom prst="rect">
                      <a:avLst/>
                    </a:prstGeom>
                  </pic:spPr>
                </pic:pic>
              </a:graphicData>
            </a:graphic>
          </wp:anchor>
        </w:drawing>
      </w:r>
      <w:r>
        <w:rPr>
          <w:rFonts w:eastAsia="Liberation Serif" w:cs="Liberation Serif" w:ascii="Liberation Serif" w:hAnsi="Liberation Serif"/>
          <w:b/>
          <w:bCs/>
          <w:color w:val="auto"/>
        </w:rPr>
        <w:t xml:space="preserve">Figure 1: </w:t>
      </w:r>
      <w:r>
        <w:rPr>
          <w:rFonts w:eastAsia="Liberation Serif" w:cs="Liberation Serif" w:ascii="Liberation Serif" w:hAnsi="Liberation Serif"/>
          <w:color w:val="auto"/>
        </w:rPr>
        <w:t>Overall Cumulative Incidence of Cardiovascular Death in Long-Term Ovarian Cancer Survivors</w:t>
      </w:r>
    </w:p>
    <w:p>
      <w:pPr>
        <w:pStyle w:val="normal1"/>
        <w:widowControl/>
        <w:shd w:val="clear" w:fill="auto"/>
        <w:spacing w:lineRule="auto" w:line="331" w:before="0" w:after="0"/>
        <w:ind w:hanging="0" w:start="0" w:end="0"/>
        <w:jc w:val="start"/>
        <w:rPr>
          <w:rFonts w:ascii="Liberation Serif" w:hAnsi="Liberation Serif" w:eastAsia="Liberation Serif" w:cs="Liberation Serif"/>
        </w:rPr>
      </w:pPr>
      <w:r>
        <w:rPr>
          <w:rFonts w:eastAsia="Liberation Serif" w:cs="Liberation Serif" w:ascii="Liberation Serif" w:hAnsi="Liberation Serif"/>
          <w:color w:val="auto"/>
        </w:rPr>
        <w:t>Overall Sample Size: 38,148</w:t>
      </w:r>
    </w:p>
    <w:p>
      <w:pPr>
        <w:pStyle w:val="normal1"/>
        <w:widowControl/>
        <w:shd w:val="clear" w:fill="auto"/>
        <w:spacing w:lineRule="auto" w:line="331" w:before="0" w:after="0"/>
        <w:ind w:hanging="0" w:start="0" w:end="0"/>
        <w:jc w:val="start"/>
        <w:rPr>
          <w:rFonts w:ascii="Liberation Serif" w:hAnsi="Liberation Serif" w:eastAsia="Liberation Serif" w:cs="Liberation Serif"/>
        </w:rPr>
      </w:pPr>
      <w:r>
        <w:rPr>
          <w:rFonts w:eastAsia="Liberation Serif" w:cs="Liberation Serif" w:ascii="Liberation Serif" w:hAnsi="Liberation Serif"/>
          <w:color w:val="auto"/>
        </w:rPr>
        <w:t>Censored / Alive (Event 0): 24,571</w:t>
      </w:r>
    </w:p>
    <w:p>
      <w:pPr>
        <w:pStyle w:val="normal1"/>
        <w:widowControl/>
        <w:shd w:val="clear" w:fill="auto"/>
        <w:spacing w:lineRule="auto" w:line="331" w:before="0" w:after="0"/>
        <w:ind w:hanging="0" w:start="0" w:end="0"/>
        <w:jc w:val="start"/>
        <w:rPr>
          <w:rFonts w:ascii="Liberation Serif" w:hAnsi="Liberation Serif" w:eastAsia="Liberation Serif" w:cs="Liberation Serif"/>
        </w:rPr>
      </w:pPr>
      <w:r>
        <w:rPr>
          <w:rFonts w:eastAsia="Liberation Serif" w:cs="Liberation Serif" w:ascii="Liberation Serif" w:hAnsi="Liberation Serif"/>
          <w:color w:val="auto"/>
        </w:rPr>
        <w:t>CV Deaths (Event 1%): 1,039</w:t>
      </w:r>
    </w:p>
    <w:p>
      <w:pPr>
        <w:pStyle w:val="normal1"/>
        <w:widowControl/>
        <w:shd w:val="clear" w:fill="auto"/>
        <w:spacing w:lineRule="auto" w:line="331" w:before="0" w:after="0"/>
        <w:ind w:hanging="0" w:start="0" w:end="0"/>
        <w:jc w:val="start"/>
        <w:rPr>
          <w:rFonts w:ascii="Liberation Serif" w:hAnsi="Liberation Serif" w:eastAsia="Liberation Serif" w:cs="Liberation Serif"/>
        </w:rPr>
      </w:pPr>
      <w:r>
        <w:rPr>
          <w:rFonts w:eastAsia="Liberation Serif" w:cs="Liberation Serif" w:ascii="Liberation Serif" w:hAnsi="Liberation Serif"/>
          <w:color w:val="auto"/>
        </w:rPr>
        <w:t>Cancer Deaths (Event 2%): 9,823</w:t>
      </w:r>
    </w:p>
    <w:p>
      <w:pPr>
        <w:pStyle w:val="normal1"/>
        <w:widowControl/>
        <w:shd w:val="clear" w:fill="auto"/>
        <w:spacing w:lineRule="auto" w:line="331" w:before="0" w:after="0"/>
        <w:ind w:hanging="0" w:start="0" w:end="0"/>
        <w:jc w:val="start"/>
        <w:rPr>
          <w:rFonts w:ascii="Liberation Serif" w:hAnsi="Liberation Serif" w:eastAsia="Liberation Serif" w:cs="Liberation Serif"/>
        </w:rPr>
      </w:pPr>
      <w:r>
        <w:rPr>
          <w:rFonts w:eastAsia="Liberation Serif" w:cs="Liberation Serif" w:ascii="Liberation Serif" w:hAnsi="Liberation Serif"/>
          <w:color w:val="auto"/>
        </w:rPr>
        <w:t>Other Non-Cancer Deaths (Event 3%): 2,715</w:t>
      </w:r>
    </w:p>
    <w:p>
      <w:pPr>
        <w:pStyle w:val="normal1"/>
        <w:widowControl/>
        <w:shd w:val="clear" w:fill="auto"/>
        <w:spacing w:lineRule="auto" w:line="331" w:before="0" w:after="0"/>
        <w:ind w:hanging="0" w:start="0" w:end="0"/>
        <w:jc w:val="start"/>
        <w:rPr>
          <w:rFonts w:ascii="Liberation Serif" w:hAnsi="Liberation Serif" w:eastAsia="Liberation Serif" w:cs="Liberation Serif"/>
        </w:rPr>
      </w:pPr>
      <w:r>
        <w:rPr>
          <w:rFonts w:eastAsia="Liberation Serif" w:cs="Liberation Serif" w:ascii="Liberation Serif" w:hAnsi="Liberation Serif"/>
        </w:rPr>
      </w:r>
    </w:p>
    <w:p>
      <w:pPr>
        <w:pStyle w:val="normal1"/>
        <w:widowControl/>
        <w:shd w:val="clear" w:fill="auto"/>
        <w:spacing w:lineRule="auto" w:line="331" w:before="0" w:after="0"/>
        <w:ind w:hanging="0" w:start="0" w:end="0"/>
        <w:jc w:val="start"/>
        <w:rPr>
          <w:rFonts w:ascii="Liberation Serif" w:hAnsi="Liberation Serif" w:eastAsia="Liberation Serif" w:cs="Liberation Serif"/>
        </w:rPr>
      </w:pPr>
      <w:r>
        <w:rPr>
          <w:rFonts w:eastAsia="Liberation Serif" w:cs="Liberation Serif" w:ascii="Liberation Serif" w:hAnsi="Liberation Serif"/>
          <w:color w:val="auto"/>
        </w:rPr>
        <w:t>Cumulative Incidence at Year 10 (60 months post-milestone%): 1.48%</w:t>
      </w:r>
    </w:p>
    <w:p>
      <w:pPr>
        <w:pStyle w:val="normal1"/>
        <w:widowControl/>
        <w:shd w:val="clear" w:fill="auto"/>
        <w:spacing w:lineRule="auto" w:line="331" w:before="0" w:after="0"/>
        <w:ind w:hanging="0" w:start="0" w:end="0"/>
        <w:jc w:val="start"/>
        <w:rPr>
          <w:rFonts w:ascii="Liberation Serif" w:hAnsi="Liberation Serif" w:eastAsia="Liberation Serif" w:cs="Liberation Serif"/>
        </w:rPr>
      </w:pPr>
      <w:r>
        <w:rPr>
          <w:rFonts w:eastAsia="Liberation Serif" w:cs="Liberation Serif" w:ascii="Liberation Serif" w:hAnsi="Liberation Serif"/>
          <w:color w:val="auto"/>
        </w:rPr>
        <w:t>Cumulative Incidence at Year 15 (120 months post-milestone%): 2.99%</w:t>
      </w:r>
    </w:p>
    <w:p>
      <w:pPr>
        <w:pStyle w:val="normal1"/>
        <w:widowControl/>
        <w:shd w:val="clear" w:fill="auto"/>
        <w:spacing w:lineRule="auto" w:line="331" w:before="0" w:after="0"/>
        <w:ind w:hanging="0" w:start="0" w:end="0"/>
        <w:jc w:val="start"/>
        <w:rPr>
          <w:rFonts w:ascii="Liberation Serif" w:hAnsi="Liberation Serif" w:eastAsia="Liberation Serif" w:cs="Liberation Serif"/>
        </w:rPr>
      </w:pPr>
      <w:r>
        <w:rPr>
          <w:rFonts w:eastAsia="Liberation Serif" w:cs="Liberation Serif" w:ascii="Liberation Serif" w:hAnsi="Liberation Serif"/>
          <w:color w:val="auto"/>
        </w:rPr>
        <w:t>Cumulative Incidence at Year 20 (180 months post-milestone%): 4.70%</w:t>
      </w:r>
    </w:p>
    <w:p>
      <w:pPr>
        <w:pStyle w:val="BodyText"/>
        <w:bidi w:val="0"/>
        <w:spacing w:lineRule="auto" w:line="271" w:before="0" w:after="120"/>
        <w:ind w:hanging="0" w:start="0" w:end="0"/>
        <w:jc w:val="start"/>
        <w:rPr>
          <w:rFonts w:ascii="Google Sans Text;sans-serif" w:hAnsi="Google Sans Text;sans-serif"/>
          <w:color w:val="auto"/>
        </w:rPr>
      </w:pPr>
      <w:r>
        <w:rPr>
          <w:b/>
          <w:bCs/>
          <w:i w:val="false"/>
          <w:iCs w:val="false"/>
          <w:caps w:val="false"/>
          <w:smallCaps w:val="false"/>
          <w:strike w:val="false"/>
          <w:dstrike w:val="false"/>
          <w:color w:val="000000"/>
          <w:position w:val="0"/>
          <w:sz w:val="22"/>
          <w:sz w:val="22"/>
          <w:szCs w:val="22"/>
          <w:u w:val="none"/>
          <w:shd w:fill="auto" w:val="clear"/>
          <w:vertAlign w:val="baseline"/>
        </w:rPr>
        <w:t xml:space="preserve">Table 1: </w:t>
      </w:r>
      <w:r>
        <w:rPr>
          <w:b w:val="false"/>
          <w:bCs w:val="false"/>
          <w:i w:val="false"/>
          <w:iCs w:val="false"/>
          <w:caps w:val="false"/>
          <w:smallCaps w:val="false"/>
          <w:strike w:val="false"/>
          <w:dstrike w:val="false"/>
          <w:color w:val="000000"/>
          <w:position w:val="0"/>
          <w:sz w:val="22"/>
          <w:sz w:val="22"/>
          <w:szCs w:val="22"/>
          <w:u w:val="none"/>
          <w:shd w:fill="auto" w:val="clear"/>
          <w:vertAlign w:val="baseline"/>
        </w:rPr>
        <w:t>Overall Cumulative Incidence of Cardiovascular Mortality Among Long-term Ovarian Cancer Survivors</w:t>
      </w:r>
    </w:p>
    <w:tbl>
      <w:tblPr>
        <w:tblW w:w="8372" w:type="dxa"/>
        <w:jc w:val="start"/>
        <w:tblInd w:w="0" w:type="dxa"/>
        <w:tblLayout w:type="fixed"/>
        <w:tblCellMar>
          <w:top w:w="0" w:type="dxa"/>
          <w:start w:w="0" w:type="dxa"/>
          <w:bottom w:w="0" w:type="dxa"/>
          <w:end w:w="0" w:type="dxa"/>
        </w:tblCellMar>
      </w:tblPr>
      <w:tblGrid>
        <w:gridCol w:w="1805"/>
        <w:gridCol w:w="1806"/>
        <w:gridCol w:w="2924"/>
        <w:gridCol w:w="1836"/>
      </w:tblGrid>
      <w:tr>
        <w:trPr/>
        <w:tc>
          <w:tcPr>
            <w:tcW w:w="1805" w:type="dxa"/>
            <w:tcBorders>
              <w:top w:val="single" w:sz="6" w:space="0" w:color="000000"/>
              <w:bottom w:val="single" w:sz="6" w:space="0" w:color="000000"/>
            </w:tcBorders>
            <w:vAlign w:val="center"/>
          </w:tcPr>
          <w:p>
            <w:pPr>
              <w:pStyle w:val="TableContents"/>
              <w:spacing w:lineRule="auto" w:line="271"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auto"/>
                <w:sz w:val="22"/>
                <w:szCs w:val="22"/>
                <w:u w:val="none"/>
              </w:rPr>
              <w:t>Cohort</w:t>
            </w:r>
          </w:p>
        </w:tc>
        <w:tc>
          <w:tcPr>
            <w:tcW w:w="1806" w:type="dxa"/>
            <w:tcBorders>
              <w:top w:val="single" w:sz="6" w:space="0" w:color="000000"/>
              <w:bottom w:val="single" w:sz="6" w:space="0" w:color="000000"/>
            </w:tcBorders>
            <w:vAlign w:val="center"/>
          </w:tcPr>
          <w:p>
            <w:pPr>
              <w:pStyle w:val="TableContents"/>
              <w:spacing w:lineRule="auto" w:line="271" w:before="0" w:after="0"/>
              <w:ind w:hanging="0" w:start="0" w:end="0"/>
              <w:jc w:val="start"/>
              <w:rPr>
                <w:rFonts w:ascii="Liberation Serif" w:hAnsi="Liberation Serif"/>
                <w:b/>
                <w:bCs/>
                <w:i w:val="false"/>
                <w:i w:val="false"/>
                <w:iCs w:val="false"/>
                <w:strike w:val="false"/>
                <w:dstrike w:val="false"/>
                <w:outline w:val="false"/>
                <w:shadow w:val="false"/>
                <w:color w:val="000000"/>
                <w:sz w:val="24"/>
                <w:szCs w:val="24"/>
                <w:u w:val="none"/>
              </w:rPr>
            </w:pPr>
            <w:r>
              <w:rPr>
                <w:rFonts w:ascii="Liberation Serif" w:hAnsi="Liberation Serif"/>
                <w:b/>
                <w:bCs/>
                <w:i w:val="false"/>
                <w:iCs w:val="false"/>
                <w:strike w:val="false"/>
                <w:dstrike w:val="false"/>
                <w:outline w:val="false"/>
                <w:shadow w:val="false"/>
                <w:color w:val="000000"/>
                <w:sz w:val="24"/>
                <w:szCs w:val="24"/>
                <w:u w:val="none"/>
              </w:rPr>
              <w:t>Final Follow-up (Months)</w:t>
            </w:r>
          </w:p>
        </w:tc>
        <w:tc>
          <w:tcPr>
            <w:tcW w:w="2924" w:type="dxa"/>
            <w:tcBorders>
              <w:top w:val="single" w:sz="6" w:space="0" w:color="000000"/>
              <w:bottom w:val="single" w:sz="6" w:space="0" w:color="000000"/>
            </w:tcBorders>
            <w:vAlign w:val="center"/>
          </w:tcPr>
          <w:p>
            <w:pPr>
              <w:pStyle w:val="TableContents"/>
              <w:spacing w:lineRule="auto" w:line="271"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auto"/>
                <w:sz w:val="22"/>
                <w:szCs w:val="22"/>
                <w:u w:val="none"/>
              </w:rPr>
              <w:t>Cumulative Incidence (95% CI%)</w:t>
            </w:r>
          </w:p>
        </w:tc>
        <w:tc>
          <w:tcPr>
            <w:tcW w:w="1836" w:type="dxa"/>
            <w:tcBorders>
              <w:top w:val="single" w:sz="6" w:space="0" w:color="000000"/>
              <w:bottom w:val="single" w:sz="6" w:space="0" w:color="000000"/>
            </w:tcBorders>
            <w:vAlign w:val="center"/>
          </w:tcPr>
          <w:p>
            <w:pPr>
              <w:pStyle w:val="TableContents"/>
              <w:spacing w:lineRule="auto" w:line="271"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auto"/>
                <w:sz w:val="22"/>
                <w:szCs w:val="22"/>
                <w:u w:val="none"/>
              </w:rPr>
              <w:t>Standard Error</w:t>
            </w:r>
          </w:p>
        </w:tc>
      </w:tr>
      <w:tr>
        <w:trPr>
          <w:trHeight w:val="320" w:hRule="atLeast"/>
        </w:trPr>
        <w:tc>
          <w:tcPr>
            <w:tcW w:w="1805" w:type="dxa"/>
            <w:tcBorders>
              <w:bottom w:val="single" w:sz="6" w:space="0" w:color="000000"/>
            </w:tcBorders>
            <w:vAlign w:val="center"/>
          </w:tcPr>
          <w:p>
            <w:pPr>
              <w:pStyle w:val="TableContents"/>
              <w:spacing w:lineRule="auto" w:line="271" w:before="0" w:after="120"/>
              <w:ind w:hanging="0" w:start="0" w:end="0"/>
              <w:jc w:val="start"/>
              <w:rPr>
                <w:rFonts w:ascii="Liberation Serif" w:hAnsi="Liberation Serif"/>
                <w:b w:val="false"/>
                <w:bCs w:val="false"/>
                <w:i w:val="false"/>
                <w:i w:val="false"/>
                <w:iCs w:val="false"/>
                <w:strike w:val="false"/>
                <w:dstrike w:val="false"/>
                <w:outline w:val="false"/>
                <w:shadow w:val="false"/>
                <w:color w:val="000000"/>
                <w:sz w:val="22"/>
                <w:szCs w:val="22"/>
                <w:u w:val="none"/>
              </w:rPr>
            </w:pPr>
            <w:r>
              <w:rPr>
                <w:rFonts w:ascii="Liberation Serif" w:hAnsi="Liberation Serif"/>
                <w:b w:val="false"/>
                <w:bCs w:val="false"/>
                <w:i w:val="false"/>
                <w:iCs w:val="false"/>
                <w:strike w:val="false"/>
                <w:dstrike w:val="false"/>
                <w:outline w:val="false"/>
                <w:shadow w:val="false"/>
                <w:color w:val="auto"/>
                <w:sz w:val="22"/>
                <w:szCs w:val="22"/>
                <w:u w:val="none"/>
              </w:rPr>
              <w:t>Overall (n=38,148)</w:t>
            </w:r>
          </w:p>
        </w:tc>
        <w:tc>
          <w:tcPr>
            <w:tcW w:w="1806" w:type="dxa"/>
            <w:tcBorders>
              <w:bottom w:val="single" w:sz="6" w:space="0" w:color="000000"/>
            </w:tcBorders>
            <w:vAlign w:val="center"/>
          </w:tcPr>
          <w:p>
            <w:pPr>
              <w:pStyle w:val="TableContents"/>
              <w:spacing w:lineRule="auto" w:line="271" w:before="0" w:after="120"/>
              <w:ind w:hanging="0" w:start="0" w:end="0"/>
              <w:jc w:val="start"/>
              <w:rPr>
                <w:rFonts w:ascii="Liberation Serif" w:hAnsi="Liberation Serif"/>
                <w:b w:val="false"/>
                <w:bCs w:val="false"/>
                <w:i w:val="false"/>
                <w:i w:val="false"/>
                <w:iCs w:val="false"/>
                <w:strike w:val="false"/>
                <w:dstrike w:val="false"/>
                <w:outline w:val="false"/>
                <w:shadow w:val="false"/>
                <w:color w:val="000000"/>
                <w:sz w:val="22"/>
                <w:szCs w:val="22"/>
                <w:u w:val="none"/>
              </w:rPr>
            </w:pPr>
            <w:r>
              <w:rPr>
                <w:rFonts w:ascii="Liberation Serif" w:hAnsi="Liberation Serif"/>
                <w:b w:val="false"/>
                <w:bCs w:val="false"/>
                <w:i w:val="false"/>
                <w:iCs w:val="false"/>
                <w:strike w:val="false"/>
                <w:dstrike w:val="false"/>
                <w:outline w:val="false"/>
                <w:shadow w:val="false"/>
                <w:color w:val="000000"/>
                <w:sz w:val="22"/>
                <w:szCs w:val="22"/>
                <w:u w:val="none"/>
              </w:rPr>
              <w:t>214</w:t>
            </w:r>
          </w:p>
        </w:tc>
        <w:tc>
          <w:tcPr>
            <w:tcW w:w="2924" w:type="dxa"/>
            <w:tcBorders>
              <w:bottom w:val="single" w:sz="6" w:space="0" w:color="000000"/>
            </w:tcBorders>
            <w:vAlign w:val="center"/>
          </w:tcPr>
          <w:p>
            <w:pPr>
              <w:pStyle w:val="TableContents"/>
              <w:spacing w:lineRule="auto" w:line="271" w:before="0" w:after="120"/>
              <w:ind w:hanging="0" w:start="0" w:end="0"/>
              <w:jc w:val="start"/>
              <w:rPr>
                <w:rFonts w:ascii="Liberation Serif" w:hAnsi="Liberation Serif"/>
                <w:b w:val="false"/>
                <w:bCs w:val="false"/>
                <w:i w:val="false"/>
                <w:i w:val="false"/>
                <w:iCs w:val="false"/>
                <w:strike w:val="false"/>
                <w:dstrike w:val="false"/>
                <w:outline w:val="false"/>
                <w:shadow w:val="false"/>
                <w:color w:val="000000"/>
                <w:sz w:val="22"/>
                <w:szCs w:val="22"/>
                <w:u w:val="none"/>
              </w:rPr>
            </w:pPr>
            <w:r>
              <w:rPr>
                <w:rFonts w:ascii="Liberation Serif" w:hAnsi="Liberation Serif"/>
                <w:b w:val="false"/>
                <w:bCs w:val="false"/>
                <w:i w:val="false"/>
                <w:iCs w:val="false"/>
                <w:strike w:val="false"/>
                <w:dstrike w:val="false"/>
                <w:outline w:val="false"/>
                <w:shadow w:val="false"/>
                <w:color w:val="auto"/>
                <w:sz w:val="22"/>
                <w:szCs w:val="22"/>
                <w:u w:val="none"/>
              </w:rPr>
              <w:t>5.70% (5.16%–6.27%%)</w:t>
            </w:r>
          </w:p>
        </w:tc>
        <w:tc>
          <w:tcPr>
            <w:tcW w:w="1836" w:type="dxa"/>
            <w:tcBorders>
              <w:bottom w:val="single" w:sz="6" w:space="0" w:color="000000"/>
            </w:tcBorders>
            <w:vAlign w:val="center"/>
          </w:tcPr>
          <w:p>
            <w:pPr>
              <w:pStyle w:val="TableContents"/>
              <w:spacing w:lineRule="auto" w:line="271" w:before="0" w:after="120"/>
              <w:ind w:hanging="0" w:start="0" w:end="0"/>
              <w:jc w:val="start"/>
              <w:rPr>
                <w:rFonts w:ascii="Liberation Serif" w:hAnsi="Liberation Serif"/>
                <w:b w:val="false"/>
                <w:bCs w:val="false"/>
                <w:i w:val="false"/>
                <w:i w:val="false"/>
                <w:iCs w:val="false"/>
                <w:strike w:val="false"/>
                <w:dstrike w:val="false"/>
                <w:outline w:val="false"/>
                <w:shadow w:val="false"/>
                <w:color w:val="000000"/>
                <w:sz w:val="22"/>
                <w:szCs w:val="22"/>
                <w:u w:val="none"/>
              </w:rPr>
            </w:pPr>
            <w:r>
              <w:rPr>
                <w:rFonts w:ascii="Liberation Serif" w:hAnsi="Liberation Serif"/>
                <w:b w:val="false"/>
                <w:bCs w:val="false"/>
                <w:i w:val="false"/>
                <w:iCs w:val="false"/>
                <w:strike w:val="false"/>
                <w:dstrike w:val="false"/>
                <w:outline w:val="false"/>
                <w:shadow w:val="false"/>
                <w:color w:val="auto"/>
                <w:sz w:val="22"/>
                <w:szCs w:val="22"/>
                <w:u w:val="none"/>
              </w:rPr>
              <w:t>0.003</w:t>
            </w:r>
          </w:p>
        </w:tc>
      </w:tr>
    </w:tbl>
    <w:p>
      <w:pPr>
        <w:pStyle w:val="Normal"/>
        <w:widowControl/>
        <w:shd w:val="clear" w:fill="auto"/>
        <w:bidi w:val="0"/>
        <w:spacing w:lineRule="auto" w:line="331" w:before="0" w:after="0"/>
        <w:ind w:hanging="0" w:start="0" w:end="0"/>
        <w:jc w:val="start"/>
        <w:rPr>
          <w:rFonts w:ascii="Liberation Serif" w:hAnsi="Liberation Serif" w:eastAsia="Liberation Serif" w:cs="Liberation Serif"/>
        </w:rPr>
      </w:pPr>
      <w:r>
        <w:rPr>
          <w:rFonts w:eastAsia="Liberation Serif" w:cs="Liberation Serif"/>
        </w:rPr>
      </w:r>
      <w:r>
        <w:br w:type="page"/>
      </w:r>
    </w:p>
    <w:p>
      <w:pPr>
        <w:pStyle w:val="BodyText"/>
        <w:bidi w:val="0"/>
        <w:spacing w:lineRule="auto" w:line="271" w:before="0" w:after="120"/>
        <w:ind w:hanging="0" w:start="0" w:end="0"/>
        <w:jc w:val="start"/>
        <w:rPr>
          <w:sz w:val="22"/>
          <w:szCs w:val="22"/>
        </w:rPr>
      </w:pPr>
      <w:r>
        <w:rPr>
          <w:b/>
          <w:color w:val="auto"/>
          <w:sz w:val="22"/>
          <w:szCs w:val="22"/>
        </w:rPr>
        <w:t xml:space="preserve">2. </w:t>
      </w:r>
      <w:r>
        <w:rPr>
          <w:rFonts w:eastAsia="Liberation Serif" w:cs="Liberation Serif"/>
          <w:b/>
          <w:bCs/>
          <w:i w:val="false"/>
          <w:iCs w:val="false"/>
          <w:caps w:val="false"/>
          <w:smallCaps w:val="false"/>
          <w:strike w:val="false"/>
          <w:dstrike w:val="false"/>
          <w:color w:val="000000"/>
          <w:position w:val="0"/>
          <w:sz w:val="22"/>
          <w:sz w:val="22"/>
          <w:szCs w:val="22"/>
          <w:u w:val="none"/>
          <w:shd w:fill="auto" w:val="clear"/>
          <w:vertAlign w:val="baseline"/>
        </w:rPr>
        <w:t>Cumulative Incidence of Cardiovascular Mortality Among Long-Term Ovarian Cancer Survivors</w:t>
      </w:r>
      <w:r>
        <w:rPr>
          <w:rFonts w:eastAsia="Liberation Serif" w:cs="Liberation Serif"/>
          <w:b/>
          <w:i w:val="false"/>
          <w:iCs w:val="false"/>
          <w:caps w:val="false"/>
          <w:smallCaps w:val="false"/>
          <w:strike w:val="false"/>
          <w:dstrike w:val="false"/>
          <w:color w:val="000000"/>
          <w:position w:val="0"/>
          <w:sz w:val="22"/>
          <w:sz w:val="22"/>
          <w:szCs w:val="22"/>
          <w:u w:val="none"/>
          <w:shd w:fill="auto" w:val="clear"/>
          <w:vertAlign w:val="baseline"/>
        </w:rPr>
        <w:t>, by Age at Diagnosis</w:t>
      </w:r>
    </w:p>
    <w:p>
      <w:pPr>
        <w:pStyle w:val="BodyText"/>
        <w:bidi w:val="0"/>
        <w:spacing w:lineRule="auto" w:line="271" w:before="0" w:after="120"/>
        <w:ind w:hanging="0" w:start="0" w:end="0"/>
        <w:jc w:val="start"/>
        <w:rPr>
          <w:rFonts w:ascii="Google Sans Text;sans-serif" w:hAnsi="Google Sans Text;sans-serif"/>
          <w:color w:val="auto"/>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67157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3671570"/>
                    </a:xfrm>
                    <a:prstGeom prst="rect">
                      <a:avLst/>
                    </a:prstGeom>
                  </pic:spPr>
                </pic:pic>
              </a:graphicData>
            </a:graphic>
          </wp:anchor>
        </w:drawing>
      </w:r>
      <w:r>
        <w:rPr>
          <w:b/>
          <w:color w:val="auto"/>
        </w:rPr>
        <w:t xml:space="preserve">Figure 2: </w:t>
      </w:r>
      <w:r>
        <w:rPr>
          <w:rFonts w:eastAsia="Liberation Serif" w:cs="Liberation Serif"/>
          <w:b w:val="false"/>
          <w:bCs w:val="false"/>
          <w:color w:val="auto"/>
        </w:rPr>
        <w:t>Cumulative Incidence of Cardiovascular Death by Age at Diagnosis</w:t>
      </w:r>
    </w:p>
    <w:p>
      <w:pPr>
        <w:pStyle w:val="BodyText"/>
        <w:bidi w:val="0"/>
        <w:spacing w:lineRule="auto" w:line="271" w:before="0" w:after="120"/>
        <w:ind w:hanging="0" w:start="0" w:end="0"/>
        <w:jc w:val="start"/>
        <w:rPr>
          <w:rFonts w:ascii="Google Sans Text;sans-serif" w:hAnsi="Google Sans Text;sans-serif"/>
          <w:color w:val="auto"/>
        </w:rPr>
      </w:pPr>
      <w:r>
        <w:rPr>
          <w:rFonts w:ascii="Google Sans Text;sans-serif" w:hAnsi="Google Sans Text;sans-serif"/>
          <w:color w:val="auto"/>
        </w:rPr>
      </w:r>
    </w:p>
    <w:p>
      <w:pPr>
        <w:pStyle w:val="BodyText"/>
        <w:bidi w:val="0"/>
        <w:spacing w:lineRule="auto" w:line="271" w:before="0" w:after="120"/>
        <w:ind w:hanging="0" w:start="0" w:end="0"/>
        <w:jc w:val="start"/>
        <w:rPr>
          <w:rFonts w:ascii="Google Sans Text;sans-serif" w:hAnsi="Google Sans Text;sans-serif"/>
          <w:color w:val="auto"/>
        </w:rPr>
      </w:pPr>
      <w:r>
        <w:rPr>
          <w:rFonts w:eastAsia="Liberation Serif" w:cs="Liberation Serif"/>
          <w:b/>
          <w:bCs/>
          <w:i w:val="false"/>
          <w:iCs w:val="false"/>
          <w:caps w:val="false"/>
          <w:smallCaps w:val="false"/>
          <w:strike w:val="false"/>
          <w:dstrike w:val="false"/>
          <w:color w:val="000000"/>
          <w:position w:val="0"/>
          <w:sz w:val="22"/>
          <w:sz w:val="22"/>
          <w:szCs w:val="22"/>
          <w:u w:val="none"/>
          <w:shd w:fill="auto" w:val="clear"/>
          <w:vertAlign w:val="baseline"/>
        </w:rPr>
        <w:t xml:space="preserve">Table 2: </w:t>
      </w:r>
      <w:r>
        <w:rPr>
          <w:rFonts w:eastAsia="Liberation Serif" w:cs="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Cumulative Incidence of Cardiovascular Mortality Among Long-term Ovarian Cancer Survivors, by Age at Diagnosis</w:t>
      </w:r>
    </w:p>
    <w:tbl>
      <w:tblPr>
        <w:tblW w:w="9638" w:type="dxa"/>
        <w:jc w:val="start"/>
        <w:tblInd w:w="0" w:type="dxa"/>
        <w:tblLayout w:type="fixed"/>
        <w:tblCellMar>
          <w:top w:w="120" w:type="dxa"/>
          <w:start w:w="180" w:type="dxa"/>
          <w:bottom w:w="120" w:type="dxa"/>
          <w:end w:w="180" w:type="dxa"/>
        </w:tblCellMar>
      </w:tblPr>
      <w:tblGrid>
        <w:gridCol w:w="1351"/>
        <w:gridCol w:w="1041"/>
        <w:gridCol w:w="1229"/>
        <w:gridCol w:w="1258"/>
        <w:gridCol w:w="1260"/>
        <w:gridCol w:w="1521"/>
        <w:gridCol w:w="1977"/>
      </w:tblGrid>
      <w:tr>
        <w:trPr>
          <w:tblHeader w:val="true"/>
        </w:trPr>
        <w:tc>
          <w:tcPr>
            <w:tcW w:w="13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0"/>
              <w:ind w:hanging="0" w:start="0" w:end="0"/>
              <w:jc w:val="start"/>
              <w:rPr>
                <w:rFonts w:ascii="Cambria" w:hAnsi="Cambria"/>
                <w:b w:val="false"/>
                <w:bCs w:val="false"/>
                <w:i w:val="false"/>
                <w:i w:val="false"/>
                <w:iCs w:val="false"/>
                <w:strike w:val="false"/>
                <w:dstrike w:val="false"/>
                <w:outline w:val="false"/>
                <w:shadow w:val="false"/>
                <w:color w:val="auto"/>
                <w:sz w:val="22"/>
                <w:szCs w:val="24"/>
                <w:u w:val="none"/>
              </w:rPr>
            </w:pPr>
            <w:r>
              <w:rPr>
                <w:rStyle w:val="Strong"/>
                <w:rFonts w:ascii="Liberation Serif" w:hAnsi="Liberation Serif"/>
                <w:i w:val="false"/>
                <w:iCs w:val="false"/>
                <w:strike w:val="false"/>
                <w:dstrike w:val="false"/>
                <w:outline w:val="false"/>
                <w:shadow w:val="false"/>
                <w:color w:val="auto"/>
                <w:sz w:val="22"/>
                <w:szCs w:val="24"/>
                <w:u w:val="none"/>
              </w:rPr>
              <w:t>Age at Diagnosis</w:t>
            </w:r>
          </w:p>
        </w:tc>
        <w:tc>
          <w:tcPr>
            <w:tcW w:w="104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0"/>
              <w:ind w:hanging="0" w:start="0" w:end="0"/>
              <w:jc w:val="start"/>
              <w:rPr>
                <w:rFonts w:ascii="Cambria" w:hAnsi="Cambria"/>
                <w:b w:val="false"/>
                <w:bCs w:val="false"/>
                <w:i w:val="false"/>
                <w:i w:val="false"/>
                <w:iCs w:val="false"/>
                <w:strike w:val="false"/>
                <w:dstrike w:val="false"/>
                <w:outline w:val="false"/>
                <w:shadow w:val="false"/>
                <w:color w:val="auto"/>
                <w:sz w:val="22"/>
                <w:szCs w:val="24"/>
                <w:u w:val="none"/>
              </w:rPr>
            </w:pPr>
            <w:r>
              <w:rPr>
                <w:rStyle w:val="Strong"/>
                <w:rFonts w:ascii="Liberation Serif" w:hAnsi="Liberation Serif"/>
                <w:i w:val="false"/>
                <w:iCs w:val="false"/>
                <w:strike w:val="false"/>
                <w:dstrike w:val="false"/>
                <w:outline w:val="false"/>
                <w:shadow w:val="false"/>
                <w:color w:val="auto"/>
                <w:sz w:val="22"/>
                <w:szCs w:val="24"/>
                <w:u w:val="none"/>
              </w:rPr>
              <w:t>Cohort Size (N)</w:t>
            </w:r>
          </w:p>
        </w:tc>
        <w:tc>
          <w:tcPr>
            <w:tcW w:w="122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0"/>
              <w:ind w:hanging="0" w:start="0" w:end="0"/>
              <w:jc w:val="start"/>
              <w:rPr>
                <w:rFonts w:ascii="Cambria" w:hAnsi="Cambria"/>
                <w:b w:val="false"/>
                <w:bCs w:val="false"/>
                <w:i w:val="false"/>
                <w:i w:val="false"/>
                <w:iCs w:val="false"/>
                <w:strike w:val="false"/>
                <w:dstrike w:val="false"/>
                <w:outline w:val="false"/>
                <w:shadow w:val="false"/>
                <w:color w:val="auto"/>
                <w:sz w:val="22"/>
                <w:szCs w:val="24"/>
                <w:u w:val="none"/>
              </w:rPr>
            </w:pPr>
            <w:r>
              <w:rPr>
                <w:rStyle w:val="Strong"/>
                <w:rFonts w:ascii="Liberation Serif" w:hAnsi="Liberation Serif"/>
                <w:i w:val="false"/>
                <w:iCs w:val="false"/>
                <w:strike w:val="false"/>
                <w:dstrike w:val="false"/>
                <w:outline w:val="false"/>
                <w:shadow w:val="false"/>
                <w:color w:val="auto"/>
                <w:sz w:val="22"/>
                <w:szCs w:val="24"/>
                <w:u w:val="none"/>
              </w:rPr>
              <w:t>Year 10 (60 months)</w:t>
            </w:r>
          </w:p>
        </w:tc>
        <w:tc>
          <w:tcPr>
            <w:tcW w:w="125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0"/>
              <w:ind w:hanging="0" w:start="0" w:end="0"/>
              <w:jc w:val="start"/>
              <w:rPr>
                <w:rFonts w:ascii="Cambria" w:hAnsi="Cambria"/>
                <w:b w:val="false"/>
                <w:bCs w:val="false"/>
                <w:i w:val="false"/>
                <w:i w:val="false"/>
                <w:iCs w:val="false"/>
                <w:strike w:val="false"/>
                <w:dstrike w:val="false"/>
                <w:outline w:val="false"/>
                <w:shadow w:val="false"/>
                <w:color w:val="auto"/>
                <w:sz w:val="22"/>
                <w:szCs w:val="24"/>
                <w:u w:val="none"/>
              </w:rPr>
            </w:pPr>
            <w:r>
              <w:rPr>
                <w:rStyle w:val="Strong"/>
                <w:rFonts w:ascii="Liberation Serif" w:hAnsi="Liberation Serif"/>
                <w:i w:val="false"/>
                <w:iCs w:val="false"/>
                <w:strike w:val="false"/>
                <w:dstrike w:val="false"/>
                <w:outline w:val="false"/>
                <w:shadow w:val="false"/>
                <w:color w:val="auto"/>
                <w:sz w:val="22"/>
                <w:szCs w:val="24"/>
                <w:u w:val="none"/>
              </w:rPr>
              <w:t>Year 15 (120 months)</w:t>
            </w:r>
          </w:p>
        </w:tc>
        <w:tc>
          <w:tcPr>
            <w:tcW w:w="126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0"/>
              <w:ind w:hanging="0" w:start="0" w:end="0"/>
              <w:jc w:val="start"/>
              <w:rPr>
                <w:rFonts w:ascii="Cambria" w:hAnsi="Cambria"/>
                <w:b w:val="false"/>
                <w:bCs w:val="false"/>
                <w:i w:val="false"/>
                <w:i w:val="false"/>
                <w:iCs w:val="false"/>
                <w:strike w:val="false"/>
                <w:dstrike w:val="false"/>
                <w:outline w:val="false"/>
                <w:shadow w:val="false"/>
                <w:color w:val="auto"/>
                <w:sz w:val="22"/>
                <w:szCs w:val="24"/>
                <w:u w:val="none"/>
              </w:rPr>
            </w:pPr>
            <w:r>
              <w:rPr>
                <w:rStyle w:val="Strong"/>
                <w:rFonts w:ascii="Liberation Serif" w:hAnsi="Liberation Serif"/>
                <w:i w:val="false"/>
                <w:iCs w:val="false"/>
                <w:strike w:val="false"/>
                <w:dstrike w:val="false"/>
                <w:outline w:val="false"/>
                <w:shadow w:val="false"/>
                <w:color w:val="auto"/>
                <w:sz w:val="22"/>
                <w:szCs w:val="24"/>
                <w:u w:val="none"/>
              </w:rPr>
              <w:t>Year 20 (180 months)</w:t>
            </w:r>
          </w:p>
        </w:tc>
        <w:tc>
          <w:tcPr>
            <w:tcW w:w="152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0"/>
              <w:ind w:hanging="0" w:start="0" w:end="0"/>
              <w:jc w:val="start"/>
              <w:rPr>
                <w:rFonts w:ascii="Cambria" w:hAnsi="Cambria"/>
                <w:b w:val="false"/>
                <w:bCs w:val="false"/>
                <w:i w:val="false"/>
                <w:i w:val="false"/>
                <w:iCs w:val="false"/>
                <w:strike w:val="false"/>
                <w:dstrike w:val="false"/>
                <w:outline w:val="false"/>
                <w:shadow w:val="false"/>
                <w:color w:val="auto"/>
                <w:sz w:val="22"/>
                <w:szCs w:val="24"/>
                <w:u w:val="none"/>
              </w:rPr>
            </w:pPr>
            <w:r>
              <w:rPr>
                <w:rStyle w:val="Strong"/>
                <w:rFonts w:ascii="Liberation Serif" w:hAnsi="Liberation Serif"/>
                <w:i w:val="false"/>
                <w:iCs w:val="false"/>
                <w:strike w:val="false"/>
                <w:dstrike w:val="false"/>
                <w:outline w:val="false"/>
                <w:shadow w:val="false"/>
                <w:color w:val="auto"/>
                <w:sz w:val="22"/>
                <w:szCs w:val="24"/>
                <w:u w:val="none"/>
              </w:rPr>
              <w:t>Final Follow-up (Months)</w:t>
            </w:r>
          </w:p>
        </w:tc>
        <w:tc>
          <w:tcPr>
            <w:tcW w:w="197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0"/>
              <w:ind w:hanging="0" w:start="0" w:end="0"/>
              <w:jc w:val="start"/>
              <w:rPr>
                <w:rFonts w:ascii="Cambria" w:hAnsi="Cambria"/>
                <w:b w:val="false"/>
                <w:bCs w:val="false"/>
                <w:i w:val="false"/>
                <w:i w:val="false"/>
                <w:iCs w:val="false"/>
                <w:strike w:val="false"/>
                <w:dstrike w:val="false"/>
                <w:outline w:val="false"/>
                <w:shadow w:val="false"/>
                <w:color w:val="auto"/>
                <w:sz w:val="22"/>
                <w:szCs w:val="24"/>
                <w:u w:val="none"/>
              </w:rPr>
            </w:pPr>
            <w:r>
              <w:rPr>
                <w:rStyle w:val="Strong"/>
                <w:rFonts w:ascii="Liberation Serif" w:hAnsi="Liberation Serif"/>
                <w:i w:val="false"/>
                <w:iCs w:val="false"/>
                <w:strike w:val="false"/>
                <w:dstrike w:val="false"/>
                <w:outline w:val="false"/>
                <w:shadow w:val="false"/>
                <w:color w:val="auto"/>
                <w:sz w:val="22"/>
                <w:szCs w:val="24"/>
                <w:u w:val="none"/>
              </w:rPr>
              <w:t>Final Cumulative Incidence (95% CI)</w:t>
            </w:r>
          </w:p>
        </w:tc>
      </w:tr>
      <w:tr>
        <w:trPr/>
        <w:tc>
          <w:tcPr>
            <w:tcW w:w="13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bCs w:val="false"/>
                <w:i w:val="false"/>
                <w:i w:val="false"/>
                <w:iCs w:val="false"/>
                <w:strike w:val="false"/>
                <w:dstrike w:val="false"/>
                <w:outline w:val="false"/>
                <w:shadow w:val="false"/>
                <w:color w:val="auto"/>
                <w:sz w:val="22"/>
                <w:szCs w:val="24"/>
                <w:u w:val="none"/>
              </w:rPr>
            </w:pPr>
            <w:r>
              <w:rPr>
                <w:rFonts w:ascii="Liberation Serif" w:hAnsi="Liberation Serif"/>
                <w:b/>
                <w:bCs w:val="false"/>
                <w:i w:val="false"/>
                <w:iCs w:val="false"/>
                <w:strike w:val="false"/>
                <w:dstrike w:val="false"/>
                <w:outline w:val="false"/>
                <w:shadow w:val="false"/>
                <w:color w:val="auto"/>
                <w:sz w:val="22"/>
                <w:szCs w:val="24"/>
                <w:u w:val="none"/>
              </w:rPr>
              <w:t>20 - 39 years</w:t>
            </w:r>
          </w:p>
        </w:tc>
        <w:tc>
          <w:tcPr>
            <w:tcW w:w="104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4,401</w:t>
            </w:r>
          </w:p>
        </w:tc>
        <w:tc>
          <w:tcPr>
            <w:tcW w:w="122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0.09%</w:t>
            </w:r>
          </w:p>
        </w:tc>
        <w:tc>
          <w:tcPr>
            <w:tcW w:w="125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0.31%</w:t>
            </w:r>
          </w:p>
        </w:tc>
        <w:tc>
          <w:tcPr>
            <w:tcW w:w="126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0.49%</w:t>
            </w:r>
          </w:p>
        </w:tc>
        <w:tc>
          <w:tcPr>
            <w:tcW w:w="152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209.0</w:t>
            </w:r>
          </w:p>
        </w:tc>
        <w:tc>
          <w:tcPr>
            <w:tcW w:w="197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0.84% (0.31 – 1.92%)</w:t>
            </w:r>
          </w:p>
        </w:tc>
      </w:tr>
      <w:tr>
        <w:trPr/>
        <w:tc>
          <w:tcPr>
            <w:tcW w:w="13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bCs w:val="false"/>
                <w:i w:val="false"/>
                <w:i w:val="false"/>
                <w:iCs w:val="false"/>
                <w:strike w:val="false"/>
                <w:dstrike w:val="false"/>
                <w:outline w:val="false"/>
                <w:shadow w:val="false"/>
                <w:color w:val="auto"/>
                <w:sz w:val="22"/>
                <w:szCs w:val="24"/>
                <w:u w:val="none"/>
              </w:rPr>
            </w:pPr>
            <w:r>
              <w:rPr>
                <w:rFonts w:ascii="Liberation Serif" w:hAnsi="Liberation Serif"/>
                <w:b/>
                <w:bCs w:val="false"/>
                <w:i w:val="false"/>
                <w:iCs w:val="false"/>
                <w:strike w:val="false"/>
                <w:dstrike w:val="false"/>
                <w:outline w:val="false"/>
                <w:shadow w:val="false"/>
                <w:color w:val="auto"/>
                <w:sz w:val="22"/>
                <w:szCs w:val="24"/>
                <w:u w:val="none"/>
              </w:rPr>
              <w:t>40 - 59 years</w:t>
            </w:r>
          </w:p>
        </w:tc>
        <w:tc>
          <w:tcPr>
            <w:tcW w:w="104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18,403</w:t>
            </w:r>
          </w:p>
        </w:tc>
        <w:tc>
          <w:tcPr>
            <w:tcW w:w="122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0.44%</w:t>
            </w:r>
          </w:p>
        </w:tc>
        <w:tc>
          <w:tcPr>
            <w:tcW w:w="125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1.06%</w:t>
            </w:r>
          </w:p>
        </w:tc>
        <w:tc>
          <w:tcPr>
            <w:tcW w:w="126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1.98%</w:t>
            </w:r>
          </w:p>
        </w:tc>
        <w:tc>
          <w:tcPr>
            <w:tcW w:w="152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213.0</w:t>
            </w:r>
          </w:p>
        </w:tc>
        <w:tc>
          <w:tcPr>
            <w:tcW w:w="197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2.78% (2.17 – 3.50%)</w:t>
            </w:r>
          </w:p>
        </w:tc>
      </w:tr>
      <w:tr>
        <w:trPr/>
        <w:tc>
          <w:tcPr>
            <w:tcW w:w="13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bCs w:val="false"/>
                <w:i w:val="false"/>
                <w:i w:val="false"/>
                <w:iCs w:val="false"/>
                <w:strike w:val="false"/>
                <w:dstrike w:val="false"/>
                <w:outline w:val="false"/>
                <w:shadow w:val="false"/>
                <w:color w:val="auto"/>
                <w:sz w:val="22"/>
                <w:szCs w:val="24"/>
                <w:u w:val="none"/>
              </w:rPr>
            </w:pPr>
            <w:r>
              <w:rPr>
                <w:rFonts w:ascii="Liberation Serif" w:hAnsi="Liberation Serif"/>
                <w:b/>
                <w:bCs w:val="false"/>
                <w:i w:val="false"/>
                <w:iCs w:val="false"/>
                <w:strike w:val="false"/>
                <w:dstrike w:val="false"/>
                <w:outline w:val="false"/>
                <w:shadow w:val="false"/>
                <w:color w:val="auto"/>
                <w:sz w:val="22"/>
                <w:szCs w:val="24"/>
                <w:u w:val="none"/>
              </w:rPr>
              <w:t>60 - 79 years</w:t>
            </w:r>
          </w:p>
        </w:tc>
        <w:tc>
          <w:tcPr>
            <w:tcW w:w="104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13,811</w:t>
            </w:r>
          </w:p>
        </w:tc>
        <w:tc>
          <w:tcPr>
            <w:tcW w:w="122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2.24%</w:t>
            </w:r>
          </w:p>
        </w:tc>
        <w:tc>
          <w:tcPr>
            <w:tcW w:w="125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4.93%</w:t>
            </w:r>
          </w:p>
        </w:tc>
        <w:tc>
          <w:tcPr>
            <w:tcW w:w="126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8.42%</w:t>
            </w:r>
          </w:p>
        </w:tc>
        <w:tc>
          <w:tcPr>
            <w:tcW w:w="152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206.0</w:t>
            </w:r>
          </w:p>
        </w:tc>
        <w:tc>
          <w:tcPr>
            <w:tcW w:w="197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9.67% (8.69 – 10.71%)</w:t>
            </w:r>
          </w:p>
        </w:tc>
      </w:tr>
      <w:tr>
        <w:trPr/>
        <w:tc>
          <w:tcPr>
            <w:tcW w:w="13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bCs w:val="false"/>
                <w:i w:val="false"/>
                <w:i w:val="false"/>
                <w:iCs w:val="false"/>
                <w:strike w:val="false"/>
                <w:dstrike w:val="false"/>
                <w:outline w:val="false"/>
                <w:shadow w:val="false"/>
                <w:color w:val="auto"/>
                <w:sz w:val="22"/>
                <w:szCs w:val="24"/>
                <w:u w:val="none"/>
              </w:rPr>
            </w:pPr>
            <w:r>
              <w:rPr>
                <w:rFonts w:ascii="Liberation Serif" w:hAnsi="Liberation Serif"/>
                <w:b/>
                <w:bCs w:val="false"/>
                <w:i w:val="false"/>
                <w:iCs w:val="false"/>
                <w:strike w:val="false"/>
                <w:dstrike w:val="false"/>
                <w:outline w:val="false"/>
                <w:shadow w:val="false"/>
                <w:color w:val="auto"/>
                <w:sz w:val="22"/>
                <w:szCs w:val="24"/>
                <w:u w:val="none"/>
              </w:rPr>
              <w:t>80+ years</w:t>
            </w:r>
          </w:p>
        </w:tc>
        <w:tc>
          <w:tcPr>
            <w:tcW w:w="104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1,533</w:t>
            </w:r>
          </w:p>
        </w:tc>
        <w:tc>
          <w:tcPr>
            <w:tcW w:w="122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11.02%</w:t>
            </w:r>
          </w:p>
        </w:tc>
        <w:tc>
          <w:tcPr>
            <w:tcW w:w="1258"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NR</w:t>
            </w:r>
            <w:r>
              <w:rPr>
                <w:rFonts w:ascii="Liberation Serif" w:hAnsi="Liberation Serif"/>
                <w:b w:val="false"/>
                <w:bCs w:val="false"/>
                <w:i w:val="false"/>
                <w:iCs w:val="false"/>
                <w:strike w:val="false"/>
                <w:dstrike w:val="false"/>
                <w:outline w:val="false"/>
                <w:shadow w:val="false"/>
                <w:color w:val="auto"/>
                <w:sz w:val="22"/>
                <w:szCs w:val="24"/>
                <w:u w:val="none"/>
                <w:vertAlign w:val="superscript"/>
              </w:rPr>
              <w:t>a</w:t>
            </w:r>
          </w:p>
        </w:tc>
        <w:tc>
          <w:tcPr>
            <w:tcW w:w="1260"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NR</w:t>
            </w:r>
            <w:r>
              <w:rPr>
                <w:rFonts w:ascii="Liberation Serif" w:hAnsi="Liberation Serif"/>
                <w:b w:val="false"/>
                <w:bCs w:val="false"/>
                <w:i w:val="false"/>
                <w:iCs w:val="false"/>
                <w:strike w:val="false"/>
                <w:dstrike w:val="false"/>
                <w:outline w:val="false"/>
                <w:shadow w:val="false"/>
                <w:color w:val="auto"/>
                <w:sz w:val="22"/>
                <w:szCs w:val="24"/>
                <w:u w:val="none"/>
                <w:vertAlign w:val="superscript"/>
              </w:rPr>
              <w:t>a</w:t>
            </w:r>
          </w:p>
        </w:tc>
        <w:tc>
          <w:tcPr>
            <w:tcW w:w="152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110.0</w:t>
            </w:r>
          </w:p>
        </w:tc>
        <w:tc>
          <w:tcPr>
            <w:tcW w:w="197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auto"/>
                <w:sz w:val="22"/>
                <w:szCs w:val="24"/>
                <w:u w:val="none"/>
              </w:rPr>
            </w:pPr>
            <w:r>
              <w:rPr>
                <w:rFonts w:ascii="Liberation Serif" w:hAnsi="Liberation Serif"/>
                <w:b w:val="false"/>
                <w:bCs w:val="false"/>
                <w:i w:val="false"/>
                <w:iCs w:val="false"/>
                <w:strike w:val="false"/>
                <w:dstrike w:val="false"/>
                <w:outline w:val="false"/>
                <w:shadow w:val="false"/>
                <w:color w:val="auto"/>
                <w:sz w:val="22"/>
                <w:szCs w:val="24"/>
                <w:u w:val="none"/>
              </w:rPr>
              <w:t>16.41% (14.36 – 18.58%)</w:t>
            </w:r>
          </w:p>
        </w:tc>
      </w:tr>
    </w:tbl>
    <w:p>
      <w:pPr>
        <w:pStyle w:val="BodyText"/>
        <w:bidi w:val="0"/>
        <w:spacing w:lineRule="auto" w:line="271" w:before="0" w:after="120"/>
        <w:ind w:hanging="0" w:start="0" w:end="0"/>
        <w:jc w:val="start"/>
        <w:rPr>
          <w:rFonts w:ascii="Liberation Serif" w:hAnsi="Liberation Serif"/>
          <w:color w:val="auto"/>
          <w:sz w:val="20"/>
          <w:szCs w:val="20"/>
        </w:rPr>
      </w:pPr>
      <w:r>
        <w:rPr>
          <w:b/>
          <w:color w:val="auto"/>
          <w:sz w:val="20"/>
          <w:szCs w:val="20"/>
        </w:rPr>
        <w:t>CI</w:t>
      </w:r>
      <w:r>
        <w:rPr>
          <w:color w:val="auto"/>
          <w:sz w:val="20"/>
          <w:szCs w:val="20"/>
        </w:rPr>
        <w:t xml:space="preserve">, Confidence Interval; </w:t>
      </w:r>
      <w:r>
        <w:rPr>
          <w:b/>
          <w:color w:val="auto"/>
          <w:sz w:val="20"/>
          <w:szCs w:val="20"/>
        </w:rPr>
        <w:t>NR</w:t>
      </w:r>
      <w:r>
        <w:rPr>
          <w:color w:val="auto"/>
          <w:sz w:val="20"/>
          <w:szCs w:val="20"/>
        </w:rPr>
        <w:t>, Not Reached.</w:t>
      </w:r>
    </w:p>
    <w:p>
      <w:pPr>
        <w:pStyle w:val="BodyText"/>
        <w:bidi w:val="0"/>
        <w:spacing w:lineRule="auto" w:line="271" w:before="0" w:after="120"/>
        <w:ind w:hanging="0" w:start="0" w:end="0"/>
        <w:jc w:val="start"/>
        <w:rPr>
          <w:rFonts w:ascii="Liberation Serif" w:hAnsi="Liberation Serif"/>
          <w:color w:val="auto"/>
        </w:rPr>
      </w:pPr>
      <w:r>
        <w:rPr>
          <w:color w:val="auto"/>
          <w:vertAlign w:val="superscript"/>
        </w:rPr>
        <w:t>a</w:t>
      </w:r>
      <w:r>
        <w:rPr>
          <w:color w:val="auto"/>
        </w:rPr>
        <w:t xml:space="preserve"> </w:t>
      </w:r>
      <w:r>
        <w:rPr>
          <w:color w:val="auto"/>
        </w:rPr>
        <w:t xml:space="preserve">The 10 and 15 years incidence milestones were not reached. By month 110, the pool of survivors at risk dropped below 100 individuals. </w:t>
      </w:r>
      <w:r>
        <w:rPr>
          <w:color w:val="auto"/>
        </w:rPr>
        <w:t>We cut the analysis at that point because estimates produced by a collapsing sample size are statistical noise, not reliable evidence.</w:t>
      </w:r>
    </w:p>
    <w:p>
      <w:pPr>
        <w:pStyle w:val="Heading3"/>
        <w:widowControl/>
        <w:shd w:val="clear" w:fill="auto"/>
        <w:spacing w:lineRule="auto" w:line="276" w:before="0" w:after="0"/>
        <w:ind w:hanging="0" w:start="0" w:end="0"/>
        <w:jc w:val="start"/>
        <w:rPr>
          <w:rFonts w:ascii="Google Sans;sans-serif" w:hAnsi="Google Sans;sans-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 xml:space="preserve">Table 3: </w:t>
      </w: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Fine-Gray Subdistribution Hazard Analysis of Cardiovascular Mortality by Age</w:t>
      </w:r>
      <w:r>
        <w:rPr>
          <w:rFonts w:eastAsia="Liberation Serif" w:cs="Liberation Serif" w:ascii="Google Sans;sans-serif" w:hAnsi="Google Sans;sans-serif"/>
          <w:b/>
          <w:bCs/>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Liberation Serif" w:cs="Liberation Serif" w:ascii="Google Sans;sans-serif" w:hAnsi="Google Sans;sans-serif"/>
          <w:b w:val="false"/>
          <w:bCs w:val="false"/>
          <w:i w:val="false"/>
          <w:iCs w:val="false"/>
          <w:caps w:val="false"/>
          <w:smallCaps w:val="false"/>
          <w:strike w:val="false"/>
          <w:dstrike w:val="false"/>
          <w:color w:val="000000"/>
          <w:position w:val="0"/>
          <w:sz w:val="22"/>
          <w:sz w:val="22"/>
          <w:szCs w:val="22"/>
          <w:u w:val="none"/>
          <w:shd w:fill="auto" w:val="clear"/>
          <w:vertAlign w:val="baseline"/>
        </w:rPr>
        <w:t>at Diagnosis</w:t>
      </w:r>
    </w:p>
    <w:tbl>
      <w:tblPr>
        <w:tblW w:w="8405" w:type="dxa"/>
        <w:jc w:val="start"/>
        <w:tblInd w:w="0" w:type="dxa"/>
        <w:tblLayout w:type="fixed"/>
        <w:tblCellMar>
          <w:top w:w="0" w:type="dxa"/>
          <w:start w:w="0" w:type="dxa"/>
          <w:bottom w:w="0" w:type="dxa"/>
          <w:end w:w="0" w:type="dxa"/>
        </w:tblCellMar>
      </w:tblPr>
      <w:tblGrid>
        <w:gridCol w:w="1951"/>
        <w:gridCol w:w="3914"/>
        <w:gridCol w:w="1580"/>
        <w:gridCol w:w="959"/>
      </w:tblGrid>
      <w:tr>
        <w:trPr/>
        <w:tc>
          <w:tcPr>
            <w:tcW w:w="1951"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Age at Diagnosis</w:t>
            </w:r>
          </w:p>
        </w:tc>
        <w:tc>
          <w:tcPr>
            <w:tcW w:w="3914"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Subdistribution Hazard Ratio (sHR)</w:t>
            </w:r>
          </w:p>
        </w:tc>
        <w:tc>
          <w:tcPr>
            <w:tcW w:w="1580"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95% CI</w:t>
            </w:r>
          </w:p>
        </w:tc>
        <w:tc>
          <w:tcPr>
            <w:tcW w:w="959"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P-value</w:t>
            </w:r>
          </w:p>
        </w:tc>
      </w:tr>
      <w:tr>
        <w:trPr/>
        <w:tc>
          <w:tcPr>
            <w:tcW w:w="1951"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20 - 39 years</w:t>
            </w:r>
          </w:p>
        </w:tc>
        <w:tc>
          <w:tcPr>
            <w:tcW w:w="3914"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1.00 (Ref)</w:t>
            </w:r>
          </w:p>
        </w:tc>
        <w:tc>
          <w:tcPr>
            <w:tcW w:w="1580"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c>
          <w:tcPr>
            <w:tcW w:w="959"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r>
      <w:tr>
        <w:trPr/>
        <w:tc>
          <w:tcPr>
            <w:tcW w:w="1951"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40 - 59 years</w:t>
            </w:r>
          </w:p>
        </w:tc>
        <w:tc>
          <w:tcPr>
            <w:tcW w:w="3914"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3.92</w:t>
            </w:r>
          </w:p>
        </w:tc>
        <w:tc>
          <w:tcPr>
            <w:tcW w:w="1580"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2.19 – 7.01</w:t>
            </w:r>
          </w:p>
        </w:tc>
        <w:tc>
          <w:tcPr>
            <w:tcW w:w="959"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&lt;0.001</w:t>
            </w:r>
          </w:p>
        </w:tc>
      </w:tr>
      <w:tr>
        <w:trPr/>
        <w:tc>
          <w:tcPr>
            <w:tcW w:w="1951"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60 - 79 years</w:t>
            </w:r>
          </w:p>
        </w:tc>
        <w:tc>
          <w:tcPr>
            <w:tcW w:w="3914"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17.08</w:t>
            </w:r>
          </w:p>
        </w:tc>
        <w:tc>
          <w:tcPr>
            <w:tcW w:w="1580"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9.66 – 30.21</w:t>
            </w:r>
          </w:p>
        </w:tc>
        <w:tc>
          <w:tcPr>
            <w:tcW w:w="959"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&lt;0.001</w:t>
            </w:r>
          </w:p>
        </w:tc>
      </w:tr>
      <w:tr>
        <w:trPr/>
        <w:tc>
          <w:tcPr>
            <w:tcW w:w="1951"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80+ years</w:t>
            </w:r>
          </w:p>
        </w:tc>
        <w:tc>
          <w:tcPr>
            <w:tcW w:w="3914"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58.35</w:t>
            </w:r>
          </w:p>
        </w:tc>
        <w:tc>
          <w:tcPr>
            <w:tcW w:w="1580"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32.71 – 104.08</w:t>
            </w:r>
          </w:p>
        </w:tc>
        <w:tc>
          <w:tcPr>
            <w:tcW w:w="959"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&lt;0.001</w:t>
            </w:r>
          </w:p>
        </w:tc>
      </w:tr>
    </w:tbl>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ascii="Liberation Serif" w:hAnsi="Liberation Serif"/>
          <w:position w:val="0"/>
          <w:sz w:val="22"/>
          <w:sz w:val="22"/>
          <w:vertAlign w:val="baseline"/>
        </w:rPr>
        <w:t xml:space="preserve">* </w:t>
      </w:r>
      <w:r>
        <w:rPr>
          <w:rFonts w:ascii="Liberation Serif" w:hAnsi="Liberation Serif"/>
          <w:color w:val="auto"/>
          <w:spacing w:val="0"/>
        </w:rPr>
        <w:t>Data was shown as sHR (95% CI). Ref, reference; sHR:  subdistribution hazard ratio; CI, confidence interval.</w:t>
      </w:r>
    </w:p>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widowControl/>
        <w:shd w:val="clear" w:fill="auto"/>
        <w:bidi w:val="0"/>
        <w:spacing w:lineRule="auto" w:line="276" w:before="0" w:after="0"/>
        <w:ind w:hanging="0" w:start="0" w:end="0"/>
        <w:jc w:val="start"/>
        <w:rPr>
          <w:b/>
        </w:rPr>
      </w:pPr>
      <w:r>
        <w:rPr>
          <w:b/>
        </w:rPr>
      </w:r>
      <w:r>
        <w:br w:type="page"/>
      </w:r>
    </w:p>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ascii="Liberation Serif" w:hAnsi="Liberation Serif"/>
          <w:b/>
          <w:color w:val="auto"/>
        </w:rPr>
        <w:t xml:space="preserve">3. </w:t>
      </w: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Cumulative Incidence of Cardiovascular Mortality Among Long-Term Female Breast Cancer Survivors</w:t>
      </w:r>
      <w:r>
        <w:rPr>
          <w:rFonts w:eastAsia="Liberation Serif" w:cs="Liberation Serif" w:ascii="Liberation Serif" w:hAnsi="Liberation Serif"/>
          <w:b/>
          <w:bCs w:val="false"/>
          <w:i w:val="false"/>
          <w:iCs w:val="false"/>
          <w:caps w:val="false"/>
          <w:smallCaps w:val="false"/>
          <w:strike w:val="false"/>
          <w:dstrike w:val="false"/>
          <w:color w:val="000000"/>
          <w:position w:val="0"/>
          <w:sz w:val="22"/>
          <w:sz w:val="22"/>
          <w:szCs w:val="22"/>
          <w:u w:val="none"/>
          <w:shd w:fill="auto" w:val="clear"/>
          <w:vertAlign w:val="baseline"/>
        </w:rPr>
        <w:t>, by Income</w:t>
      </w:r>
    </w:p>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67157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20130" cy="3671570"/>
                    </a:xfrm>
                    <a:prstGeom prst="rect">
                      <a:avLst/>
                    </a:prstGeom>
                  </pic:spPr>
                </pic:pic>
              </a:graphicData>
            </a:graphic>
          </wp:anchor>
        </w:drawing>
      </w:r>
    </w:p>
    <w:p>
      <w:pPr>
        <w:pStyle w:val="BodyText"/>
        <w:bidi w:val="0"/>
        <w:jc w:val="start"/>
        <w:rPr>
          <w:rFonts w:ascii="Liberation Serif" w:hAnsi="Liberation Serif"/>
          <w:color w:val="auto"/>
          <w:sz w:val="22"/>
          <w:szCs w:val="22"/>
        </w:rPr>
      </w:pPr>
      <w:r>
        <w:rPr>
          <w:b/>
          <w:color w:val="auto"/>
          <w:sz w:val="22"/>
          <w:szCs w:val="22"/>
        </w:rPr>
        <w:t xml:space="preserve">Figure 3: </w:t>
      </w:r>
      <w:r>
        <w:rPr>
          <w:b w:val="false"/>
          <w:bCs w:val="false"/>
          <w:color w:val="auto"/>
          <w:sz w:val="22"/>
          <w:szCs w:val="22"/>
        </w:rPr>
        <w:t>Cumulative Incidence of Cardiovascular Death by Income</w:t>
      </w:r>
    </w:p>
    <w:p>
      <w:pPr>
        <w:pStyle w:val="BodyText"/>
        <w:bidi w:val="0"/>
        <w:spacing w:lineRule="auto" w:line="271" w:before="0" w:after="120"/>
        <w:ind w:hanging="0" w:start="0" w:end="0"/>
        <w:jc w:val="start"/>
        <w:rPr>
          <w:rFonts w:ascii="Google Sans Text;sans-serif" w:hAnsi="Google Sans Text;sans-serif"/>
          <w:color w:val="auto"/>
        </w:rPr>
      </w:pPr>
      <w:r>
        <w:rPr>
          <w:rFonts w:eastAsia="Liberation Serif" w:cs="Liberation Serif"/>
          <w:b/>
          <w:bCs/>
          <w:i w:val="false"/>
          <w:iCs w:val="false"/>
          <w:caps w:val="false"/>
          <w:smallCaps w:val="false"/>
          <w:strike w:val="false"/>
          <w:dstrike w:val="false"/>
          <w:color w:val="000000"/>
          <w:position w:val="0"/>
          <w:sz w:val="22"/>
          <w:sz w:val="22"/>
          <w:szCs w:val="22"/>
          <w:u w:val="none"/>
          <w:shd w:fill="auto" w:val="clear"/>
          <w:vertAlign w:val="baseline"/>
        </w:rPr>
        <w:t xml:space="preserve">Table </w:t>
      </w:r>
      <w:r>
        <w:rPr>
          <w:rFonts w:eastAsia="Liberation Serif" w:cs="Liberation Serif"/>
          <w:b/>
          <w:bCs/>
          <w:i w:val="false"/>
          <w:iCs w:val="false"/>
          <w:caps w:val="false"/>
          <w:smallCaps w:val="false"/>
          <w:strike w:val="false"/>
          <w:dstrike w:val="false"/>
          <w:color w:val="000000"/>
          <w:position w:val="0"/>
          <w:sz w:val="22"/>
          <w:sz w:val="22"/>
          <w:szCs w:val="22"/>
          <w:u w:val="none"/>
          <w:shd w:fill="auto" w:val="clear"/>
          <w:vertAlign w:val="baseline"/>
        </w:rPr>
        <w:t>3</w:t>
      </w:r>
      <w:r>
        <w:rPr>
          <w:rFonts w:eastAsia="Liberation Serif" w:cs="Liberation Serif"/>
          <w:b/>
          <w:bCs/>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Liberation Serif" w:cs="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Cumulative Incidence of Cardiovascular Mortality Among Long-term Ovarian Cancer Survivors, by </w:t>
      </w:r>
      <w:r>
        <w:rPr>
          <w:rFonts w:eastAsia="Liberation Serif" w:cs="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Income</w:t>
      </w:r>
    </w:p>
    <w:tbl>
      <w:tblPr>
        <w:tblW w:w="9638" w:type="dxa"/>
        <w:jc w:val="start"/>
        <w:tblInd w:w="0" w:type="dxa"/>
        <w:tblLayout w:type="fixed"/>
        <w:tblCellMar>
          <w:top w:w="0" w:type="dxa"/>
          <w:start w:w="0" w:type="dxa"/>
          <w:bottom w:w="0" w:type="dxa"/>
          <w:end w:w="0" w:type="dxa"/>
        </w:tblCellMar>
      </w:tblPr>
      <w:tblGrid>
        <w:gridCol w:w="1873"/>
        <w:gridCol w:w="1142"/>
        <w:gridCol w:w="1033"/>
        <w:gridCol w:w="1074"/>
        <w:gridCol w:w="1074"/>
        <w:gridCol w:w="1549"/>
        <w:gridCol w:w="1893"/>
      </w:tblGrid>
      <w:tr>
        <w:trPr/>
        <w:tc>
          <w:tcPr>
            <w:tcW w:w="1873"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 xml:space="preserve"> </w:t>
            </w:r>
            <w:r>
              <w:rPr>
                <w:rStyle w:val="Strong"/>
                <w:rFonts w:ascii="Liberation Serif" w:hAnsi="Liberation Serif"/>
                <w:i w:val="false"/>
                <w:iCs w:val="false"/>
                <w:strike w:val="false"/>
                <w:dstrike w:val="false"/>
                <w:outline w:val="false"/>
                <w:shadow w:val="false"/>
                <w:color w:val="000000"/>
                <w:sz w:val="24"/>
                <w:szCs w:val="24"/>
                <w:u w:val="none"/>
              </w:rPr>
              <w:t xml:space="preserve">Income </w:t>
            </w:r>
            <w:r>
              <w:rPr>
                <w:rStyle w:val="Strong"/>
                <w:rFonts w:ascii="Liberation Serif" w:hAnsi="Liberation Serif"/>
                <w:i w:val="false"/>
                <w:iCs w:val="false"/>
                <w:strike w:val="false"/>
                <w:dstrike w:val="false"/>
                <w:outline w:val="false"/>
                <w:shadow w:val="false"/>
                <w:color w:val="000000"/>
                <w:sz w:val="24"/>
                <w:szCs w:val="24"/>
                <w:u w:val="none"/>
              </w:rPr>
              <w:t>Groups</w:t>
            </w:r>
          </w:p>
        </w:tc>
        <w:tc>
          <w:tcPr>
            <w:tcW w:w="1142"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Cohort Size (N)</w:t>
            </w:r>
          </w:p>
        </w:tc>
        <w:tc>
          <w:tcPr>
            <w:tcW w:w="1033"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Year 10 (60 mo)</w:t>
            </w:r>
          </w:p>
        </w:tc>
        <w:tc>
          <w:tcPr>
            <w:tcW w:w="1074"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Year 15 (120 mo)</w:t>
            </w:r>
          </w:p>
        </w:tc>
        <w:tc>
          <w:tcPr>
            <w:tcW w:w="1074"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Year 20 (180 mo)</w:t>
            </w:r>
          </w:p>
        </w:tc>
        <w:tc>
          <w:tcPr>
            <w:tcW w:w="1549"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Final Follow-up (Mo</w:t>
            </w:r>
            <w:r>
              <w:rPr>
                <w:rStyle w:val="Strong"/>
                <w:rFonts w:ascii="Liberation Serif" w:hAnsi="Liberation Serif"/>
                <w:i w:val="false"/>
                <w:iCs w:val="false"/>
                <w:strike w:val="false"/>
                <w:dstrike w:val="false"/>
                <w:outline w:val="false"/>
                <w:shadow w:val="false"/>
                <w:color w:val="000000"/>
                <w:sz w:val="24"/>
                <w:szCs w:val="24"/>
                <w:u w:val="none"/>
              </w:rPr>
              <w:t>nths</w:t>
            </w:r>
            <w:r>
              <w:rPr>
                <w:rStyle w:val="Strong"/>
                <w:rFonts w:ascii="Liberation Serif" w:hAnsi="Liberation Serif"/>
                <w:i w:val="false"/>
                <w:iCs w:val="false"/>
                <w:strike w:val="false"/>
                <w:dstrike w:val="false"/>
                <w:outline w:val="false"/>
                <w:shadow w:val="false"/>
                <w:color w:val="000000"/>
                <w:sz w:val="24"/>
                <w:szCs w:val="24"/>
                <w:u w:val="none"/>
              </w:rPr>
              <w:t>)</w:t>
            </w:r>
          </w:p>
        </w:tc>
        <w:tc>
          <w:tcPr>
            <w:tcW w:w="1893"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 xml:space="preserve">Final </w:t>
            </w:r>
            <w:r>
              <w:rPr>
                <w:rStyle w:val="Strong"/>
                <w:rFonts w:ascii="Liberation Serif" w:hAnsi="Liberation Serif"/>
                <w:i w:val="false"/>
                <w:iCs w:val="false"/>
                <w:strike w:val="false"/>
                <w:dstrike w:val="false"/>
                <w:outline w:val="false"/>
                <w:shadow w:val="false"/>
                <w:color w:val="000000"/>
                <w:sz w:val="24"/>
                <w:szCs w:val="24"/>
                <w:u w:val="none"/>
              </w:rPr>
              <w:t>Cumulative</w:t>
            </w:r>
            <w:r>
              <w:rPr>
                <w:rStyle w:val="Strong"/>
                <w:rFonts w:ascii="Liberation Serif" w:hAnsi="Liberation Serif"/>
                <w:i w:val="false"/>
                <w:iCs w:val="false"/>
                <w:strike w:val="false"/>
                <w:dstrike w:val="false"/>
                <w:outline w:val="false"/>
                <w:shadow w:val="false"/>
                <w:color w:val="000000"/>
                <w:sz w:val="24"/>
                <w:szCs w:val="24"/>
                <w:u w:val="none"/>
              </w:rPr>
              <w:t xml:space="preserve"> Incidence (95% CI)</w:t>
            </w:r>
          </w:p>
        </w:tc>
      </w:tr>
      <w:tr>
        <w:trPr/>
        <w:tc>
          <w:tcPr>
            <w:tcW w:w="1873"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$100,000+</w:t>
            </w:r>
          </w:p>
        </w:tc>
        <w:tc>
          <w:tcPr>
            <w:tcW w:w="1142"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8,606</w:t>
            </w:r>
          </w:p>
        </w:tc>
        <w:tc>
          <w:tcPr>
            <w:tcW w:w="1033"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1.33%</w:t>
            </w:r>
          </w:p>
        </w:tc>
        <w:tc>
          <w:tcPr>
            <w:tcW w:w="1074"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2.49%</w:t>
            </w:r>
          </w:p>
        </w:tc>
        <w:tc>
          <w:tcPr>
            <w:tcW w:w="1074"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3.85%</w:t>
            </w:r>
          </w:p>
        </w:tc>
        <w:tc>
          <w:tcPr>
            <w:tcW w:w="1549"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211.0</w:t>
            </w:r>
          </w:p>
        </w:tc>
        <w:tc>
          <w:tcPr>
            <w:tcW w:w="1893"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4.53% (3.79 – 5.36%)</w:t>
            </w:r>
          </w:p>
        </w:tc>
      </w:tr>
      <w:tr>
        <w:trPr/>
        <w:tc>
          <w:tcPr>
            <w:tcW w:w="1873"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$60,000 - $99,999</w:t>
            </w:r>
          </w:p>
        </w:tc>
        <w:tc>
          <w:tcPr>
            <w:tcW w:w="1142"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25,664</w:t>
            </w:r>
          </w:p>
        </w:tc>
        <w:tc>
          <w:tcPr>
            <w:tcW w:w="1033"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1.46%</w:t>
            </w:r>
          </w:p>
        </w:tc>
        <w:tc>
          <w:tcPr>
            <w:tcW w:w="1074"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3.06%</w:t>
            </w:r>
          </w:p>
        </w:tc>
        <w:tc>
          <w:tcPr>
            <w:tcW w:w="1074"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4.74%</w:t>
            </w:r>
          </w:p>
        </w:tc>
        <w:tc>
          <w:tcPr>
            <w:tcW w:w="1549"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213.0</w:t>
            </w:r>
          </w:p>
        </w:tc>
        <w:tc>
          <w:tcPr>
            <w:tcW w:w="1893"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6.01% (5.24 – 6.86%)</w:t>
            </w:r>
          </w:p>
        </w:tc>
      </w:tr>
      <w:tr>
        <w:trPr/>
        <w:tc>
          <w:tcPr>
            <w:tcW w:w="1873"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&lt; $60,000</w:t>
            </w:r>
          </w:p>
        </w:tc>
        <w:tc>
          <w:tcPr>
            <w:tcW w:w="1142"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3,872</w:t>
            </w:r>
          </w:p>
        </w:tc>
        <w:tc>
          <w:tcPr>
            <w:tcW w:w="1033"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1.99%</w:t>
            </w:r>
          </w:p>
        </w:tc>
        <w:tc>
          <w:tcPr>
            <w:tcW w:w="1074"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$3.66%</w:t>
            </w:r>
          </w:p>
        </w:tc>
        <w:tc>
          <w:tcPr>
            <w:tcW w:w="1074"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$6.87%</w:t>
            </w:r>
          </w:p>
        </w:tc>
        <w:tc>
          <w:tcPr>
            <w:tcW w:w="1549"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193.0</w:t>
            </w:r>
          </w:p>
        </w:tc>
        <w:tc>
          <w:tcPr>
            <w:tcW w:w="1893"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7.14% (5.78 – 8.68%)</w:t>
            </w:r>
          </w:p>
        </w:tc>
      </w:tr>
    </w:tbl>
    <w:p>
      <w:pPr>
        <w:pStyle w:val="BodyText"/>
        <w:bidi w:val="0"/>
        <w:jc w:val="start"/>
        <w:rPr>
          <w:rFonts w:ascii="Liberation Serif" w:hAnsi="Liberation Serif"/>
          <w:color w:val="auto"/>
          <w:sz w:val="22"/>
          <w:szCs w:val="22"/>
        </w:rPr>
      </w:pPr>
      <w:r>
        <w:rPr>
          <w:rFonts w:ascii="Liberation Serif" w:hAnsi="Liberation Serif"/>
          <w:b/>
          <w:bCs/>
          <w:color w:val="auto"/>
          <w:sz w:val="22"/>
          <w:szCs w:val="22"/>
        </w:rPr>
        <w:t>CI,</w:t>
      </w:r>
      <w:r>
        <w:rPr>
          <w:rFonts w:ascii="Liberation Serif" w:hAnsi="Liberation Serif"/>
          <w:color w:val="auto"/>
          <w:sz w:val="22"/>
          <w:szCs w:val="22"/>
        </w:rPr>
        <w:t xml:space="preserve"> Confidence Interval</w:t>
      </w:r>
    </w:p>
    <w:p>
      <w:pPr>
        <w:pStyle w:val="Heading3"/>
        <w:bidi w:val="0"/>
        <w:spacing w:lineRule="auto" w:line="271" w:before="0" w:after="120"/>
        <w:ind w:hanging="0" w:start="0" w:end="0"/>
        <w:jc w:val="start"/>
        <w:rPr>
          <w:rFonts w:ascii="Google Sans Text;sans-serif" w:hAnsi="Google Sans Text;sans-serif"/>
          <w:color w:val="auto"/>
        </w:rPr>
      </w:pPr>
      <w:r>
        <w:rPr>
          <w:rFonts w:eastAsia="Noto Serif CJK SC" w:cs="Noto Sans Devanagari" w:ascii="Liberation Serif" w:hAnsi="Liberation Serif"/>
          <w:b/>
          <w:bCs/>
          <w:color w:val="auto"/>
          <w:kern w:val="2"/>
          <w:sz w:val="22"/>
          <w:szCs w:val="22"/>
        </w:rPr>
        <w:t xml:space="preserve">Table </w:t>
      </w:r>
      <w:r>
        <w:rPr>
          <w:rFonts w:eastAsia="Noto Serif CJK SC" w:cs="Noto Sans Devanagari" w:ascii="Liberation Serif" w:hAnsi="Liberation Serif"/>
          <w:b/>
          <w:bCs/>
          <w:color w:val="auto"/>
          <w:kern w:val="2"/>
          <w:sz w:val="22"/>
          <w:szCs w:val="22"/>
        </w:rPr>
        <w:t>4</w:t>
      </w:r>
      <w:r>
        <w:rPr>
          <w:rFonts w:eastAsia="Noto Serif CJK SC" w:cs="Noto Sans Devanagari" w:ascii="Liberation Serif" w:hAnsi="Liberation Serif"/>
          <w:b/>
          <w:bCs/>
          <w:color w:val="auto"/>
          <w:kern w:val="2"/>
          <w:sz w:val="22"/>
          <w:szCs w:val="22"/>
        </w:rPr>
        <w:t xml:space="preserve">: </w:t>
      </w:r>
      <w:r>
        <w:rPr>
          <w:rFonts w:eastAsia="Noto Serif CJK SC" w:cs="Noto Sans Devanagari" w:ascii="Liberation Serif" w:hAnsi="Liberation Serif"/>
          <w:b w:val="false"/>
          <w:bCs w:val="false"/>
          <w:color w:val="auto"/>
          <w:kern w:val="2"/>
          <w:sz w:val="22"/>
          <w:szCs w:val="22"/>
        </w:rPr>
        <w:t>Fine-Gray Subdistribution Hazard Analysis of Cardiovascular Mortality by Income</w:t>
      </w:r>
    </w:p>
    <w:tbl>
      <w:tblPr>
        <w:tblW w:w="9136" w:type="dxa"/>
        <w:jc w:val="start"/>
        <w:tblInd w:w="0" w:type="dxa"/>
        <w:tblLayout w:type="fixed"/>
        <w:tblCellMar>
          <w:top w:w="0" w:type="dxa"/>
          <w:start w:w="0" w:type="dxa"/>
          <w:bottom w:w="0" w:type="dxa"/>
          <w:end w:w="0" w:type="dxa"/>
        </w:tblCellMar>
      </w:tblPr>
      <w:tblGrid>
        <w:gridCol w:w="3056"/>
        <w:gridCol w:w="3917"/>
        <w:gridCol w:w="1203"/>
        <w:gridCol w:w="960"/>
      </w:tblGrid>
      <w:tr>
        <w:trPr/>
        <w:tc>
          <w:tcPr>
            <w:tcW w:w="3056"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Median Household Income</w:t>
            </w:r>
          </w:p>
        </w:tc>
        <w:tc>
          <w:tcPr>
            <w:tcW w:w="3917"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Subdistribution Hazard Ratio (sHR)</w:t>
            </w:r>
          </w:p>
        </w:tc>
        <w:tc>
          <w:tcPr>
            <w:tcW w:w="1203"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95% CI</w:t>
            </w:r>
          </w:p>
        </w:tc>
        <w:tc>
          <w:tcPr>
            <w:tcW w:w="960"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P-value</w:t>
            </w:r>
          </w:p>
        </w:tc>
      </w:tr>
      <w:tr>
        <w:trPr/>
        <w:tc>
          <w:tcPr>
            <w:tcW w:w="3056"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$100,000</w:t>
            </w:r>
          </w:p>
        </w:tc>
        <w:tc>
          <w:tcPr>
            <w:tcW w:w="3917"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1.00 (Ref)</w:t>
            </w:r>
          </w:p>
        </w:tc>
        <w:tc>
          <w:tcPr>
            <w:tcW w:w="1203"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c>
          <w:tcPr>
            <w:tcW w:w="960"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r>
      <w:tr>
        <w:trPr/>
        <w:tc>
          <w:tcPr>
            <w:tcW w:w="3056"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$60,000 - $99,999</w:t>
            </w:r>
          </w:p>
        </w:tc>
        <w:tc>
          <w:tcPr>
            <w:tcW w:w="3917"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1.20</w:t>
            </w:r>
          </w:p>
        </w:tc>
        <w:tc>
          <w:tcPr>
            <w:tcW w:w="1203"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1.03 – 1.40</w:t>
            </w:r>
          </w:p>
        </w:tc>
        <w:tc>
          <w:tcPr>
            <w:tcW w:w="960"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0.023</w:t>
            </w:r>
          </w:p>
        </w:tc>
      </w:tr>
      <w:tr>
        <w:trPr/>
        <w:tc>
          <w:tcPr>
            <w:tcW w:w="3056"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&lt; $60,000</w:t>
            </w:r>
          </w:p>
        </w:tc>
        <w:tc>
          <w:tcPr>
            <w:tcW w:w="3917"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1.58</w:t>
            </w:r>
          </w:p>
        </w:tc>
        <w:tc>
          <w:tcPr>
            <w:tcW w:w="1203"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1.28 – 1.96</w:t>
            </w:r>
          </w:p>
        </w:tc>
        <w:tc>
          <w:tcPr>
            <w:tcW w:w="960"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&lt;0.001</w:t>
            </w:r>
          </w:p>
        </w:tc>
      </w:tr>
    </w:tbl>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ascii="Liberation Serif" w:hAnsi="Liberation Serif"/>
          <w:b w:val="false"/>
          <w:i w:val="false"/>
          <w:caps w:val="false"/>
          <w:smallCaps w:val="false"/>
          <w:color w:val="auto"/>
          <w:spacing w:val="0"/>
          <w:sz w:val="22"/>
          <w:szCs w:val="22"/>
        </w:rPr>
        <w:t>Data was shown as sHR (95% CI). Ref, reference; sHR:  subdistribution hazard ratio; CI, confidence interval</w:t>
      </w:r>
      <w:r>
        <w:br w:type="page"/>
      </w:r>
    </w:p>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ascii="Liberation Serif" w:hAnsi="Liberation Serif"/>
          <w:b/>
          <w:color w:val="auto"/>
        </w:rPr>
        <w:t xml:space="preserve">4. </w:t>
      </w: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Cumulative Incidence of Cardiovascular Mortality Among Long-Term Ovarian Cancer Survivors</w:t>
      </w:r>
      <w:r>
        <w:rPr>
          <w:rFonts w:eastAsia="Liberation Serif" w:cs="Liberation Serif" w:ascii="Liberation Serif" w:hAnsi="Liberation Serif"/>
          <w:b/>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ascii="Liberation Serif" w:hAnsi="Liberation Serif"/>
          <w:b/>
          <w:color w:val="auto"/>
        </w:rPr>
        <w:t>by Race/Ethnicity</w:t>
      </w:r>
    </w:p>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67157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120130" cy="3671570"/>
                    </a:xfrm>
                    <a:prstGeom prst="rect">
                      <a:avLst/>
                    </a:prstGeom>
                  </pic:spPr>
                </pic:pic>
              </a:graphicData>
            </a:graphic>
          </wp:anchor>
        </w:drawing>
      </w:r>
      <w:r>
        <w:rPr>
          <w:rFonts w:ascii="Liberation Serif" w:hAnsi="Liberation Serif"/>
          <w:b/>
          <w:color w:val="auto"/>
        </w:rPr>
        <w:t xml:space="preserve">Figure 4: </w:t>
      </w:r>
      <w:r>
        <w:rPr>
          <w:rFonts w:ascii="Liberation Serif" w:hAnsi="Liberation Serif"/>
          <w:b w:val="false"/>
          <w:bCs w:val="false"/>
          <w:color w:val="auto"/>
        </w:rPr>
        <w:t>Cumulative Incidence of Cardiovascular Death by Race/Ethnicity</w:t>
      </w:r>
    </w:p>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BodyText"/>
        <w:bidi w:val="0"/>
        <w:spacing w:lineRule="auto" w:line="271" w:before="0" w:after="120"/>
        <w:ind w:hanging="0" w:start="0" w:end="0"/>
        <w:jc w:val="start"/>
        <w:rPr>
          <w:rFonts w:ascii="Google Sans Text;sans-serif" w:hAnsi="Google Sans Text;sans-serif"/>
          <w:color w:val="auto"/>
        </w:rPr>
      </w:pPr>
      <w:r>
        <w:rPr>
          <w:b/>
          <w:bCs/>
        </w:rPr>
        <w:t xml:space="preserve">Table </w:t>
      </w:r>
      <w:r>
        <w:rPr>
          <w:b/>
          <w:bCs/>
        </w:rPr>
        <w:t>5</w:t>
      </w:r>
      <w:r>
        <w:rPr>
          <w:b/>
          <w:bCs/>
        </w:rPr>
        <w:t xml:space="preserve">: </w:t>
      </w:r>
      <w:r>
        <w:rPr/>
        <w:t>Cumulative Incidence of Cardiovascular Mortality Among Long-term Ovarian Cancer Survivors, by Race/Ethnicity</w:t>
      </w:r>
    </w:p>
    <w:tbl>
      <w:tblPr>
        <w:tblW w:w="9638" w:type="dxa"/>
        <w:jc w:val="start"/>
        <w:tblInd w:w="0" w:type="dxa"/>
        <w:tblLayout w:type="fixed"/>
        <w:tblCellMar>
          <w:top w:w="120" w:type="dxa"/>
          <w:start w:w="180" w:type="dxa"/>
          <w:bottom w:w="120" w:type="dxa"/>
          <w:end w:w="180" w:type="dxa"/>
        </w:tblCellMar>
      </w:tblPr>
      <w:tblGrid>
        <w:gridCol w:w="2149"/>
        <w:gridCol w:w="1144"/>
        <w:gridCol w:w="993"/>
        <w:gridCol w:w="1037"/>
        <w:gridCol w:w="1036"/>
        <w:gridCol w:w="1551"/>
        <w:gridCol w:w="1727"/>
      </w:tblGrid>
      <w:tr>
        <w:trPr>
          <w:tblHeader w:val="true"/>
        </w:trPr>
        <w:tc>
          <w:tcPr>
            <w:tcW w:w="214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0"/>
              <w:ind w:hanging="0" w:start="0" w:end="0"/>
              <w:rPr/>
            </w:pPr>
            <w:r>
              <w:rPr>
                <w:rStyle w:val="Strong"/>
                <w:rFonts w:ascii="Liberation Serif" w:hAnsi="Liberation Serif"/>
              </w:rPr>
              <w:t>Race / Ethnicity</w:t>
            </w:r>
          </w:p>
        </w:tc>
        <w:tc>
          <w:tcPr>
            <w:tcW w:w="114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0"/>
              <w:ind w:hanging="0" w:start="0" w:end="0"/>
              <w:rPr/>
            </w:pPr>
            <w:r>
              <w:rPr>
                <w:rStyle w:val="Strong"/>
                <w:rFonts w:ascii="Liberation Serif" w:hAnsi="Liberation Serif"/>
              </w:rPr>
              <w:t>Cohort Size (N)</w:t>
            </w:r>
          </w:p>
        </w:tc>
        <w:tc>
          <w:tcPr>
            <w:tcW w:w="99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0"/>
              <w:ind w:hanging="0" w:start="0" w:end="0"/>
              <w:rPr/>
            </w:pPr>
            <w:r>
              <w:rPr>
                <w:rStyle w:val="Strong"/>
                <w:rFonts w:ascii="Liberation Serif" w:hAnsi="Liberation Serif"/>
              </w:rPr>
              <w:t>Year 10 (60 mo)</w:t>
            </w:r>
          </w:p>
        </w:tc>
        <w:tc>
          <w:tcPr>
            <w:tcW w:w="103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0"/>
              <w:ind w:hanging="0" w:start="0" w:end="0"/>
              <w:rPr/>
            </w:pPr>
            <w:r>
              <w:rPr>
                <w:rStyle w:val="Strong"/>
                <w:rFonts w:ascii="Liberation Serif" w:hAnsi="Liberation Serif"/>
              </w:rPr>
              <w:t>Year 15 (120 mo)</w:t>
            </w:r>
          </w:p>
        </w:tc>
        <w:tc>
          <w:tcPr>
            <w:tcW w:w="103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0"/>
              <w:ind w:hanging="0" w:start="0" w:end="0"/>
              <w:rPr/>
            </w:pPr>
            <w:r>
              <w:rPr>
                <w:rStyle w:val="Strong"/>
                <w:rFonts w:ascii="Liberation Serif" w:hAnsi="Liberation Serif"/>
              </w:rPr>
              <w:t>Year 20 (180 mo)</w:t>
            </w:r>
          </w:p>
        </w:tc>
        <w:tc>
          <w:tcPr>
            <w:tcW w:w="15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0"/>
              <w:ind w:hanging="0" w:start="0" w:end="0"/>
              <w:rPr/>
            </w:pPr>
            <w:r>
              <w:rPr>
                <w:rStyle w:val="Strong"/>
                <w:rFonts w:ascii="Liberation Serif" w:hAnsi="Liberation Serif"/>
              </w:rPr>
              <w:t>Final Follow-up (Mo)</w:t>
            </w:r>
          </w:p>
        </w:tc>
        <w:tc>
          <w:tcPr>
            <w:tcW w:w="172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0"/>
              <w:ind w:hanging="0" w:start="0" w:end="0"/>
              <w:rPr/>
            </w:pPr>
            <w:r>
              <w:rPr>
                <w:rStyle w:val="Strong"/>
                <w:rFonts w:ascii="Liberation Serif" w:hAnsi="Liberation Serif"/>
              </w:rPr>
              <w:t>Final Incidence (95% CI)</w:t>
            </w:r>
          </w:p>
        </w:tc>
      </w:tr>
      <w:tr>
        <w:trPr/>
        <w:tc>
          <w:tcPr>
            <w:tcW w:w="214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b/>
              </w:rPr>
            </w:pPr>
            <w:r>
              <w:rPr>
                <w:rFonts w:ascii="Liberation Serif" w:hAnsi="Liberation Serif"/>
                <w:b/>
              </w:rPr>
              <w:t>Non-Hispanic White</w:t>
            </w:r>
          </w:p>
        </w:tc>
        <w:tc>
          <w:tcPr>
            <w:tcW w:w="114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26,821</w:t>
            </w:r>
          </w:p>
        </w:tc>
        <w:tc>
          <w:tcPr>
            <w:tcW w:w="99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1.71%</w:t>
            </w:r>
          </w:p>
        </w:tc>
        <w:tc>
          <w:tcPr>
            <w:tcW w:w="103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3.28%</w:t>
            </w:r>
          </w:p>
        </w:tc>
        <w:tc>
          <w:tcPr>
            <w:tcW w:w="103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5.03%</w:t>
            </w:r>
          </w:p>
        </w:tc>
        <w:tc>
          <w:tcPr>
            <w:tcW w:w="15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214.0</w:t>
            </w:r>
          </w:p>
        </w:tc>
        <w:tc>
          <w:tcPr>
            <w:tcW w:w="172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6.12% (5.47 – 6.81%)</w:t>
            </w:r>
          </w:p>
        </w:tc>
      </w:tr>
      <w:tr>
        <w:trPr/>
        <w:tc>
          <w:tcPr>
            <w:tcW w:w="214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b/>
              </w:rPr>
            </w:pPr>
            <w:r>
              <w:rPr>
                <w:rFonts w:ascii="Liberation Serif" w:hAnsi="Liberation Serif"/>
                <w:b/>
              </w:rPr>
              <w:t>Non-Hispanic Black</w:t>
            </w:r>
          </w:p>
        </w:tc>
        <w:tc>
          <w:tcPr>
            <w:tcW w:w="114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2,285</w:t>
            </w:r>
          </w:p>
        </w:tc>
        <w:tc>
          <w:tcPr>
            <w:tcW w:w="99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1.71%</w:t>
            </w:r>
          </w:p>
        </w:tc>
        <w:tc>
          <w:tcPr>
            <w:tcW w:w="103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3.97%</w:t>
            </w:r>
          </w:p>
        </w:tc>
        <w:tc>
          <w:tcPr>
            <w:tcW w:w="103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6.11%</w:t>
            </w:r>
          </w:p>
        </w:tc>
        <w:tc>
          <w:tcPr>
            <w:tcW w:w="15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193.0</w:t>
            </w:r>
          </w:p>
        </w:tc>
        <w:tc>
          <w:tcPr>
            <w:tcW w:w="172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6.11% (4.69 – 7.78%)</w:t>
            </w:r>
          </w:p>
        </w:tc>
      </w:tr>
      <w:tr>
        <w:trPr/>
        <w:tc>
          <w:tcPr>
            <w:tcW w:w="214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b/>
              </w:rPr>
            </w:pPr>
            <w:r>
              <w:rPr>
                <w:rFonts w:ascii="Liberation Serif" w:hAnsi="Liberation Serif"/>
                <w:b/>
              </w:rPr>
              <w:t>Hispanic</w:t>
            </w:r>
          </w:p>
        </w:tc>
        <w:tc>
          <w:tcPr>
            <w:tcW w:w="114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5,048</w:t>
            </w:r>
          </w:p>
        </w:tc>
        <w:tc>
          <w:tcPr>
            <w:tcW w:w="99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0.75%</w:t>
            </w:r>
          </w:p>
        </w:tc>
        <w:tc>
          <w:tcPr>
            <w:tcW w:w="103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1.91%</w:t>
            </w:r>
          </w:p>
        </w:tc>
        <w:tc>
          <w:tcPr>
            <w:tcW w:w="103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4.03%</w:t>
            </w:r>
          </w:p>
        </w:tc>
        <w:tc>
          <w:tcPr>
            <w:tcW w:w="15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200.0</w:t>
            </w:r>
          </w:p>
        </w:tc>
        <w:tc>
          <w:tcPr>
            <w:tcW w:w="172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4.54% (3.42 – 5.90%)</w:t>
            </w:r>
          </w:p>
        </w:tc>
      </w:tr>
      <w:tr>
        <w:trPr/>
        <w:tc>
          <w:tcPr>
            <w:tcW w:w="214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b/>
              </w:rPr>
            </w:pPr>
            <w:r>
              <w:rPr>
                <w:rFonts w:ascii="Liberation Serif" w:hAnsi="Liberation Serif"/>
                <w:b/>
              </w:rPr>
              <w:t>Asian / Pacific Islander</w:t>
            </w:r>
          </w:p>
        </w:tc>
        <w:tc>
          <w:tcPr>
            <w:tcW w:w="114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3,652</w:t>
            </w:r>
          </w:p>
        </w:tc>
        <w:tc>
          <w:tcPr>
            <w:tcW w:w="99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0.71%</w:t>
            </w:r>
          </w:p>
        </w:tc>
        <w:tc>
          <w:tcPr>
            <w:tcW w:w="103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1.26%</w:t>
            </w:r>
          </w:p>
        </w:tc>
        <w:tc>
          <w:tcPr>
            <w:tcW w:w="103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1.91%</w:t>
            </w:r>
          </w:p>
        </w:tc>
        <w:tc>
          <w:tcPr>
            <w:tcW w:w="15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201.0</w:t>
            </w:r>
          </w:p>
        </w:tc>
        <w:tc>
          <w:tcPr>
            <w:tcW w:w="172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2.66% (1.62 – 4.12%)</w:t>
            </w:r>
          </w:p>
        </w:tc>
      </w:tr>
      <w:tr>
        <w:trPr/>
        <w:tc>
          <w:tcPr>
            <w:tcW w:w="2149"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b/>
              </w:rPr>
            </w:pPr>
            <w:r>
              <w:rPr>
                <w:rFonts w:ascii="Liberation Serif" w:hAnsi="Liberation Serif"/>
                <w:b/>
              </w:rPr>
              <w:t>Amer. Indian / Alaska Native</w:t>
            </w:r>
          </w:p>
        </w:tc>
        <w:tc>
          <w:tcPr>
            <w:tcW w:w="1144"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237</w:t>
            </w:r>
          </w:p>
        </w:tc>
        <w:tc>
          <w:tcPr>
            <w:tcW w:w="993"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0.42%</w:t>
            </w:r>
          </w:p>
        </w:tc>
        <w:tc>
          <w:tcPr>
            <w:tcW w:w="103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NR</w:t>
            </w:r>
            <w:r>
              <w:rPr>
                <w:rFonts w:ascii="Liberation Serif" w:hAnsi="Liberation Serif"/>
                <w:vertAlign w:val="superscript"/>
              </w:rPr>
              <w:t>a</w:t>
            </w:r>
          </w:p>
        </w:tc>
        <w:tc>
          <w:tcPr>
            <w:tcW w:w="1036"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NR</w:t>
            </w:r>
            <w:r>
              <w:rPr>
                <w:rFonts w:ascii="Liberation Serif" w:hAnsi="Liberation Serif"/>
                <w:vertAlign w:val="superscript"/>
              </w:rPr>
              <w:t>a</w:t>
            </w:r>
          </w:p>
        </w:tc>
        <w:tc>
          <w:tcPr>
            <w:tcW w:w="1551"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82.0</w:t>
            </w:r>
          </w:p>
        </w:tc>
        <w:tc>
          <w:tcPr>
            <w:tcW w:w="1727" w:type="dxa"/>
            <w:tcBorders>
              <w:top w:val="single" w:sz="2" w:space="0" w:color="C4C7C5"/>
              <w:start w:val="single" w:sz="2" w:space="0" w:color="C4C7C5"/>
              <w:bottom w:val="single" w:sz="2" w:space="0" w:color="C4C7C5"/>
              <w:end w:val="single" w:sz="2" w:space="0" w:color="C4C7C5"/>
            </w:tcBorders>
            <w:vAlign w:val="center"/>
          </w:tcPr>
          <w:p>
            <w:pPr>
              <w:pStyle w:val="TableContents"/>
              <w:spacing w:lineRule="auto" w:line="273" w:before="0" w:after="140"/>
              <w:ind w:hanging="0" w:start="0" w:end="0"/>
              <w:rPr>
                <w:rFonts w:ascii="Liberation Serif" w:hAnsi="Liberation Serif"/>
              </w:rPr>
            </w:pPr>
            <w:r>
              <w:rPr>
                <w:rFonts w:ascii="Liberation Serif" w:hAnsi="Liberation Serif"/>
              </w:rPr>
              <w:t>0.42% (0.04 – 2.18%)</w:t>
            </w:r>
          </w:p>
        </w:tc>
      </w:tr>
    </w:tbl>
    <w:p>
      <w:pPr>
        <w:pStyle w:val="BodyText"/>
        <w:bidi w:val="0"/>
        <w:spacing w:lineRule="auto" w:line="271" w:before="0" w:after="120"/>
        <w:ind w:hanging="0" w:start="0" w:end="0"/>
        <w:jc w:val="start"/>
        <w:rPr>
          <w:rFonts w:ascii="Liberation Serif" w:hAnsi="Liberation Serif"/>
          <w:color w:val="auto"/>
          <w:sz w:val="20"/>
          <w:szCs w:val="20"/>
        </w:rPr>
      </w:pPr>
      <w:r>
        <w:rPr>
          <w:b/>
          <w:color w:val="auto"/>
          <w:sz w:val="20"/>
          <w:szCs w:val="20"/>
        </w:rPr>
        <w:t>CI</w:t>
      </w:r>
      <w:r>
        <w:rPr>
          <w:color w:val="auto"/>
          <w:sz w:val="20"/>
          <w:szCs w:val="20"/>
        </w:rPr>
        <w:t xml:space="preserve">, Confidence Interval; </w:t>
      </w:r>
      <w:r>
        <w:rPr>
          <w:b/>
          <w:color w:val="auto"/>
          <w:sz w:val="20"/>
          <w:szCs w:val="20"/>
        </w:rPr>
        <w:t>NR</w:t>
      </w:r>
      <w:r>
        <w:rPr>
          <w:color w:val="auto"/>
          <w:sz w:val="20"/>
          <w:szCs w:val="20"/>
        </w:rPr>
        <w:t>, Not Reached.</w:t>
      </w:r>
    </w:p>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Heading3"/>
        <w:widowControl/>
        <w:shd w:val="clear" w:fill="auto"/>
        <w:spacing w:lineRule="auto" w:line="276" w:before="0" w:after="0"/>
        <w:ind w:hanging="0" w:start="0" w:end="0"/>
        <w:jc w:val="start"/>
        <w:rPr>
          <w:rFonts w:ascii="Liberation Serif" w:hAnsi="Liberation Serif" w:eastAsia="Liberation Serif" w:cs="Liberation Serif"/>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 xml:space="preserve">Table </w:t>
      </w: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6</w:t>
      </w: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Fine-Gray Subdistribution Hazard Analysis of Cardiovascular Mortality by Race/Ethnicity</w:t>
      </w:r>
    </w:p>
    <w:tbl>
      <w:tblPr>
        <w:tblW w:w="8687" w:type="dxa"/>
        <w:jc w:val="start"/>
        <w:tblInd w:w="0" w:type="dxa"/>
        <w:tblLayout w:type="fixed"/>
        <w:tblCellMar>
          <w:top w:w="0" w:type="dxa"/>
          <w:start w:w="0" w:type="dxa"/>
          <w:bottom w:w="0" w:type="dxa"/>
          <w:end w:w="0" w:type="dxa"/>
        </w:tblCellMar>
      </w:tblPr>
      <w:tblGrid>
        <w:gridCol w:w="2612"/>
        <w:gridCol w:w="3913"/>
        <w:gridCol w:w="1202"/>
        <w:gridCol w:w="959"/>
      </w:tblGrid>
      <w:tr>
        <w:trPr/>
        <w:tc>
          <w:tcPr>
            <w:tcW w:w="2612"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Race / Ethnicity</w:t>
            </w:r>
          </w:p>
        </w:tc>
        <w:tc>
          <w:tcPr>
            <w:tcW w:w="3913"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Subdistribution Hazard Ratio (sHR)</w:t>
            </w:r>
          </w:p>
        </w:tc>
        <w:tc>
          <w:tcPr>
            <w:tcW w:w="1202"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95% CI</w:t>
            </w:r>
          </w:p>
        </w:tc>
        <w:tc>
          <w:tcPr>
            <w:tcW w:w="959"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P-value</w:t>
            </w:r>
          </w:p>
        </w:tc>
      </w:tr>
      <w:tr>
        <w:trPr/>
        <w:tc>
          <w:tcPr>
            <w:tcW w:w="2612"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Non-Hispanic White</w:t>
            </w:r>
          </w:p>
        </w:tc>
        <w:tc>
          <w:tcPr>
            <w:tcW w:w="3913"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1.00 (Ref)</w:t>
            </w:r>
          </w:p>
        </w:tc>
        <w:tc>
          <w:tcPr>
            <w:tcW w:w="1202"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c>
          <w:tcPr>
            <w:tcW w:w="959"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r>
      <w:tr>
        <w:trPr/>
        <w:tc>
          <w:tcPr>
            <w:tcW w:w="2612"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Non-Hispanic Black</w:t>
            </w:r>
          </w:p>
        </w:tc>
        <w:tc>
          <w:tcPr>
            <w:tcW w:w="3913"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1.12</w:t>
            </w:r>
          </w:p>
        </w:tc>
        <w:tc>
          <w:tcPr>
            <w:tcW w:w="1202"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0.89 – 1.41</w:t>
            </w:r>
          </w:p>
        </w:tc>
        <w:tc>
          <w:tcPr>
            <w:tcW w:w="959" w:type="dxa"/>
            <w:tcBorders/>
            <w:vAlign w:val="center"/>
          </w:tcPr>
          <w:p>
            <w:pPr>
              <w:pStyle w:val="TableContents"/>
              <w:spacing w:lineRule="auto" w:line="273" w:before="0" w:after="140"/>
              <w:ind w:hanging="0" w:start="0" w:end="0"/>
              <w:jc w:val="start"/>
              <w:rPr>
                <w:rFonts w:ascii="Liberation Serif" w:hAnsi="Liberation Serif"/>
              </w:rPr>
            </w:pPr>
            <w:r>
              <w:rPr>
                <w:rFonts w:ascii="Liberation Serif" w:hAnsi="Liberation Serif"/>
                <w:b w:val="false"/>
                <w:bCs w:val="false"/>
                <w:i w:val="false"/>
                <w:iCs w:val="false"/>
                <w:strike w:val="false"/>
                <w:dstrike w:val="false"/>
                <w:outline w:val="false"/>
                <w:shadow w:val="false"/>
                <w:color w:val="000000"/>
                <w:sz w:val="24"/>
                <w:szCs w:val="24"/>
                <w:u w:val="none"/>
              </w:rPr>
              <w:t>0.35</w:t>
            </w:r>
          </w:p>
        </w:tc>
      </w:tr>
      <w:tr>
        <w:trPr/>
        <w:tc>
          <w:tcPr>
            <w:tcW w:w="2612"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Hispanic</w:t>
            </w:r>
          </w:p>
        </w:tc>
        <w:tc>
          <w:tcPr>
            <w:tcW w:w="3913"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0.62</w:t>
            </w:r>
          </w:p>
        </w:tc>
        <w:tc>
          <w:tcPr>
            <w:tcW w:w="1202"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0.50 – 0.77</w:t>
            </w:r>
          </w:p>
        </w:tc>
        <w:tc>
          <w:tcPr>
            <w:tcW w:w="959"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&lt;0.001</w:t>
            </w:r>
          </w:p>
        </w:tc>
      </w:tr>
      <w:tr>
        <w:trPr/>
        <w:tc>
          <w:tcPr>
            <w:tcW w:w="2612"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Asian / Pacific Islander</w:t>
            </w:r>
          </w:p>
        </w:tc>
        <w:tc>
          <w:tcPr>
            <w:tcW w:w="3913"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0.39</w:t>
            </w:r>
          </w:p>
        </w:tc>
        <w:tc>
          <w:tcPr>
            <w:tcW w:w="1202"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0.29 – 0.54</w:t>
            </w:r>
          </w:p>
        </w:tc>
        <w:tc>
          <w:tcPr>
            <w:tcW w:w="959"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&lt;0.001</w:t>
            </w:r>
          </w:p>
        </w:tc>
      </w:tr>
    </w:tbl>
    <w:p>
      <w:pPr>
        <w:pStyle w:val="normal1"/>
        <w:widowControl/>
        <w:shd w:val="clear" w:fill="auto"/>
        <w:spacing w:lineRule="auto" w:line="276" w:before="0" w:after="0"/>
        <w:ind w:hanging="0" w:start="0" w:end="0"/>
        <w:jc w:val="start"/>
        <w:rPr>
          <w:color w:val="auto"/>
        </w:rPr>
      </w:pPr>
      <w:r>
        <w:rPr>
          <w:rFonts w:ascii="Liberation Serif" w:hAnsi="Liberation Serif"/>
          <w:b w:val="false"/>
          <w:bCs w:val="false"/>
          <w:color w:val="auto"/>
          <w:position w:val="0"/>
          <w:sz w:val="22"/>
          <w:sz w:val="22"/>
          <w:szCs w:val="22"/>
          <w:vertAlign w:val="baseline"/>
        </w:rPr>
        <w:t xml:space="preserve">* </w:t>
      </w:r>
      <w:r>
        <w:rPr>
          <w:rFonts w:ascii="Liberation Serif" w:hAnsi="Liberation Serif"/>
          <w:b w:val="false"/>
          <w:color w:val="auto"/>
          <w:spacing w:val="0"/>
          <w:sz w:val="22"/>
          <w:szCs w:val="22"/>
        </w:rPr>
        <w:t>Data was shown as sHR (95% CI%). Ref, reference; sHR:  subdistribution hazard ratio; CI, confidence interval</w:t>
      </w:r>
    </w:p>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widowControl/>
        <w:shd w:val="clear" w:fill="auto"/>
        <w:spacing w:lineRule="auto" w:line="276" w:before="0" w:after="0"/>
        <w:ind w:hanging="0" w:start="0" w:end="0"/>
        <w:jc w:val="start"/>
        <w:rPr>
          <w:b/>
          <w:bCs/>
        </w:rPr>
      </w:pPr>
      <w:r>
        <w:rPr>
          <w:b/>
          <w:bCs/>
        </w:rPr>
      </w:r>
      <w:r>
        <w:br w:type="page"/>
      </w:r>
    </w:p>
    <w:p>
      <w:pPr>
        <w:pStyle w:val="normal1"/>
        <w:widowControl/>
        <w:shd w:val="clear" w:fill="auto"/>
        <w:spacing w:lineRule="auto" w:line="276" w:before="0" w:after="0"/>
        <w:ind w:hanging="0" w:start="0" w:end="0"/>
        <w:jc w:val="start"/>
        <w:rPr>
          <w:b/>
          <w:bCs/>
        </w:rPr>
      </w:pP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5. Cumulative Incidence of Cardiovascular Mortality Among Long-Term Ovarian Cancer Survivors</w:t>
      </w:r>
      <w:r>
        <w:rPr>
          <w:rFonts w:eastAsia="Liberation Serif" w:cs="Liberation Serif" w:ascii="Liberation Serif" w:hAnsi="Liberation Serif"/>
          <w:b/>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 xml:space="preserve">by </w:t>
      </w: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Rural/Urban</w:t>
      </w:r>
    </w:p>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67157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120130" cy="3671570"/>
                    </a:xfrm>
                    <a:prstGeom prst="rect">
                      <a:avLst/>
                    </a:prstGeom>
                  </pic:spPr>
                </pic:pic>
              </a:graphicData>
            </a:graphic>
          </wp:anchor>
        </w:drawing>
      </w: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 xml:space="preserve">Figure 5: </w:t>
      </w: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Cumulative Incidence of Cardiovascular Death by Geographic Location</w:t>
      </w:r>
    </w:p>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BodyText"/>
        <w:bidi w:val="0"/>
        <w:spacing w:lineRule="auto" w:line="271" w:before="0" w:after="120"/>
        <w:ind w:hanging="0" w:start="0" w:end="0"/>
        <w:jc w:val="start"/>
        <w:rPr>
          <w:rFonts w:ascii="Google Sans Text;sans-serif" w:hAnsi="Google Sans Text;sans-serif"/>
          <w:color w:val="auto"/>
        </w:rPr>
      </w:pPr>
      <w:r>
        <w:rPr>
          <w:b/>
          <w:bCs/>
        </w:rPr>
        <w:t xml:space="preserve">Table </w:t>
      </w:r>
      <w:r>
        <w:rPr>
          <w:b/>
          <w:bCs/>
        </w:rPr>
        <w:t>7</w:t>
      </w:r>
      <w:r>
        <w:rPr>
          <w:b/>
          <w:bCs/>
        </w:rPr>
        <w:t xml:space="preserve">: </w:t>
      </w:r>
      <w:r>
        <w:rPr/>
        <w:t xml:space="preserve">Cumulative Incidence of Cardiovascular Mortality Among Long-term Ovarian Cancer Survivors, by </w:t>
      </w:r>
      <w:r>
        <w:rPr/>
        <w:t>Geographic Location</w:t>
      </w:r>
    </w:p>
    <w:tbl>
      <w:tblPr>
        <w:tblW w:w="9638" w:type="dxa"/>
        <w:jc w:val="start"/>
        <w:tblInd w:w="0" w:type="dxa"/>
        <w:tblLayout w:type="fixed"/>
        <w:tblCellMar>
          <w:top w:w="0" w:type="dxa"/>
          <w:start w:w="0" w:type="dxa"/>
          <w:bottom w:w="0" w:type="dxa"/>
          <w:end w:w="0" w:type="dxa"/>
        </w:tblCellMar>
      </w:tblPr>
      <w:tblGrid>
        <w:gridCol w:w="1889"/>
        <w:gridCol w:w="1376"/>
        <w:gridCol w:w="1376"/>
        <w:gridCol w:w="1243"/>
        <w:gridCol w:w="1136"/>
        <w:gridCol w:w="1160"/>
        <w:gridCol w:w="1458"/>
      </w:tblGrid>
      <w:tr>
        <w:trPr/>
        <w:tc>
          <w:tcPr>
            <w:tcW w:w="1889"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4"/>
                <w:szCs w:val="24"/>
                <w:u w:val="none"/>
              </w:rPr>
              <w:t>Geographic Location</w:t>
            </w:r>
          </w:p>
        </w:tc>
        <w:tc>
          <w:tcPr>
            <w:tcW w:w="1376"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4"/>
                <w:szCs w:val="24"/>
                <w:u w:val="none"/>
              </w:rPr>
              <w:t>Cohort Size (N)</w:t>
            </w:r>
          </w:p>
        </w:tc>
        <w:tc>
          <w:tcPr>
            <w:tcW w:w="1376"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4"/>
                <w:szCs w:val="24"/>
                <w:u w:val="none"/>
              </w:rPr>
              <w:t>Year 10 (60 mo</w:t>
            </w:r>
            <w:r>
              <w:rPr>
                <w:rStyle w:val="Strong"/>
                <w:rFonts w:ascii="Google Sans Text;sans-serif" w:hAnsi="Google Sans Text;sans-serif"/>
                <w:i w:val="false"/>
                <w:iCs w:val="false"/>
                <w:strike w:val="false"/>
                <w:dstrike w:val="false"/>
                <w:outline w:val="false"/>
                <w:shadow w:val="false"/>
                <w:color w:val="000000"/>
                <w:sz w:val="24"/>
                <w:szCs w:val="24"/>
                <w:u w:val="none"/>
              </w:rPr>
              <w:t>nths</w:t>
            </w:r>
            <w:r>
              <w:rPr>
                <w:rStyle w:val="Strong"/>
                <w:rFonts w:ascii="Google Sans Text;sans-serif" w:hAnsi="Google Sans Text;sans-serif"/>
                <w:i w:val="false"/>
                <w:iCs w:val="false"/>
                <w:strike w:val="false"/>
                <w:dstrike w:val="false"/>
                <w:outline w:val="false"/>
                <w:shadow w:val="false"/>
                <w:color w:val="000000"/>
                <w:sz w:val="24"/>
                <w:szCs w:val="24"/>
                <w:u w:val="none"/>
              </w:rPr>
              <w:t>)</w:t>
            </w:r>
          </w:p>
        </w:tc>
        <w:tc>
          <w:tcPr>
            <w:tcW w:w="1243"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4"/>
                <w:szCs w:val="24"/>
                <w:u w:val="none"/>
              </w:rPr>
              <w:t>Year 15 (120 mo</w:t>
            </w:r>
            <w:r>
              <w:rPr>
                <w:rStyle w:val="Strong"/>
                <w:rFonts w:ascii="Google Sans Text;sans-serif" w:hAnsi="Google Sans Text;sans-serif"/>
                <w:i w:val="false"/>
                <w:iCs w:val="false"/>
                <w:strike w:val="false"/>
                <w:dstrike w:val="false"/>
                <w:outline w:val="false"/>
                <w:shadow w:val="false"/>
                <w:color w:val="000000"/>
                <w:sz w:val="24"/>
                <w:szCs w:val="24"/>
                <w:u w:val="none"/>
              </w:rPr>
              <w:t>nths</w:t>
            </w:r>
            <w:r>
              <w:rPr>
                <w:rStyle w:val="Strong"/>
                <w:rFonts w:ascii="Google Sans Text;sans-serif" w:hAnsi="Google Sans Text;sans-serif"/>
                <w:i w:val="false"/>
                <w:iCs w:val="false"/>
                <w:strike w:val="false"/>
                <w:dstrike w:val="false"/>
                <w:outline w:val="false"/>
                <w:shadow w:val="false"/>
                <w:color w:val="000000"/>
                <w:sz w:val="24"/>
                <w:szCs w:val="24"/>
                <w:u w:val="none"/>
              </w:rPr>
              <w:t>)</w:t>
            </w:r>
          </w:p>
        </w:tc>
        <w:tc>
          <w:tcPr>
            <w:tcW w:w="1136"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4"/>
                <w:szCs w:val="24"/>
                <w:u w:val="none"/>
              </w:rPr>
              <w:t>Year 20 (180 mo</w:t>
            </w:r>
            <w:r>
              <w:rPr>
                <w:rStyle w:val="Strong"/>
                <w:rFonts w:ascii="Google Sans Text;sans-serif" w:hAnsi="Google Sans Text;sans-serif"/>
                <w:i w:val="false"/>
                <w:iCs w:val="false"/>
                <w:strike w:val="false"/>
                <w:dstrike w:val="false"/>
                <w:outline w:val="false"/>
                <w:shadow w:val="false"/>
                <w:color w:val="000000"/>
                <w:sz w:val="24"/>
                <w:szCs w:val="24"/>
                <w:u w:val="none"/>
              </w:rPr>
              <w:t>nths</w:t>
            </w:r>
            <w:r>
              <w:rPr>
                <w:rStyle w:val="Strong"/>
                <w:rFonts w:ascii="Google Sans Text;sans-serif" w:hAnsi="Google Sans Text;sans-serif"/>
                <w:i w:val="false"/>
                <w:iCs w:val="false"/>
                <w:strike w:val="false"/>
                <w:dstrike w:val="false"/>
                <w:outline w:val="false"/>
                <w:shadow w:val="false"/>
                <w:color w:val="000000"/>
                <w:sz w:val="24"/>
                <w:szCs w:val="24"/>
                <w:u w:val="none"/>
              </w:rPr>
              <w:t>)</w:t>
            </w:r>
          </w:p>
        </w:tc>
        <w:tc>
          <w:tcPr>
            <w:tcW w:w="1160"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4"/>
                <w:szCs w:val="24"/>
                <w:u w:val="none"/>
              </w:rPr>
              <w:t>Final Follow-up (Mo</w:t>
            </w:r>
            <w:r>
              <w:rPr>
                <w:rStyle w:val="Strong"/>
                <w:rFonts w:ascii="Google Sans Text;sans-serif" w:hAnsi="Google Sans Text;sans-serif"/>
                <w:i w:val="false"/>
                <w:iCs w:val="false"/>
                <w:strike w:val="false"/>
                <w:dstrike w:val="false"/>
                <w:outline w:val="false"/>
                <w:shadow w:val="false"/>
                <w:color w:val="000000"/>
                <w:sz w:val="24"/>
                <w:szCs w:val="24"/>
                <w:u w:val="none"/>
              </w:rPr>
              <w:t>nths</w:t>
            </w:r>
            <w:r>
              <w:rPr>
                <w:rStyle w:val="Strong"/>
                <w:rFonts w:ascii="Google Sans Text;sans-serif" w:hAnsi="Google Sans Text;sans-serif"/>
                <w:i w:val="false"/>
                <w:iCs w:val="false"/>
                <w:strike w:val="false"/>
                <w:dstrike w:val="false"/>
                <w:outline w:val="false"/>
                <w:shadow w:val="false"/>
                <w:color w:val="000000"/>
                <w:sz w:val="24"/>
                <w:szCs w:val="24"/>
                <w:u w:val="none"/>
              </w:rPr>
              <w:t>)</w:t>
            </w:r>
          </w:p>
        </w:tc>
        <w:tc>
          <w:tcPr>
            <w:tcW w:w="1458"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4"/>
                <w:szCs w:val="24"/>
                <w:u w:val="none"/>
              </w:rPr>
              <w:t xml:space="preserve">Final </w:t>
            </w:r>
            <w:r>
              <w:rPr>
                <w:rStyle w:val="Strong"/>
                <w:rFonts w:ascii="Google Sans Text;sans-serif" w:hAnsi="Google Sans Text;sans-serif"/>
                <w:i w:val="false"/>
                <w:iCs w:val="false"/>
                <w:strike w:val="false"/>
                <w:dstrike w:val="false"/>
                <w:outline w:val="false"/>
                <w:shadow w:val="false"/>
                <w:color w:val="000000"/>
                <w:sz w:val="24"/>
                <w:szCs w:val="24"/>
                <w:u w:val="none"/>
              </w:rPr>
              <w:t xml:space="preserve">Cumulative </w:t>
            </w:r>
            <w:r>
              <w:rPr>
                <w:rStyle w:val="Strong"/>
                <w:rFonts w:ascii="Google Sans Text;sans-serif" w:hAnsi="Google Sans Text;sans-serif"/>
                <w:i w:val="false"/>
                <w:iCs w:val="false"/>
                <w:strike w:val="false"/>
                <w:dstrike w:val="false"/>
                <w:outline w:val="false"/>
                <w:shadow w:val="false"/>
                <w:color w:val="000000"/>
                <w:sz w:val="24"/>
                <w:szCs w:val="24"/>
                <w:u w:val="none"/>
              </w:rPr>
              <w:t>Incidence (95% CI)</w:t>
            </w:r>
          </w:p>
        </w:tc>
      </w:tr>
      <w:tr>
        <w:trPr/>
        <w:tc>
          <w:tcPr>
            <w:tcW w:w="1889"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Urban (Metropolitan)</w:t>
            </w:r>
          </w:p>
        </w:tc>
        <w:tc>
          <w:tcPr>
            <w:tcW w:w="1376"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34,226</w:t>
            </w:r>
          </w:p>
        </w:tc>
        <w:tc>
          <w:tcPr>
            <w:tcW w:w="1376"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1.41%</w:t>
            </w:r>
          </w:p>
        </w:tc>
        <w:tc>
          <w:tcPr>
            <w:tcW w:w="1243"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2.88%</w:t>
            </w:r>
          </w:p>
        </w:tc>
        <w:tc>
          <w:tcPr>
            <w:tcW w:w="1136"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4.47%</w:t>
            </w:r>
          </w:p>
        </w:tc>
        <w:tc>
          <w:tcPr>
            <w:tcW w:w="1160"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214.0</w:t>
            </w:r>
          </w:p>
        </w:tc>
        <w:tc>
          <w:tcPr>
            <w:tcW w:w="1458"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5.37% (4.83 – 5.94%)</w:t>
            </w:r>
          </w:p>
        </w:tc>
      </w:tr>
      <w:tr>
        <w:trPr/>
        <w:tc>
          <w:tcPr>
            <w:tcW w:w="1889"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Rural (Nonmetropolitan)</w:t>
            </w:r>
          </w:p>
        </w:tc>
        <w:tc>
          <w:tcPr>
            <w:tcW w:w="1376"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3,889</w:t>
            </w:r>
          </w:p>
        </w:tc>
        <w:tc>
          <w:tcPr>
            <w:tcW w:w="1376"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2.10%</w:t>
            </w:r>
          </w:p>
        </w:tc>
        <w:tc>
          <w:tcPr>
            <w:tcW w:w="1243"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3.84%</w:t>
            </w:r>
          </w:p>
        </w:tc>
        <w:tc>
          <w:tcPr>
            <w:tcW w:w="1136"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6.40%</w:t>
            </w:r>
          </w:p>
        </w:tc>
        <w:tc>
          <w:tcPr>
            <w:tcW w:w="1160"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201.0</w:t>
            </w:r>
          </w:p>
        </w:tc>
        <w:tc>
          <w:tcPr>
            <w:tcW w:w="1458"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7.46% (6.09 – 9.01%)</w:t>
            </w:r>
          </w:p>
        </w:tc>
      </w:tr>
    </w:tbl>
    <w:p>
      <w:pPr>
        <w:pStyle w:val="BodyText"/>
        <w:bidi w:val="0"/>
        <w:spacing w:lineRule="auto" w:line="271" w:before="0" w:after="120"/>
        <w:ind w:hanging="0" w:start="0" w:end="0"/>
        <w:jc w:val="start"/>
        <w:rPr>
          <w:rFonts w:ascii="Google Sans Text;sans-serif" w:hAnsi="Google Sans Text;sans-serif"/>
          <w:color w:val="auto"/>
        </w:rPr>
      </w:pPr>
      <w:r>
        <w:rPr>
          <w:rFonts w:eastAsia="Liberation Serif" w:cs="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Heading3"/>
        <w:widowControl/>
        <w:shd w:val="clear" w:fill="auto"/>
        <w:spacing w:lineRule="auto" w:line="276" w:before="0" w:after="0"/>
        <w:ind w:hanging="0" w:start="0" w:end="0"/>
        <w:jc w:val="start"/>
        <w:rPr>
          <w:rFonts w:ascii="Google Sans;sans-serif" w:hAnsi="Google Sans;sans-serif" w:eastAsia="Liberation Serif" w:cs="Liberation Serif"/>
          <w:b w:val="false"/>
          <w:bCs w:val="false"/>
          <w:i w:val="false"/>
          <w:i w:val="false"/>
          <w:iCs w:val="false"/>
          <w:caps w:val="false"/>
          <w:smallCaps w:val="false"/>
          <w:strike w:val="false"/>
          <w:dstrike w:val="false"/>
          <w:color w:val="000000"/>
          <w:sz w:val="22"/>
          <w:szCs w:val="22"/>
          <w:u w:val="none"/>
          <w:shd w:fill="auto" w:val="clear"/>
        </w:rPr>
      </w:pPr>
      <w:r>
        <w:rPr>
          <w:rFonts w:eastAsia="Liberation Serif" w:cs="Liberation Serif" w:ascii="Liberation Serif" w:hAnsi="Liberation Serif"/>
          <w:b/>
          <w:bCs/>
          <w:i w:val="false"/>
          <w:iCs w:val="false"/>
          <w:caps w:val="false"/>
          <w:smallCaps w:val="false"/>
          <w:strike w:val="false"/>
          <w:dstrike w:val="false"/>
          <w:color w:val="000000"/>
          <w:sz w:val="22"/>
          <w:szCs w:val="22"/>
          <w:u w:val="none"/>
          <w:shd w:fill="auto" w:val="clear"/>
        </w:rPr>
        <w:t xml:space="preserve">Table </w:t>
      </w:r>
      <w:r>
        <w:rPr>
          <w:rFonts w:eastAsia="Liberation Serif" w:cs="Liberation Serif" w:ascii="Liberation Serif" w:hAnsi="Liberation Serif"/>
          <w:b/>
          <w:bCs/>
          <w:i w:val="false"/>
          <w:iCs w:val="false"/>
          <w:caps w:val="false"/>
          <w:smallCaps w:val="false"/>
          <w:strike w:val="false"/>
          <w:dstrike w:val="false"/>
          <w:color w:val="000000"/>
          <w:sz w:val="22"/>
          <w:szCs w:val="22"/>
          <w:u w:val="none"/>
          <w:shd w:fill="auto" w:val="clear"/>
        </w:rPr>
        <w:t>8</w:t>
      </w:r>
      <w:r>
        <w:rPr>
          <w:rFonts w:eastAsia="Liberation Serif" w:cs="Liberation Serif" w:ascii="Liberation Serif" w:hAnsi="Liberation Serif"/>
          <w:b/>
          <w:bCs/>
          <w:i w:val="false"/>
          <w:iCs w:val="false"/>
          <w:caps w:val="false"/>
          <w:smallCaps w:val="false"/>
          <w:strike w:val="false"/>
          <w:dstrike w:val="false"/>
          <w:color w:val="000000"/>
          <w:sz w:val="22"/>
          <w:szCs w:val="22"/>
          <w:u w:val="none"/>
          <w:shd w:fill="auto" w:val="clear"/>
        </w:rPr>
        <w:t>:</w:t>
      </w:r>
      <w:r>
        <w:rPr>
          <w:rFonts w:eastAsia="Liberation Serif" w:cs="Liberation Serif" w:ascii="Liberation Serif" w:hAnsi="Liberation Serif"/>
          <w:b w:val="false"/>
          <w:bCs w:val="false"/>
          <w:i w:val="false"/>
          <w:iCs w:val="false"/>
          <w:caps w:val="false"/>
          <w:smallCaps w:val="false"/>
          <w:strike w:val="false"/>
          <w:dstrike w:val="false"/>
          <w:color w:val="000000"/>
          <w:sz w:val="22"/>
          <w:szCs w:val="22"/>
          <w:u w:val="none"/>
          <w:shd w:fill="auto" w:val="clear"/>
        </w:rPr>
        <w:t xml:space="preserve"> Fine-Gray Subdistribution Hazard Analysis of Cardiovascular Mortality by Geographic Location</w:t>
      </w:r>
    </w:p>
    <w:tbl>
      <w:tblPr>
        <w:tblW w:w="8917" w:type="dxa"/>
        <w:jc w:val="start"/>
        <w:tblInd w:w="0" w:type="dxa"/>
        <w:tblLayout w:type="fixed"/>
        <w:tblCellMar>
          <w:top w:w="0" w:type="dxa"/>
          <w:start w:w="0" w:type="dxa"/>
          <w:bottom w:w="0" w:type="dxa"/>
          <w:end w:w="0" w:type="dxa"/>
        </w:tblCellMar>
      </w:tblPr>
      <w:tblGrid>
        <w:gridCol w:w="2837"/>
        <w:gridCol w:w="3917"/>
        <w:gridCol w:w="1203"/>
        <w:gridCol w:w="960"/>
      </w:tblGrid>
      <w:tr>
        <w:trPr/>
        <w:tc>
          <w:tcPr>
            <w:tcW w:w="2837"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4"/>
                <w:szCs w:val="24"/>
                <w:u w:val="none"/>
              </w:rPr>
              <w:t>Geographic Location</w:t>
            </w:r>
          </w:p>
        </w:tc>
        <w:tc>
          <w:tcPr>
            <w:tcW w:w="3917"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4"/>
                <w:szCs w:val="24"/>
                <w:u w:val="none"/>
              </w:rPr>
              <w:t>Subdistribution Hazard Ratio (sHR)</w:t>
            </w:r>
          </w:p>
        </w:tc>
        <w:tc>
          <w:tcPr>
            <w:tcW w:w="1203"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4"/>
                <w:szCs w:val="24"/>
                <w:u w:val="none"/>
              </w:rPr>
              <w:t>95% CI</w:t>
            </w:r>
          </w:p>
        </w:tc>
        <w:tc>
          <w:tcPr>
            <w:tcW w:w="960"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Google Sans Text;sans-serif" w:hAnsi="Google Sans Text;sans-serif"/>
                <w:i w:val="false"/>
                <w:iCs w:val="false"/>
                <w:strike w:val="false"/>
                <w:dstrike w:val="false"/>
                <w:outline w:val="false"/>
                <w:shadow w:val="false"/>
                <w:color w:val="000000"/>
                <w:sz w:val="24"/>
                <w:szCs w:val="24"/>
                <w:u w:val="none"/>
              </w:rPr>
              <w:t>P-value</w:t>
            </w:r>
          </w:p>
        </w:tc>
      </w:tr>
      <w:tr>
        <w:trPr/>
        <w:tc>
          <w:tcPr>
            <w:tcW w:w="2837"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Urban (Metropolitan)</w:t>
            </w:r>
          </w:p>
        </w:tc>
        <w:tc>
          <w:tcPr>
            <w:tcW w:w="3917"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1.00 (Ref)</w:t>
            </w:r>
          </w:p>
        </w:tc>
        <w:tc>
          <w:tcPr>
            <w:tcW w:w="1203"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c>
          <w:tcPr>
            <w:tcW w:w="960"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r>
      <w:tr>
        <w:trPr/>
        <w:tc>
          <w:tcPr>
            <w:tcW w:w="2837"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Rural (Nonmetropolitan)</w:t>
            </w:r>
          </w:p>
        </w:tc>
        <w:tc>
          <w:tcPr>
            <w:tcW w:w="3917"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1.48</w:t>
            </w:r>
          </w:p>
        </w:tc>
        <w:tc>
          <w:tcPr>
            <w:tcW w:w="1203"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1.25 – 1.75</w:t>
            </w:r>
          </w:p>
        </w:tc>
        <w:tc>
          <w:tcPr>
            <w:tcW w:w="960"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&lt;0.001</w:t>
            </w:r>
          </w:p>
        </w:tc>
      </w:tr>
    </w:tbl>
    <w:p>
      <w:pPr>
        <w:pStyle w:val="Heading3"/>
        <w:widowControl/>
        <w:shd w:val="clear" w:fill="auto"/>
        <w:spacing w:lineRule="auto" w:line="276" w:before="0" w:after="0"/>
        <w:ind w:hanging="0" w:start="0" w:end="0"/>
        <w:jc w:val="start"/>
        <w:rPr>
          <w:b w:val="false"/>
          <w:bCs w:val="false"/>
          <w:color w:val="000000"/>
        </w:rPr>
      </w:pPr>
      <w:r>
        <w:rPr>
          <w:rFonts w:ascii="Liberation Serif" w:hAnsi="Liberation Serif"/>
          <w:b w:val="false"/>
          <w:bCs w:val="false"/>
          <w:color w:val="auto"/>
          <w:sz w:val="22"/>
          <w:szCs w:val="22"/>
        </w:rPr>
        <w:t xml:space="preserve">* </w:t>
      </w:r>
      <w:r>
        <w:rPr>
          <w:rFonts w:ascii="Liberation Serif" w:hAnsi="Liberation Serif"/>
          <w:b w:val="false"/>
          <w:bCs w:val="false"/>
          <w:color w:val="auto"/>
          <w:spacing w:val="0"/>
          <w:sz w:val="22"/>
          <w:szCs w:val="22"/>
        </w:rPr>
        <w:t>Data was shown as sHR (95% CI%). Ref, reference; sHR:  subdistribution hazard ratio; CI, confidence interval</w:t>
      </w:r>
      <w:r>
        <w:br w:type="page"/>
      </w:r>
    </w:p>
    <w:p>
      <w:pPr>
        <w:pStyle w:val="normal1"/>
        <w:widowControl/>
        <w:shd w:val="clear" w:fill="auto"/>
        <w:spacing w:lineRule="auto" w:line="276" w:before="0" w:after="0"/>
        <w:ind w:hanging="0" w:start="0" w:end="0"/>
        <w:jc w:val="start"/>
        <w:rPr>
          <w:b/>
          <w:bCs/>
        </w:rPr>
      </w:pP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6. Cumulative Incidence of Cardiovascular Mortality Among Long-Term Ovarian Cancer Survivors</w:t>
      </w:r>
      <w:r>
        <w:rPr>
          <w:rFonts w:eastAsia="Liberation Serif" w:cs="Liberation Serif" w:ascii="Liberation Serif" w:hAnsi="Liberation Serif"/>
          <w:b/>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by</w:t>
      </w: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 xml:space="preserve"> Cancer Stage</w:t>
      </w:r>
    </w:p>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67157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120130" cy="3671570"/>
                    </a:xfrm>
                    <a:prstGeom prst="rect">
                      <a:avLst/>
                    </a:prstGeom>
                  </pic:spPr>
                </pic:pic>
              </a:graphicData>
            </a:graphic>
          </wp:anchor>
        </w:drawing>
      </w: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 xml:space="preserve">Figure 6: </w:t>
      </w: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Cumulative Incidence of Cardiovascular Death by Cancer Stage</w:t>
      </w:r>
    </w:p>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
    </w:p>
    <w:p>
      <w:pPr>
        <w:pStyle w:val="BodyText"/>
        <w:bidi w:val="0"/>
        <w:spacing w:lineRule="auto" w:line="271" w:before="0" w:after="120"/>
        <w:ind w:hanging="0" w:start="0" w:end="0"/>
        <w:jc w:val="start"/>
        <w:rPr>
          <w:rFonts w:ascii="Google Sans Text;sans-serif" w:hAnsi="Google Sans Text;sans-serif"/>
          <w:color w:val="auto"/>
        </w:rPr>
      </w:pPr>
      <w:r>
        <w:rPr>
          <w:rFonts w:eastAsia="Liberation Serif" w:cs="Liberation Serif"/>
          <w:b/>
          <w:bCs/>
          <w:i w:val="false"/>
          <w:iCs w:val="false"/>
          <w:caps w:val="false"/>
          <w:smallCaps w:val="false"/>
          <w:strike w:val="false"/>
          <w:dstrike w:val="false"/>
          <w:color w:val="000000"/>
          <w:position w:val="0"/>
          <w:sz w:val="22"/>
          <w:sz w:val="22"/>
          <w:szCs w:val="22"/>
          <w:u w:val="none"/>
          <w:shd w:fill="auto" w:val="clear"/>
          <w:vertAlign w:val="baseline"/>
        </w:rPr>
        <w:t xml:space="preserve">Table </w:t>
      </w:r>
      <w:r>
        <w:rPr>
          <w:rFonts w:eastAsia="Liberation Serif" w:cs="Liberation Serif"/>
          <w:b/>
          <w:bCs/>
          <w:i w:val="false"/>
          <w:iCs w:val="false"/>
          <w:caps w:val="false"/>
          <w:smallCaps w:val="false"/>
          <w:strike w:val="false"/>
          <w:dstrike w:val="false"/>
          <w:color w:val="000000"/>
          <w:position w:val="0"/>
          <w:sz w:val="22"/>
          <w:sz w:val="22"/>
          <w:szCs w:val="22"/>
          <w:u w:val="none"/>
          <w:shd w:fill="auto" w:val="clear"/>
          <w:vertAlign w:val="baseline"/>
        </w:rPr>
        <w:t>9</w:t>
      </w:r>
      <w:r>
        <w:rPr>
          <w:rFonts w:eastAsia="Liberation Serif" w:cs="Liberation Serif"/>
          <w:b/>
          <w:bCs/>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Liberation Serif" w:cs="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Cumulative Incidence of Cardiovascular Mortality Among Long-term Ovarian Cancer Survivors, by </w:t>
      </w:r>
      <w:r>
        <w:rPr>
          <w:rFonts w:eastAsia="Liberation Serif" w:cs="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Cancer Stage</w:t>
      </w:r>
    </w:p>
    <w:tbl>
      <w:tblPr>
        <w:tblW w:w="9638" w:type="dxa"/>
        <w:jc w:val="start"/>
        <w:tblInd w:w="0" w:type="dxa"/>
        <w:tblLayout w:type="fixed"/>
        <w:tblCellMar>
          <w:top w:w="0" w:type="dxa"/>
          <w:start w:w="0" w:type="dxa"/>
          <w:bottom w:w="0" w:type="dxa"/>
          <w:end w:w="0" w:type="dxa"/>
        </w:tblCellMar>
      </w:tblPr>
      <w:tblGrid>
        <w:gridCol w:w="1546"/>
        <w:gridCol w:w="1180"/>
        <w:gridCol w:w="1081"/>
        <w:gridCol w:w="1128"/>
        <w:gridCol w:w="1128"/>
        <w:gridCol w:w="1599"/>
        <w:gridCol w:w="1976"/>
      </w:tblGrid>
      <w:tr>
        <w:trPr/>
        <w:tc>
          <w:tcPr>
            <w:tcW w:w="1546"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Stage at Diagnosis</w:t>
            </w:r>
          </w:p>
        </w:tc>
        <w:tc>
          <w:tcPr>
            <w:tcW w:w="1180"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Cohort Size (N)</w:t>
            </w:r>
          </w:p>
        </w:tc>
        <w:tc>
          <w:tcPr>
            <w:tcW w:w="1081"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Year 10 (60 mo)</w:t>
            </w:r>
          </w:p>
        </w:tc>
        <w:tc>
          <w:tcPr>
            <w:tcW w:w="1128"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Year 15 (120 mo)</w:t>
            </w:r>
          </w:p>
        </w:tc>
        <w:tc>
          <w:tcPr>
            <w:tcW w:w="1128"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Year 20 (180 mo)</w:t>
            </w:r>
          </w:p>
        </w:tc>
        <w:tc>
          <w:tcPr>
            <w:tcW w:w="1599"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Final Follow-up (Mo)</w:t>
            </w:r>
          </w:p>
        </w:tc>
        <w:tc>
          <w:tcPr>
            <w:tcW w:w="1976"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Final Incidence (95% CI)</w:t>
            </w:r>
          </w:p>
        </w:tc>
      </w:tr>
      <w:tr>
        <w:trPr/>
        <w:tc>
          <w:tcPr>
            <w:tcW w:w="1546"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Localized</w:t>
            </w:r>
          </w:p>
        </w:tc>
        <w:tc>
          <w:tcPr>
            <w:tcW w:w="1180"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11,086</w:t>
            </w:r>
          </w:p>
        </w:tc>
        <w:tc>
          <w:tcPr>
            <w:tcW w:w="1081"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1.58%</w:t>
            </w:r>
          </w:p>
        </w:tc>
        <w:tc>
          <w:tcPr>
            <w:tcW w:w="1128"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3.39%</w:t>
            </w:r>
          </w:p>
        </w:tc>
        <w:tc>
          <w:tcPr>
            <w:tcW w:w="1128"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5.52%</w:t>
            </w:r>
          </w:p>
        </w:tc>
        <w:tc>
          <w:tcPr>
            <w:tcW w:w="1599"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212.0</w:t>
            </w:r>
          </w:p>
        </w:tc>
        <w:tc>
          <w:tcPr>
            <w:tcW w:w="1976"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6.44% (5.61 – 7.34%)</w:t>
            </w:r>
          </w:p>
        </w:tc>
      </w:tr>
      <w:tr>
        <w:trPr/>
        <w:tc>
          <w:tcPr>
            <w:tcW w:w="1546"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Regional</w:t>
            </w:r>
          </w:p>
        </w:tc>
        <w:tc>
          <w:tcPr>
            <w:tcW w:w="1180"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11,478</w:t>
            </w:r>
          </w:p>
        </w:tc>
        <w:tc>
          <w:tcPr>
            <w:tcW w:w="1081"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1.50%</w:t>
            </w:r>
          </w:p>
        </w:tc>
        <w:tc>
          <w:tcPr>
            <w:tcW w:w="1128"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3.01%</w:t>
            </w:r>
          </w:p>
        </w:tc>
        <w:tc>
          <w:tcPr>
            <w:tcW w:w="1128"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4.81%</w:t>
            </w:r>
          </w:p>
        </w:tc>
        <w:tc>
          <w:tcPr>
            <w:tcW w:w="1599"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212.0</w:t>
            </w:r>
          </w:p>
        </w:tc>
        <w:tc>
          <w:tcPr>
            <w:tcW w:w="1976"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5.94% (4.82 – 7.22%)</w:t>
            </w:r>
          </w:p>
        </w:tc>
      </w:tr>
      <w:tr>
        <w:trPr/>
        <w:tc>
          <w:tcPr>
            <w:tcW w:w="1546"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Distant</w:t>
            </w:r>
          </w:p>
        </w:tc>
        <w:tc>
          <w:tcPr>
            <w:tcW w:w="1180"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14,107</w:t>
            </w:r>
          </w:p>
        </w:tc>
        <w:tc>
          <w:tcPr>
            <w:tcW w:w="1081"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1.32%</w:t>
            </w:r>
          </w:p>
        </w:tc>
        <w:tc>
          <w:tcPr>
            <w:tcW w:w="1128"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2.54%</w:t>
            </w:r>
          </w:p>
        </w:tc>
        <w:tc>
          <w:tcPr>
            <w:tcW w:w="1128"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4.01%</w:t>
            </w:r>
          </w:p>
        </w:tc>
        <w:tc>
          <w:tcPr>
            <w:tcW w:w="1599"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209.0</w:t>
            </w:r>
          </w:p>
        </w:tc>
        <w:tc>
          <w:tcPr>
            <w:tcW w:w="1976"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4.76% (4.09 – 5.49%)</w:t>
            </w:r>
          </w:p>
        </w:tc>
      </w:tr>
    </w:tbl>
    <w:p>
      <w:pPr>
        <w:pStyle w:val="BodyText"/>
        <w:bidi w:val="0"/>
        <w:spacing w:lineRule="auto" w:line="271" w:before="0" w:after="120"/>
        <w:ind w:hanging="0" w:start="0" w:end="0"/>
        <w:jc w:val="start"/>
        <w:rPr>
          <w:rFonts w:ascii="Google Sans Text;sans-serif" w:hAnsi="Google Sans Text;sans-serif"/>
          <w:color w:val="auto"/>
        </w:rPr>
      </w:pPr>
      <w:r>
        <w:rPr>
          <w:sz w:val="22"/>
          <w:szCs w:val="22"/>
        </w:rPr>
      </w:r>
    </w:p>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sz w:val="20"/>
          <w:szCs w:val="20"/>
          <w:u w:val="none"/>
          <w:shd w:fill="auto" w:val="clear"/>
        </w:rPr>
      </w:pPr>
      <w:r>
        <w:rPr>
          <w:rFonts w:eastAsia="Liberation Serif" w:cs="Liberation Serif" w:ascii="Liberation Serif" w:hAnsi="Liberation Serif"/>
          <w:b/>
          <w:bCs/>
          <w:i w:val="false"/>
          <w:iCs w:val="false"/>
          <w:caps w:val="false"/>
          <w:smallCaps w:val="false"/>
          <w:strike w:val="false"/>
          <w:dstrike w:val="false"/>
          <w:color w:val="000000"/>
          <w:sz w:val="22"/>
          <w:szCs w:val="22"/>
          <w:u w:val="none"/>
          <w:shd w:fill="auto" w:val="clear"/>
        </w:rPr>
        <w:t xml:space="preserve">Table </w:t>
      </w:r>
      <w:r>
        <w:rPr>
          <w:rFonts w:eastAsia="Liberation Serif" w:cs="Liberation Serif" w:ascii="Liberation Serif" w:hAnsi="Liberation Serif"/>
          <w:b/>
          <w:bCs/>
          <w:i w:val="false"/>
          <w:iCs w:val="false"/>
          <w:caps w:val="false"/>
          <w:smallCaps w:val="false"/>
          <w:strike w:val="false"/>
          <w:dstrike w:val="false"/>
          <w:color w:val="000000"/>
          <w:sz w:val="22"/>
          <w:szCs w:val="22"/>
          <w:u w:val="none"/>
          <w:shd w:fill="auto" w:val="clear"/>
        </w:rPr>
        <w:t>10</w:t>
      </w:r>
      <w:r>
        <w:rPr>
          <w:rFonts w:eastAsia="Liberation Serif" w:cs="Liberation Serif" w:ascii="Liberation Serif" w:hAnsi="Liberation Serif"/>
          <w:b/>
          <w:bCs/>
          <w:i w:val="false"/>
          <w:iCs w:val="false"/>
          <w:caps w:val="false"/>
          <w:smallCaps w:val="false"/>
          <w:strike w:val="false"/>
          <w:dstrike w:val="false"/>
          <w:color w:val="000000"/>
          <w:sz w:val="22"/>
          <w:szCs w:val="22"/>
          <w:u w:val="none"/>
          <w:shd w:fill="auto" w:val="clear"/>
        </w:rPr>
        <w:t xml:space="preserve">: </w:t>
      </w:r>
      <w:r>
        <w:rPr>
          <w:rFonts w:eastAsia="Liberation Serif" w:cs="Liberation Serif" w:ascii="Liberation Serif" w:hAnsi="Liberation Serif"/>
          <w:b w:val="false"/>
          <w:bCs w:val="false"/>
          <w:i w:val="false"/>
          <w:iCs w:val="false"/>
          <w:caps w:val="false"/>
          <w:smallCaps w:val="false"/>
          <w:strike w:val="false"/>
          <w:dstrike w:val="false"/>
          <w:color w:val="000000"/>
          <w:sz w:val="22"/>
          <w:szCs w:val="22"/>
          <w:u w:val="none"/>
          <w:shd w:fill="auto" w:val="clear"/>
        </w:rPr>
        <w:t>Fine-Gray Subdistribution Hazard Analysis of Cardiovascular Mortality by Cancer Stage</w:t>
      </w:r>
    </w:p>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sz w:val="20"/>
          <w:szCs w:val="20"/>
          <w:u w:val="none"/>
          <w:shd w:fill="auto" w:val="clear"/>
        </w:rPr>
      </w:pPr>
      <w:r>
        <w:rPr/>
      </w:r>
    </w:p>
    <w:tbl>
      <w:tblPr>
        <w:tblW w:w="8231" w:type="dxa"/>
        <w:jc w:val="start"/>
        <w:tblInd w:w="0" w:type="dxa"/>
        <w:tblLayout w:type="fixed"/>
        <w:tblCellMar>
          <w:top w:w="0" w:type="dxa"/>
          <w:start w:w="0" w:type="dxa"/>
          <w:bottom w:w="0" w:type="dxa"/>
          <w:end w:w="0" w:type="dxa"/>
        </w:tblCellMar>
      </w:tblPr>
      <w:tblGrid>
        <w:gridCol w:w="2151"/>
        <w:gridCol w:w="3917"/>
        <w:gridCol w:w="1203"/>
        <w:gridCol w:w="960"/>
      </w:tblGrid>
      <w:tr>
        <w:trPr/>
        <w:tc>
          <w:tcPr>
            <w:tcW w:w="2151"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Stage at Diagnosis</w:t>
            </w:r>
          </w:p>
        </w:tc>
        <w:tc>
          <w:tcPr>
            <w:tcW w:w="3917"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Subdistribution Hazard Ratio (sHR)</w:t>
            </w:r>
          </w:p>
        </w:tc>
        <w:tc>
          <w:tcPr>
            <w:tcW w:w="1203"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95% CI</w:t>
            </w:r>
          </w:p>
        </w:tc>
        <w:tc>
          <w:tcPr>
            <w:tcW w:w="960"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P-value</w:t>
            </w:r>
          </w:p>
        </w:tc>
      </w:tr>
      <w:tr>
        <w:trPr/>
        <w:tc>
          <w:tcPr>
            <w:tcW w:w="2151"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Localized</w:t>
            </w:r>
          </w:p>
        </w:tc>
        <w:tc>
          <w:tcPr>
            <w:tcW w:w="3917"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1.00 (Reference)</w:t>
            </w:r>
          </w:p>
        </w:tc>
        <w:tc>
          <w:tcPr>
            <w:tcW w:w="1203"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c>
          <w:tcPr>
            <w:tcW w:w="960"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r>
      <w:tr>
        <w:trPr/>
        <w:tc>
          <w:tcPr>
            <w:tcW w:w="2151"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Regional</w:t>
            </w:r>
          </w:p>
        </w:tc>
        <w:tc>
          <w:tcPr>
            <w:tcW w:w="3917"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0.90</w:t>
            </w:r>
          </w:p>
        </w:tc>
        <w:tc>
          <w:tcPr>
            <w:tcW w:w="1203"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0.77 – 1.04</w:t>
            </w:r>
          </w:p>
        </w:tc>
        <w:tc>
          <w:tcPr>
            <w:tcW w:w="960"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0.157</w:t>
            </w:r>
          </w:p>
        </w:tc>
      </w:tr>
      <w:tr>
        <w:trPr/>
        <w:tc>
          <w:tcPr>
            <w:tcW w:w="2151"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Distant</w:t>
            </w:r>
          </w:p>
        </w:tc>
        <w:tc>
          <w:tcPr>
            <w:tcW w:w="3917"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0.77</w:t>
            </w:r>
          </w:p>
        </w:tc>
        <w:tc>
          <w:tcPr>
            <w:tcW w:w="1203"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0.66 – 0.89</w:t>
            </w:r>
          </w:p>
        </w:tc>
        <w:tc>
          <w:tcPr>
            <w:tcW w:w="960"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&lt;0.001</w:t>
            </w:r>
          </w:p>
        </w:tc>
      </w:tr>
    </w:tbl>
    <w:p>
      <w:pPr>
        <w:pStyle w:val="Heading3"/>
        <w:widowControl/>
        <w:shd w:val="clear" w:fill="auto"/>
        <w:spacing w:lineRule="auto" w:line="276" w:before="0" w:after="0"/>
        <w:ind w:hanging="0" w:start="0" w:end="0"/>
        <w:jc w:val="start"/>
        <w:rPr>
          <w:rFonts w:ascii="Liberation Serif" w:hAnsi="Liberation Serif"/>
          <w:sz w:val="20"/>
          <w:szCs w:val="20"/>
        </w:rPr>
      </w:pPr>
      <w:r>
        <w:rPr>
          <w:rFonts w:ascii="Liberation Serif" w:hAnsi="Liberation Serif"/>
          <w:b w:val="false"/>
          <w:bCs w:val="false"/>
          <w:color w:val="auto"/>
          <w:sz w:val="22"/>
          <w:szCs w:val="22"/>
        </w:rPr>
        <w:t xml:space="preserve">* </w:t>
      </w:r>
      <w:r>
        <w:rPr>
          <w:rFonts w:ascii="Liberation Serif" w:hAnsi="Liberation Serif"/>
          <w:b w:val="false"/>
          <w:bCs w:val="false"/>
          <w:color w:val="auto"/>
          <w:spacing w:val="0"/>
          <w:sz w:val="22"/>
          <w:szCs w:val="22"/>
        </w:rPr>
        <w:t>Data was shown as sHR (95% CI%). Ref, reference; sHR:  subdistribution hazard ratio; CI, confidence interval</w:t>
      </w:r>
      <w:r>
        <w:br w:type="page"/>
      </w:r>
    </w:p>
    <w:p>
      <w:pPr>
        <w:pStyle w:val="normal1"/>
        <w:widowControl/>
        <w:shd w:val="clear" w:fill="auto"/>
        <w:spacing w:lineRule="auto" w:line="276" w:before="0" w:after="0"/>
        <w:ind w:hanging="0" w:start="0" w:end="0"/>
        <w:jc w:val="start"/>
        <w:rPr>
          <w:b/>
          <w:bCs/>
        </w:rPr>
      </w:pP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7. Cumulative Incidence of Cardiovascular Mortality Among Long-Term Ovarian Cancer Survivors</w:t>
      </w:r>
      <w:r>
        <w:rPr>
          <w:rFonts w:eastAsia="Liberation Serif" w:cs="Liberation Serif" w:ascii="Liberation Serif" w:hAnsi="Liberation Serif"/>
          <w:b/>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by</w:t>
      </w: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 xml:space="preserve"> Cancer Treatment</w:t>
      </w:r>
    </w:p>
    <w:p>
      <w:pPr>
        <w:pStyle w:val="normal1"/>
        <w:widowControl/>
        <w:shd w:val="clear" w:fill="auto"/>
        <w:spacing w:lineRule="auto" w:line="276" w:before="0" w:after="0"/>
        <w:ind w:hanging="0" w:start="0" w:end="0"/>
        <w:jc w:val="star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3671570"/>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6120130" cy="3671570"/>
                    </a:xfrm>
                    <a:prstGeom prst="rect">
                      <a:avLst/>
                    </a:prstGeom>
                  </pic:spPr>
                </pic:pic>
              </a:graphicData>
            </a:graphic>
          </wp:anchor>
        </w:drawing>
      </w:r>
      <w:r>
        <w:rPr>
          <w:rFonts w:eastAsia="Liberation Serif" w:cs="Liberation Serif" w:ascii="Liberation Serif" w:hAnsi="Liberation Serif"/>
          <w:b/>
          <w:bCs/>
          <w:i w:val="false"/>
          <w:iCs w:val="false"/>
          <w:caps w:val="false"/>
          <w:smallCaps w:val="false"/>
          <w:strike w:val="false"/>
          <w:dstrike w:val="false"/>
          <w:color w:val="000000"/>
          <w:position w:val="0"/>
          <w:sz w:val="22"/>
          <w:sz w:val="22"/>
          <w:szCs w:val="22"/>
          <w:u w:val="none"/>
          <w:shd w:fill="auto" w:val="clear"/>
          <w:vertAlign w:val="baseline"/>
        </w:rPr>
        <w:t xml:space="preserve">Figure 7: </w:t>
      </w:r>
      <w:r>
        <w:rPr>
          <w:rFonts w:eastAsia="Liberation Serif" w:cs="Liberation Serif" w:ascii="Liberation Serif" w:hAnsi="Liberation Serif"/>
          <w:b w:val="false"/>
          <w:bCs w:val="false"/>
          <w:i w:val="false"/>
          <w:iCs w:val="false"/>
          <w:caps w:val="false"/>
          <w:smallCaps w:val="false"/>
          <w:strike w:val="false"/>
          <w:dstrike w:val="false"/>
          <w:color w:val="000000"/>
          <w:position w:val="0"/>
          <w:sz w:val="22"/>
          <w:sz w:val="22"/>
          <w:szCs w:val="22"/>
          <w:u w:val="none"/>
          <w:shd w:fill="auto" w:val="clear"/>
          <w:vertAlign w:val="baseline"/>
        </w:rPr>
        <w:t>Cumulative Incidence of Cardiovascular Death by Cancer Treatment</w:t>
      </w:r>
    </w:p>
    <w:p>
      <w:pPr>
        <w:pStyle w:val="BodyText"/>
        <w:bidi w:val="0"/>
        <w:spacing w:lineRule="auto" w:line="271" w:before="0" w:after="120"/>
        <w:ind w:hanging="0" w:start="0" w:end="0"/>
        <w:jc w:val="start"/>
        <w:rPr>
          <w:rFonts w:ascii="Google Sans Text;sans-serif" w:hAnsi="Google Sans Text;sans-serif"/>
          <w:color w:val="auto"/>
        </w:rPr>
      </w:pPr>
      <w:r>
        <w:rPr/>
      </w:r>
    </w:p>
    <w:p>
      <w:pPr>
        <w:pStyle w:val="BodyText"/>
        <w:bidi w:val="0"/>
        <w:spacing w:lineRule="auto" w:line="271" w:before="0" w:after="120"/>
        <w:ind w:hanging="0" w:start="0" w:end="0"/>
        <w:jc w:val="start"/>
        <w:rPr>
          <w:rFonts w:ascii="Google Sans Text;sans-serif" w:hAnsi="Google Sans Text;sans-serif"/>
          <w:color w:val="auto"/>
        </w:rPr>
      </w:pPr>
      <w:r>
        <w:rPr>
          <w:b/>
          <w:bCs/>
        </w:rPr>
        <w:t xml:space="preserve">Table </w:t>
      </w:r>
      <w:r>
        <w:rPr>
          <w:b/>
          <w:bCs/>
        </w:rPr>
        <w:t>11</w:t>
      </w:r>
      <w:r>
        <w:rPr>
          <w:b/>
          <w:bCs/>
        </w:rPr>
        <w:t xml:space="preserve">: </w:t>
      </w:r>
      <w:r>
        <w:rPr/>
        <w:t xml:space="preserve">Cumulative Incidence of Cardiovascular Mortality Among Long-term Ovarian Cancer Survivors, by </w:t>
      </w:r>
      <w:r>
        <w:rPr/>
        <w:t>Cancer Treatment</w:t>
      </w:r>
    </w:p>
    <w:tbl>
      <w:tblPr>
        <w:tblW w:w="9638" w:type="dxa"/>
        <w:jc w:val="start"/>
        <w:tblInd w:w="0" w:type="dxa"/>
        <w:tblLayout w:type="fixed"/>
        <w:tblCellMar>
          <w:top w:w="0" w:type="dxa"/>
          <w:start w:w="0" w:type="dxa"/>
          <w:bottom w:w="0" w:type="dxa"/>
          <w:end w:w="0" w:type="dxa"/>
        </w:tblCellMar>
      </w:tblPr>
      <w:tblGrid>
        <w:gridCol w:w="2339"/>
        <w:gridCol w:w="1122"/>
        <w:gridCol w:w="964"/>
        <w:gridCol w:w="1002"/>
        <w:gridCol w:w="1002"/>
        <w:gridCol w:w="1522"/>
        <w:gridCol w:w="1687"/>
      </w:tblGrid>
      <w:tr>
        <w:trPr/>
        <w:tc>
          <w:tcPr>
            <w:tcW w:w="2339"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 xml:space="preserve">Treatment </w:t>
            </w:r>
            <w:r>
              <w:rPr>
                <w:rStyle w:val="Strong"/>
                <w:rFonts w:ascii="Liberation Serif" w:hAnsi="Liberation Serif"/>
                <w:i w:val="false"/>
                <w:iCs w:val="false"/>
                <w:strike w:val="false"/>
                <w:dstrike w:val="false"/>
                <w:outline w:val="false"/>
                <w:shadow w:val="false"/>
                <w:color w:val="000000"/>
                <w:sz w:val="24"/>
                <w:szCs w:val="24"/>
                <w:u w:val="none"/>
              </w:rPr>
              <w:t>Groups</w:t>
            </w:r>
          </w:p>
        </w:tc>
        <w:tc>
          <w:tcPr>
            <w:tcW w:w="1122"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Cohort Size (N)</w:t>
            </w:r>
          </w:p>
        </w:tc>
        <w:tc>
          <w:tcPr>
            <w:tcW w:w="964"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Year 10 (60 mo)</w:t>
            </w:r>
          </w:p>
        </w:tc>
        <w:tc>
          <w:tcPr>
            <w:tcW w:w="1002"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Year 15 (120 mo)</w:t>
            </w:r>
          </w:p>
        </w:tc>
        <w:tc>
          <w:tcPr>
            <w:tcW w:w="1002"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Year 20 (180 mo)</w:t>
            </w:r>
          </w:p>
        </w:tc>
        <w:tc>
          <w:tcPr>
            <w:tcW w:w="1522"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Final Follow-up (Mo)</w:t>
            </w:r>
          </w:p>
        </w:tc>
        <w:tc>
          <w:tcPr>
            <w:tcW w:w="1687"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Final Incidence (95% CI)</w:t>
            </w:r>
          </w:p>
        </w:tc>
      </w:tr>
      <w:tr>
        <w:trPr/>
        <w:tc>
          <w:tcPr>
            <w:tcW w:w="2339"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Surgery Only</w:t>
            </w:r>
          </w:p>
        </w:tc>
        <w:tc>
          <w:tcPr>
            <w:tcW w:w="1122"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12,212</w:t>
            </w:r>
          </w:p>
        </w:tc>
        <w:tc>
          <w:tcPr>
            <w:tcW w:w="964"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1.82%</w:t>
            </w:r>
          </w:p>
        </w:tc>
        <w:tc>
          <w:tcPr>
            <w:tcW w:w="1002"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3.62%</w:t>
            </w:r>
          </w:p>
        </w:tc>
        <w:tc>
          <w:tcPr>
            <w:tcW w:w="1002"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5.83%</w:t>
            </w:r>
          </w:p>
        </w:tc>
        <w:tc>
          <w:tcPr>
            <w:tcW w:w="1522"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212.0</w:t>
            </w:r>
          </w:p>
        </w:tc>
        <w:tc>
          <w:tcPr>
            <w:tcW w:w="1687"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7.50% (6.31% – 8.82%)</w:t>
            </w:r>
          </w:p>
        </w:tc>
      </w:tr>
      <w:tr>
        <w:trPr/>
        <w:tc>
          <w:tcPr>
            <w:tcW w:w="2339"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Surgery + Chemotherapy</w:t>
            </w:r>
          </w:p>
        </w:tc>
        <w:tc>
          <w:tcPr>
            <w:tcW w:w="1122"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24,106</w:t>
            </w:r>
          </w:p>
        </w:tc>
        <w:tc>
          <w:tcPr>
            <w:tcW w:w="964"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1.14%</w:t>
            </w:r>
          </w:p>
        </w:tc>
        <w:tc>
          <w:tcPr>
            <w:tcW w:w="1002"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2.44%</w:t>
            </w:r>
          </w:p>
        </w:tc>
        <w:tc>
          <w:tcPr>
            <w:tcW w:w="1002"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3.92%</w:t>
            </w:r>
          </w:p>
        </w:tc>
        <w:tc>
          <w:tcPr>
            <w:tcW w:w="1522"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213.0</w:t>
            </w:r>
          </w:p>
        </w:tc>
        <w:tc>
          <w:tcPr>
            <w:tcW w:w="1687"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4.37% (3.90% – 4.87%)</w:t>
            </w:r>
          </w:p>
        </w:tc>
      </w:tr>
      <w:tr>
        <w:trPr/>
        <w:tc>
          <w:tcPr>
            <w:tcW w:w="2339"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Chemotherapy Alone</w:t>
            </w:r>
          </w:p>
        </w:tc>
        <w:tc>
          <w:tcPr>
            <w:tcW w:w="1122"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750</w:t>
            </w:r>
          </w:p>
        </w:tc>
        <w:tc>
          <w:tcPr>
            <w:tcW w:w="964"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2.87%</w:t>
            </w:r>
          </w:p>
        </w:tc>
        <w:tc>
          <w:tcPr>
            <w:tcW w:w="1002"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NR</w:t>
            </w:r>
            <w:r>
              <w:rPr>
                <w:rFonts w:ascii="Liberation Serif" w:hAnsi="Liberation Serif"/>
                <w:b w:val="false"/>
                <w:bCs w:val="false"/>
                <w:i w:val="false"/>
                <w:iCs w:val="false"/>
                <w:strike w:val="false"/>
                <w:dstrike w:val="false"/>
                <w:outline w:val="false"/>
                <w:shadow w:val="false"/>
                <w:color w:val="000000"/>
                <w:sz w:val="24"/>
                <w:szCs w:val="24"/>
                <w:u w:val="none"/>
                <w:vertAlign w:val="superscript"/>
              </w:rPr>
              <w:t>a</w:t>
            </w:r>
          </w:p>
        </w:tc>
        <w:tc>
          <w:tcPr>
            <w:tcW w:w="1002"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NR</w:t>
            </w:r>
            <w:r>
              <w:rPr>
                <w:rFonts w:ascii="Liberation Serif" w:hAnsi="Liberation Serif"/>
                <w:b w:val="false"/>
                <w:bCs w:val="false"/>
                <w:i w:val="false"/>
                <w:iCs w:val="false"/>
                <w:strike w:val="false"/>
                <w:dstrike w:val="false"/>
                <w:outline w:val="false"/>
                <w:shadow w:val="false"/>
                <w:color w:val="000000"/>
                <w:sz w:val="24"/>
                <w:szCs w:val="24"/>
                <w:u w:val="none"/>
                <w:vertAlign w:val="superscript"/>
              </w:rPr>
              <w:t>a</w:t>
            </w:r>
          </w:p>
        </w:tc>
        <w:tc>
          <w:tcPr>
            <w:tcW w:w="1522"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101.0</w:t>
            </w:r>
          </w:p>
        </w:tc>
        <w:tc>
          <w:tcPr>
            <w:tcW w:w="1687"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4.25% (2.77% – 6.20%)</w:t>
            </w:r>
          </w:p>
        </w:tc>
      </w:tr>
    </w:tbl>
    <w:p>
      <w:pPr>
        <w:pStyle w:val="BodyText"/>
        <w:bidi w:val="0"/>
        <w:spacing w:lineRule="auto" w:line="271" w:before="0" w:after="120"/>
        <w:ind w:hanging="0" w:start="0" w:end="0"/>
        <w:jc w:val="start"/>
        <w:rPr>
          <w:rFonts w:ascii="Liberation Serif" w:hAnsi="Liberation Serif"/>
          <w:color w:val="auto"/>
          <w:sz w:val="20"/>
          <w:szCs w:val="20"/>
        </w:rPr>
      </w:pPr>
      <w:r>
        <w:rPr>
          <w:b/>
          <w:bCs/>
          <w:color w:val="auto"/>
          <w:sz w:val="20"/>
          <w:szCs w:val="20"/>
        </w:rPr>
        <w:t>CI, Confidence Interval; NR, Not Reached.</w:t>
      </w:r>
    </w:p>
    <w:p>
      <w:pPr>
        <w:pStyle w:val="BodyText"/>
        <w:bidi w:val="0"/>
        <w:spacing w:lineRule="auto" w:line="271" w:before="0" w:after="120"/>
        <w:ind w:hanging="0" w:start="0" w:end="0"/>
        <w:jc w:val="start"/>
        <w:rPr>
          <w:rFonts w:ascii="Liberation Serif" w:hAnsi="Liberation Serif"/>
          <w:color w:val="auto"/>
          <w:sz w:val="20"/>
          <w:szCs w:val="20"/>
        </w:rPr>
      </w:pPr>
      <w:r>
        <w:rPr/>
      </w:r>
    </w:p>
    <w:p>
      <w:pPr>
        <w:pStyle w:val="Heading3"/>
        <w:widowControl/>
        <w:shd w:val="clear" w:fill="auto"/>
        <w:spacing w:lineRule="auto" w:line="276" w:before="0" w:after="0"/>
        <w:ind w:hanging="0" w:start="0" w:end="0"/>
        <w:jc w:val="start"/>
        <w:rPr>
          <w:rFonts w:ascii="Google Sans;sans-serif" w:hAnsi="Google Sans;sans-serif" w:eastAsia="Liberation Serif" w:cs="Liberation Serif"/>
          <w:b w:val="false"/>
          <w:bCs w:val="false"/>
          <w:i w:val="false"/>
          <w:i w:val="false"/>
          <w:iCs w:val="false"/>
          <w:caps w:val="false"/>
          <w:smallCaps w:val="false"/>
          <w:strike w:val="false"/>
          <w:dstrike w:val="false"/>
          <w:color w:val="000000"/>
          <w:sz w:val="22"/>
          <w:szCs w:val="22"/>
          <w:u w:val="none"/>
          <w:shd w:fill="auto" w:val="clear"/>
        </w:rPr>
      </w:pPr>
      <w:r>
        <w:rPr>
          <w:rFonts w:eastAsia="Liberation Serif" w:cs="Liberation Serif" w:ascii="Liberation Serif" w:hAnsi="Liberation Serif"/>
          <w:b/>
          <w:bCs/>
          <w:i w:val="false"/>
          <w:iCs w:val="false"/>
          <w:caps w:val="false"/>
          <w:smallCaps w:val="false"/>
          <w:strike w:val="false"/>
          <w:dstrike w:val="false"/>
          <w:color w:val="000000"/>
          <w:sz w:val="22"/>
          <w:szCs w:val="22"/>
          <w:u w:val="none"/>
          <w:shd w:fill="auto" w:val="clear"/>
        </w:rPr>
        <w:t xml:space="preserve">Table </w:t>
      </w:r>
      <w:r>
        <w:rPr>
          <w:rFonts w:eastAsia="Liberation Serif" w:cs="Liberation Serif" w:ascii="Liberation Serif" w:hAnsi="Liberation Serif"/>
          <w:b/>
          <w:bCs/>
          <w:i w:val="false"/>
          <w:iCs w:val="false"/>
          <w:caps w:val="false"/>
          <w:smallCaps w:val="false"/>
          <w:strike w:val="false"/>
          <w:dstrike w:val="false"/>
          <w:color w:val="000000"/>
          <w:sz w:val="22"/>
          <w:szCs w:val="22"/>
          <w:u w:val="none"/>
          <w:shd w:fill="auto" w:val="clear"/>
        </w:rPr>
        <w:t>12</w:t>
      </w:r>
      <w:r>
        <w:rPr>
          <w:rFonts w:eastAsia="Liberation Serif" w:cs="Liberation Serif" w:ascii="Liberation Serif" w:hAnsi="Liberation Serif"/>
          <w:b/>
          <w:bCs/>
          <w:i w:val="false"/>
          <w:iCs w:val="false"/>
          <w:caps w:val="false"/>
          <w:smallCaps w:val="false"/>
          <w:strike w:val="false"/>
          <w:dstrike w:val="false"/>
          <w:color w:val="000000"/>
          <w:sz w:val="22"/>
          <w:szCs w:val="22"/>
          <w:u w:val="none"/>
          <w:shd w:fill="auto" w:val="clear"/>
        </w:rPr>
        <w:t>:</w:t>
      </w:r>
      <w:r>
        <w:rPr>
          <w:rFonts w:eastAsia="Liberation Serif" w:cs="Liberation Serif" w:ascii="Liberation Serif" w:hAnsi="Liberation Serif"/>
          <w:b w:val="false"/>
          <w:bCs w:val="false"/>
          <w:i w:val="false"/>
          <w:iCs w:val="false"/>
          <w:caps w:val="false"/>
          <w:smallCaps w:val="false"/>
          <w:strike w:val="false"/>
          <w:dstrike w:val="false"/>
          <w:color w:val="000000"/>
          <w:sz w:val="22"/>
          <w:szCs w:val="22"/>
          <w:u w:val="none"/>
          <w:shd w:fill="auto" w:val="clear"/>
        </w:rPr>
        <w:t xml:space="preserve"> Fine-Gray Subdistribution Hazard Analysis of Cardiovascular Mortality by Cancer Treatment</w:t>
      </w:r>
    </w:p>
    <w:tbl>
      <w:tblPr>
        <w:tblW w:w="9337" w:type="dxa"/>
        <w:jc w:val="start"/>
        <w:tblInd w:w="0" w:type="dxa"/>
        <w:tblLayout w:type="fixed"/>
        <w:tblCellMar>
          <w:top w:w="0" w:type="dxa"/>
          <w:start w:w="0" w:type="dxa"/>
          <w:bottom w:w="0" w:type="dxa"/>
          <w:end w:w="0" w:type="dxa"/>
        </w:tblCellMar>
      </w:tblPr>
      <w:tblGrid>
        <w:gridCol w:w="3257"/>
        <w:gridCol w:w="3917"/>
        <w:gridCol w:w="1203"/>
        <w:gridCol w:w="960"/>
      </w:tblGrid>
      <w:tr>
        <w:trPr/>
        <w:tc>
          <w:tcPr>
            <w:tcW w:w="3257"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Treatment Groups</w:t>
            </w:r>
          </w:p>
        </w:tc>
        <w:tc>
          <w:tcPr>
            <w:tcW w:w="3917"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Subdistribution Hazard Ratio (sHR)</w:t>
            </w:r>
          </w:p>
        </w:tc>
        <w:tc>
          <w:tcPr>
            <w:tcW w:w="1203"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95% CI</w:t>
            </w:r>
          </w:p>
        </w:tc>
        <w:tc>
          <w:tcPr>
            <w:tcW w:w="960" w:type="dxa"/>
            <w:tcBorders>
              <w:top w:val="single" w:sz="6" w:space="0" w:color="000000"/>
              <w:bottom w:val="single" w:sz="6" w:space="0" w:color="000000"/>
            </w:tcBorders>
            <w:vAlign w:val="center"/>
          </w:tcPr>
          <w:p>
            <w:pPr>
              <w:pStyle w:val="TableContents"/>
              <w:spacing w:lineRule="auto" w:line="273" w:before="0" w:after="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Liberation Serif" w:hAnsi="Liberation Serif"/>
                <w:i w:val="false"/>
                <w:iCs w:val="false"/>
                <w:strike w:val="false"/>
                <w:dstrike w:val="false"/>
                <w:outline w:val="false"/>
                <w:shadow w:val="false"/>
                <w:color w:val="000000"/>
                <w:sz w:val="24"/>
                <w:szCs w:val="24"/>
                <w:u w:val="none"/>
              </w:rPr>
              <w:t>P-value</w:t>
            </w:r>
          </w:p>
        </w:tc>
      </w:tr>
      <w:tr>
        <w:trPr/>
        <w:tc>
          <w:tcPr>
            <w:tcW w:w="3257"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Surgery Only</w:t>
            </w:r>
          </w:p>
        </w:tc>
        <w:tc>
          <w:tcPr>
            <w:tcW w:w="3917"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1.00 (Ref)</w:t>
            </w:r>
          </w:p>
        </w:tc>
        <w:tc>
          <w:tcPr>
            <w:tcW w:w="1203"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c>
          <w:tcPr>
            <w:tcW w:w="960"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p>
        </w:tc>
      </w:tr>
      <w:tr>
        <w:trPr/>
        <w:tc>
          <w:tcPr>
            <w:tcW w:w="3257"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Surgery + Chemotherapy</w:t>
            </w:r>
          </w:p>
        </w:tc>
        <w:tc>
          <w:tcPr>
            <w:tcW w:w="3917"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0.63</w:t>
            </w:r>
          </w:p>
        </w:tc>
        <w:tc>
          <w:tcPr>
            <w:tcW w:w="1203"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0.56 – 0.72</w:t>
            </w:r>
          </w:p>
        </w:tc>
        <w:tc>
          <w:tcPr>
            <w:tcW w:w="960" w:type="dxa"/>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&lt;0.001</w:t>
            </w:r>
          </w:p>
        </w:tc>
      </w:tr>
      <w:tr>
        <w:trPr/>
        <w:tc>
          <w:tcPr>
            <w:tcW w:w="3257"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Chemotherapy Alone</w:t>
            </w:r>
          </w:p>
        </w:tc>
        <w:tc>
          <w:tcPr>
            <w:tcW w:w="3917"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1.07</w:t>
            </w:r>
          </w:p>
        </w:tc>
        <w:tc>
          <w:tcPr>
            <w:tcW w:w="1203"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0.72 – 1.59</w:t>
            </w:r>
          </w:p>
        </w:tc>
        <w:tc>
          <w:tcPr>
            <w:tcW w:w="960" w:type="dxa"/>
            <w:tcBorders>
              <w:bottom w:val="single" w:sz="6" w:space="0" w:color="000000"/>
            </w:tcBorders>
            <w:vAlign w:val="center"/>
          </w:tcPr>
          <w:p>
            <w:pPr>
              <w:pStyle w:val="TableContents"/>
              <w:spacing w:lineRule="auto" w:line="273" w:before="0" w:after="140"/>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0.725</w:t>
            </w:r>
          </w:p>
        </w:tc>
      </w:tr>
    </w:tbl>
    <w:p>
      <w:pPr>
        <w:pStyle w:val="Heading3"/>
        <w:widowControl/>
        <w:shd w:val="clear" w:fill="auto"/>
        <w:spacing w:lineRule="auto" w:line="276" w:before="0" w:after="0"/>
        <w:ind w:hanging="0" w:start="0" w:end="0"/>
        <w:jc w:val="start"/>
        <w:rPr>
          <w:rFonts w:ascii="Google Sans;sans-serif" w:hAnsi="Google Sans;sans-serif" w:eastAsia="Liberation Serif" w:cs="Liberation Serif"/>
          <w:b w:val="false"/>
          <w:bCs w:val="false"/>
          <w:i w:val="false"/>
          <w:i w:val="false"/>
          <w:iCs w:val="false"/>
          <w:caps w:val="false"/>
          <w:smallCaps w:val="false"/>
          <w:strike w:val="false"/>
          <w:dstrike w:val="false"/>
          <w:color w:val="000000"/>
          <w:sz w:val="22"/>
          <w:szCs w:val="22"/>
          <w:u w:val="none"/>
          <w:shd w:fill="auto" w:val="clear"/>
        </w:rPr>
      </w:pPr>
      <w:r>
        <w:rPr>
          <w:rFonts w:ascii="Liberation Serif" w:hAnsi="Liberation Serif"/>
          <w:b w:val="false"/>
          <w:bCs w:val="false"/>
          <w:color w:val="auto"/>
          <w:sz w:val="22"/>
          <w:szCs w:val="22"/>
        </w:rPr>
        <w:t xml:space="preserve">* </w:t>
      </w:r>
      <w:r>
        <w:rPr>
          <w:rFonts w:ascii="Liberation Serif" w:hAnsi="Liberation Serif"/>
          <w:b w:val="false"/>
          <w:bCs w:val="false"/>
          <w:color w:val="auto"/>
          <w:spacing w:val="0"/>
          <w:sz w:val="22"/>
          <w:szCs w:val="22"/>
        </w:rPr>
        <w:t>Data was shown as sHR (95% CI%). Ref, reference; sHR:  subdistribution hazard ratio; CI, confidence interval</w:t>
      </w:r>
      <w:r>
        <w:rPr>
          <w:rFonts w:eastAsia="Liberation Serif" w:cs="Liberation Serif" w:ascii="Liberation Serif" w:hAnsi="Liberation Serif"/>
          <w:b w:val="false"/>
          <w:bCs w:val="false"/>
          <w:i w:val="false"/>
          <w:iCs w:val="false"/>
          <w:caps w:val="false"/>
          <w:smallCaps w:val="false"/>
          <w:strike w:val="false"/>
          <w:dstrike w:val="false"/>
          <w:color w:val="000000"/>
          <w:spacing w:val="0"/>
          <w:sz w:val="22"/>
          <w:szCs w:val="22"/>
          <w:u w:val="none"/>
          <w:shd w:fill="auto" w:val="clear"/>
        </w:rPr>
        <w:br/>
      </w:r>
      <w:r>
        <w:br w:type="page"/>
      </w:r>
    </w:p>
    <w:p>
      <w:pPr>
        <w:pStyle w:val="Heading3"/>
        <w:widowControl/>
        <w:shd w:val="clear" w:fill="auto"/>
        <w:spacing w:lineRule="auto" w:line="331" w:before="0" w:after="0"/>
        <w:ind w:hanging="0" w:start="0" w:end="0"/>
        <w:jc w:val="start"/>
        <w:rPr>
          <w:rFonts w:ascii="Liberation Serif" w:hAnsi="Liberation Serif"/>
          <w:color w:val="auto"/>
          <w:sz w:val="24"/>
          <w:szCs w:val="24"/>
        </w:rPr>
      </w:pPr>
      <w:r>
        <w:rPr>
          <w:rFonts w:ascii="Liberation Serif" w:hAnsi="Liberation Serif"/>
          <w:b/>
          <w:bCs/>
          <w:color w:val="auto"/>
          <w:sz w:val="24"/>
          <w:szCs w:val="24"/>
        </w:rPr>
        <w:t>Study Population</w:t>
      </w:r>
    </w:p>
    <w:p>
      <w:pPr>
        <w:pStyle w:val="BodyText"/>
        <w:spacing w:lineRule="auto" w:line="273" w:before="0" w:after="140"/>
        <w:ind w:hanging="0" w:start="0" w:end="0"/>
        <w:rPr>
          <w:rFonts w:ascii="Liberation Serif" w:hAnsi="Liberation Serif"/>
          <w:color w:val="auto"/>
          <w:sz w:val="24"/>
          <w:szCs w:val="24"/>
        </w:rPr>
      </w:pPr>
      <w:r>
        <w:rPr>
          <w:rFonts w:ascii="Liberation Serif" w:hAnsi="Liberation Serif"/>
          <w:color w:val="auto"/>
          <w:sz w:val="24"/>
          <w:szCs w:val="24"/>
        </w:rPr>
        <w:t xml:space="preserve">The study cohort includes 38,148 women from the Surveillance, Epidemiology, and End Results (SEER) database diagnosed with a first primary, invasive ovarian cancer who survived at least five years (60 months) post-diagnosis. We tracked these long-term survivors across specific demographic, financial, and clinical coordinates: age at diagnosis, county-level median household income, geographic location (urban/metropolitan vs. rural/nonmetropolitan), stage at diagnosis (localized, regional, or distant), and race or ethnicity (Non-Hispanic White, Non-Hispanic Black, Hispanic, Asian/Pacific Islander, and American Indian/Alaska Native). Missing or unknown data for any specific factor disqualified that patient from that sub-analysis. Survival </w:t>
      </w:r>
      <w:r>
        <w:rPr>
          <w:rFonts w:ascii="Liberation Serif" w:hAnsi="Liberation Serif"/>
          <w:color w:val="auto"/>
          <w:sz w:val="24"/>
          <w:szCs w:val="24"/>
        </w:rPr>
        <w:t>time</w:t>
      </w:r>
      <w:r>
        <w:rPr>
          <w:rFonts w:ascii="Liberation Serif" w:hAnsi="Liberation Serif"/>
          <w:color w:val="auto"/>
          <w:sz w:val="24"/>
          <w:szCs w:val="24"/>
        </w:rPr>
        <w:t xml:space="preserve"> and cause of death came from SEER cause-specific death classification variables. The primary clinical endpoint was death from cardiovascular disease (CVD).</w:t>
      </w:r>
    </w:p>
    <w:p>
      <w:pPr>
        <w:pStyle w:val="Heading3"/>
        <w:spacing w:lineRule="auto" w:line="273" w:before="0" w:after="140"/>
        <w:ind w:hanging="0" w:start="0" w:end="0"/>
        <w:rPr>
          <w:rFonts w:ascii="Liberation Serif" w:hAnsi="Liberation Serif"/>
          <w:color w:val="auto"/>
          <w:sz w:val="24"/>
          <w:szCs w:val="24"/>
        </w:rPr>
      </w:pPr>
      <w:r>
        <w:rPr>
          <w:rFonts w:ascii="Liberation Serif" w:hAnsi="Liberation Serif"/>
          <w:color w:val="auto"/>
          <w:sz w:val="24"/>
          <w:szCs w:val="24"/>
        </w:rPr>
        <w:t>Treatment Analysis</w:t>
      </w:r>
    </w:p>
    <w:p>
      <w:pPr>
        <w:pStyle w:val="BodyText"/>
        <w:spacing w:lineRule="auto" w:line="273" w:before="0" w:after="140"/>
        <w:ind w:hanging="0" w:start="0" w:end="0"/>
        <w:rPr>
          <w:rFonts w:ascii="Liberation Serif" w:hAnsi="Liberation Serif"/>
          <w:color w:val="auto"/>
          <w:sz w:val="24"/>
          <w:szCs w:val="24"/>
        </w:rPr>
      </w:pPr>
      <w:r>
        <w:rPr>
          <w:rFonts w:ascii="Liberation Serif" w:hAnsi="Liberation Serif"/>
          <w:color w:val="auto"/>
          <w:sz w:val="24"/>
          <w:szCs w:val="24"/>
        </w:rPr>
        <w:t>To focus on active clinical pathways, we excluded patients who received no treatment or had an unknown status, leaving an active treatment cohort of 37,068 women. We sorted these individuals into three groups: surgery only (surgical resection with no chemotherapy), surgery combined with chemotherapy, and chemotherapy alone without surgical resection. Because radiation therapy is not a standard primary treatment for ovarian cancer, we omitted tumor laterality and radiation sub-analyses, focusing entirely on the choice between localized surgical management and systemic chemotherapy exposure.</w:t>
      </w:r>
    </w:p>
    <w:p>
      <w:pPr>
        <w:pStyle w:val="BodyText"/>
        <w:spacing w:lineRule="auto" w:line="273" w:before="0" w:after="140"/>
        <w:ind w:hanging="0" w:start="0" w:end="0"/>
        <w:rPr>
          <w:rFonts w:ascii="Liberation Serif" w:hAnsi="Liberation Serif"/>
          <w:color w:val="auto"/>
          <w:sz w:val="24"/>
          <w:szCs w:val="24"/>
        </w:rPr>
      </w:pPr>
      <w:r>
        <w:rPr>
          <w:rFonts w:ascii="Liberation Serif" w:hAnsi="Liberation Serif"/>
          <w:color w:val="auto"/>
          <w:sz w:val="24"/>
          <w:szCs w:val="24"/>
        </w:rPr>
      </w:r>
    </w:p>
    <w:p>
      <w:pPr>
        <w:pStyle w:val="Heading3"/>
        <w:spacing w:lineRule="auto" w:line="273" w:before="0" w:after="140"/>
        <w:ind w:hanging="0" w:start="0" w:end="0"/>
        <w:rPr>
          <w:rFonts w:ascii="Liberation Serif" w:hAnsi="Liberation Serif"/>
          <w:color w:val="auto"/>
          <w:sz w:val="24"/>
          <w:szCs w:val="24"/>
        </w:rPr>
      </w:pPr>
      <w:r>
        <w:rPr>
          <w:rFonts w:ascii="Liberation Serif" w:hAnsi="Liberation Serif"/>
          <w:color w:val="auto"/>
          <w:sz w:val="24"/>
          <w:szCs w:val="24"/>
        </w:rPr>
        <w:t>Statistical Analysis</w:t>
      </w:r>
    </w:p>
    <w:p>
      <w:pPr>
        <w:pStyle w:val="BodyText"/>
        <w:spacing w:lineRule="auto" w:line="273" w:before="0" w:after="140"/>
        <w:ind w:hanging="0" w:start="0" w:end="0"/>
        <w:rPr/>
      </w:pPr>
      <w:r>
        <w:rPr>
          <w:rFonts w:ascii="Liberation Serif" w:hAnsi="Liberation Serif"/>
          <w:color w:val="auto"/>
          <w:sz w:val="24"/>
          <w:szCs w:val="24"/>
        </w:rPr>
        <w:t xml:space="preserve">We used the Aalen-Johansen estimator to calculate the cumulative incidence of CVD mortality. All non-CVD deaths—including ovarian cancer-specific mortality—were treated as competing events. Absolute risk was calculated at 10, 15, and 20 years from the five-year survivorship mark (months 60, 120, and 180). To prevent tail-end data noise from creating artifacts, we truncated final incidence curves and 95% confidence intervals (CIs) the moment a group's at-risk population fell below 100. We ran unadjusted incidence analyses and visualizations in Python (version 3.13.12) using the </w:t>
      </w:r>
      <w:r>
        <w:rPr>
          <w:rStyle w:val="SourceText"/>
          <w:color w:val="auto"/>
          <w:sz w:val="24"/>
          <w:szCs w:val="24"/>
        </w:rPr>
        <w:t>lifelines</w:t>
      </w:r>
      <w:r>
        <w:rPr>
          <w:rFonts w:ascii="Liberation Serif" w:hAnsi="Liberation Serif"/>
          <w:color w:val="auto"/>
          <w:sz w:val="24"/>
          <w:szCs w:val="24"/>
        </w:rPr>
        <w:t xml:space="preserve"> package.</w:t>
      </w:r>
    </w:p>
    <w:p>
      <w:pPr>
        <w:pStyle w:val="BodyText"/>
        <w:rPr/>
      </w:pPr>
      <w:r>
        <w:rPr/>
        <w:t xml:space="preserve">To evaluate how individual variables affected CVD mortality while accounting for these competing risks, we constructed univariable Fine-Gray proportional subdistribution hazard models to yield subdistribution hazard ratios (sHRs) and 95% CIs. Baseline reference groups were set explicitly: ages 20–39, Non-Hispanic White, a median household income of $100,000+, urban (metropolitan) geography, localized stage, and surgery only. All hazard modeling were calculated in RStudio (version 4.3.3) using the </w:t>
      </w:r>
      <w:r>
        <w:rPr>
          <w:rStyle w:val="SourceText"/>
        </w:rPr>
        <w:t>survival</w:t>
      </w:r>
      <w:r>
        <w:rPr/>
        <w:t xml:space="preserve"> package. We defined statistical significance as a two-sided </w:t>
      </w:r>
      <w:r>
        <w:rPr>
          <w:i/>
        </w:rPr>
        <w:t>P</w:t>
      </w:r>
      <w:r>
        <w:rPr/>
        <w:t>-value &lt; 0.05.</w:t>
      </w:r>
    </w:p>
    <w:p>
      <w:pPr>
        <w:pStyle w:val="normal1"/>
        <w:widowControl/>
        <w:shd w:val="clear" w:fill="auto"/>
        <w:spacing w:lineRule="auto" w:line="331" w:before="0" w:after="0"/>
        <w:ind w:hanging="0" w:start="0" w:end="0"/>
        <w:jc w:val="start"/>
        <w:rPr>
          <w:rFonts w:ascii="Liberation Serif" w:hAnsi="Liberation Serif"/>
          <w:color w:val="auto"/>
          <w:sz w:val="24"/>
          <w:szCs w:val="24"/>
        </w:rPr>
      </w:pPr>
      <w:r>
        <w:rPr>
          <w:rFonts w:ascii="Liberation Serif" w:hAnsi="Liberation Serif"/>
          <w:color w:val="auto"/>
          <w:sz w:val="24"/>
          <w:szCs w:val="24"/>
        </w:rPr>
      </w:r>
    </w:p>
    <w:p>
      <w:pPr>
        <w:pStyle w:val="normal1"/>
        <w:widowControl/>
        <w:shd w:val="clear" w:fill="auto"/>
        <w:spacing w:lineRule="auto" w:line="331" w:before="0" w:after="0"/>
        <w:ind w:hanging="0" w:start="0" w:end="0"/>
        <w:jc w:val="start"/>
        <w:rPr>
          <w:rFonts w:ascii="Liberation Serif" w:hAnsi="Liberation Serif"/>
          <w:b/>
          <w:bCs/>
          <w:color w:val="auto"/>
          <w:sz w:val="24"/>
          <w:szCs w:val="24"/>
        </w:rPr>
      </w:pPr>
      <w:r>
        <w:rPr>
          <w:rFonts w:ascii="Liberation Serif" w:hAnsi="Liberation Serif"/>
          <w:b/>
          <w:bCs/>
          <w:color w:val="auto"/>
          <w:sz w:val="24"/>
          <w:szCs w:val="24"/>
        </w:rPr>
      </w:r>
    </w:p>
    <w:sect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Google Sans Text">
    <w:altName w:val="sans-serif"/>
    <w:charset w:val="01" w:characterSet="utf-8"/>
    <w:family w:val="roman"/>
    <w:pitch w:val="variable"/>
  </w:font>
  <w:font w:name="Google Sans">
    <w:altName w:val="sans-serif"/>
    <w:charset w:val="01" w:characterSet="utf-8"/>
    <w:family w:val="roman"/>
    <w:pitch w:val="variable"/>
  </w:font>
  <w:font w:name="Liberation Serif">
    <w:altName w:val="Times New Roman"/>
    <w:charset w:val="00" w:characterSet="windows-1252"/>
    <w:family w:val="roman"/>
    <w:pitch w:val="variable"/>
  </w:font>
  <w:font w:name="Google Sans Text">
    <w:altName w:val="sans-serif"/>
    <w:charset w:val="01" w:characterSet="utf-8"/>
    <w:family w:val="auto"/>
    <w:pitch w:val="default"/>
  </w:font>
</w:fonts>
</file>

<file path=word/settings.xml><?xml version="1.0" encoding="utf-8"?>
<w:settings xmlns:w="http://schemas.openxmlformats.org/wordprocessingml/2006/main">
  <w:zoom w:percent="75"/>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character" w:styleId="DefaultParagraphFont">
    <w:name w:val="Default Paragraph Font"/>
    <w:qFormat/>
    <w:rPr/>
  </w:style>
  <w:style w:type="character" w:styleId="Strong">
    <w:name w:val="Strong"/>
    <w:basedOn w:val="DefaultParagraphFont"/>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bidi w:val="0"/>
      <w:spacing w:lineRule="auto" w:line="276" w:before="0" w:after="200"/>
      <w:jc w:val="start"/>
    </w:pPr>
    <w:rPr>
      <w:rFonts w:ascii="Cambria" w:hAnsi="Cambria" w:eastAsia="Cambria" w:cs="Cambria"/>
      <w:color w:val="auto"/>
      <w:kern w:val="0"/>
      <w:sz w:val="22"/>
      <w:szCs w:val="22"/>
      <w:lang w:val="en-US" w:eastAsia="zh-CN" w:bidi="hi-IN"/>
    </w:rPr>
  </w:style>
  <w:style w:type="paragraph" w:styleId="TableContents">
    <w:name w:val="Table Contents"/>
    <w:basedOn w:val="normal1"/>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3164</TotalTime>
  <Application>LibreOffice/24.2.7.2$Linux_X86_64 LibreOffice_project/420$Build-2</Application>
  <AppVersion>15.0000</AppVersion>
  <Pages>12</Pages>
  <Words>1946</Words>
  <Characters>11525</Characters>
  <CharactersWithSpaces>13051</CharactersWithSpaces>
  <Paragraphs>475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2026-05-29T23:15:22Z</dcterms:created>
  <dc:creator/>
  <dc:description/>
  <dc:language>en-US</dc:language>
  <cp:lastModifiedBy/>
  <dcterms:modified xsi:type="dcterms:W3CDTF">2026-06-04T03:41:51Z</dcterms:modified>
  <cp:revision>166</cp:revision>
  <dc:subject/>
  <dc:title/>
</cp:coreProperties>
</file>

<file path=docProps/custom.xml><?xml version="1.0" encoding="utf-8"?>
<Properties xmlns="http://schemas.openxmlformats.org/officeDocument/2006/custom-properties" xmlns:vt="http://schemas.openxmlformats.org/officeDocument/2006/docPropsVTypes"/>
</file>