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lockQuotation"/>
        <w:spacing w:before="0" w:after="283"/>
        <w:ind w:hanging="0" w:start="0" w:end="567"/>
        <w:rPr/>
      </w:pPr>
      <w:r>
        <w:rPr>
          <w:rFonts w:ascii="Liberation Serif" w:hAnsi="Liberation Serif"/>
          <w:b/>
          <w:color w:val="auto"/>
        </w:rPr>
        <w:t>Impact of Age at Diagnosis on Cardiovascular Mortality</w:t>
      </w:r>
    </w:p>
    <w:p>
      <w:pPr>
        <w:pStyle w:val="BodyText"/>
        <w:spacing w:lineRule="auto" w:line="273" w:before="0" w:after="283"/>
        <w:ind w:hanging="0" w:start="0" w:end="567"/>
        <w:rPr>
          <w:rFonts w:ascii="Liberation Serif" w:hAnsi="Liberation Serif"/>
        </w:rPr>
      </w:pPr>
      <w:r>
        <w:rPr>
          <w:rFonts w:ascii="Liberation Serif" w:hAnsi="Liberation Serif"/>
          <w:color w:val="auto"/>
        </w:rPr>
        <w:t>Advancing age at diagnosis was profoundly associated with an increased cumulative incidence of cardiovascular mortality. Among long-term survivors, the risk expanded exponentially across age brackets at all clinical milestones. By Year 10 post-milestone, the cumulative incidence was minimal in the youngest cohort (0.09% for 20-39 years) but rose drastically in older populations, reaching 2.24% for those aged 60-79, and 11.02% for those 80 years and older. The final cumulative incidence terminated at 0.84% (95% CI: 0.31% – 1.92%) for the youngest bracket compared to 16.41% (95% CI: 14.36% – 18.58%) for the oldest bracket.</w:t>
      </w:r>
    </w:p>
    <w:p>
      <w:pPr>
        <w:pStyle w:val="BodyText"/>
        <w:spacing w:lineRule="auto" w:line="273" w:before="0" w:after="140"/>
        <w:ind w:hanging="0" w:start="0" w:end="0"/>
        <w:rPr>
          <w:rFonts w:ascii="Liberation Serif" w:hAnsi="Liberation Serif"/>
        </w:rPr>
      </w:pPr>
      <w:r>
        <w:rPr>
          <w:rFonts w:ascii="Liberation Serif" w:hAnsi="Liberation Serif"/>
        </w:rPr>
        <w:t>To quantify this disparity while strictly accounting for the competing  risks of cancer and other causes of death, a Fine-Gray subdistribution hazard model was employed. Setting the 20–39 age bracket as the baseline reference, the subdistribution hazard ratio (sHR) increased progressively with age. Women diagnosed between 40–59 years demonstrated a significantly higher hazard of cardiovascular mortality (sHR: 3.92, 95% CI: 2.19–7.01; p &lt; 0.001). This disparity became highly pronounced in older cohorts, with the 60–79 cohort exhibiting a 17-fold increase (sHR: 17.08, 95% CI: 9.66–30.21; p &lt; 0.001), and the $\ge$80 cohort demonstrating an over 58-fold increase (sHR: 58.35, 95% CI: 32.71–104.08; p &lt; 0.001). The overarching model demonstrated robust predictive accuracy, yielding a Concordance index (C-index) of 0.758 (SE = 0.007).</w:t>
      </w:r>
    </w:p>
    <w:p>
      <w:pPr>
        <w:pStyle w:val="BodyText"/>
        <w:spacing w:lineRule="auto" w:line="273" w:before="0" w:after="140"/>
        <w:ind w:hanging="0" w:start="0" w:end="0"/>
        <w:rPr>
          <w:b/>
          <w:color w:val="auto"/>
        </w:rPr>
      </w:pPr>
      <w:r>
        <w:rPr>
          <w:rFonts w:ascii="Liberation Serif" w:hAnsi="Liberation Serif"/>
        </w:rPr>
      </w:r>
    </w:p>
    <w:p>
      <w:pPr>
        <w:pStyle w:val="BodyText"/>
        <w:spacing w:lineRule="auto" w:line="273" w:before="0" w:after="140"/>
        <w:ind w:hanging="0" w:start="0" w:end="0"/>
        <w:rPr>
          <w:rFonts w:ascii="Liberation Serif" w:hAnsi="Liberation Serif"/>
        </w:rPr>
      </w:pPr>
      <w:r>
        <w:rPr>
          <w:rFonts w:ascii="Liberation Serif" w:hAnsi="Liberation Serif"/>
          <w:b/>
          <w:color w:val="auto"/>
        </w:rPr>
        <w:t xml:space="preserve">Socioeconomic </w:t>
      </w:r>
      <w:r>
        <w:rPr>
          <w:rFonts w:ascii="Liberation Serif" w:hAnsi="Liberation Serif"/>
          <w:b/>
          <w:color w:val="auto"/>
        </w:rPr>
        <w:t>(Income)</w:t>
      </w:r>
      <w:r>
        <w:rPr>
          <w:rFonts w:ascii="Liberation Serif" w:hAnsi="Liberation Serif"/>
          <w:b/>
          <w:color w:val="auto"/>
        </w:rPr>
        <w:t xml:space="preserve"> Disparities in Cardiovascular Mortality</w:t>
      </w:r>
    </w:p>
    <w:p>
      <w:pPr>
        <w:pStyle w:val="BodyText"/>
        <w:spacing w:lineRule="auto" w:line="273" w:before="0" w:after="140"/>
        <w:ind w:hanging="0" w:start="0" w:end="0"/>
        <w:rPr>
          <w:rFonts w:ascii="Liberation Serif" w:hAnsi="Liberation Serif"/>
        </w:rPr>
      </w:pPr>
      <w:r>
        <w:rPr>
          <w:rFonts w:ascii="Liberation Serif" w:hAnsi="Liberation Serif"/>
        </w:rPr>
        <w:t>Lower median household income was associated with a progressively higher cumulative incidence of cardiovascular mortality among long-term ovarian cancer survivors. At every clinical milestone, women residing in lower-income counties exhibited an increased cardiovascular burden. By Year 20 post-milestone, the cumulative incidence was lowest in the highest income bracket ($3.85\%$ for $\ge\$100,000$) but rose significantly in lower-income populations, reaching $4.74\%$ for the middle-income bracket and $6.87\%$ for those in the lowest income bracket ($&lt;\$60,000$). The final cumulative incidence terminated at $4.53\%$ ($95\%$ CI: $3.79\%$ – $5.36\%$) for the highest income cohort compared to $7.14\%$ ($95\%$ CI: $5.78\%$ – $8.68\%$) for the lowest income cohort.</w:t>
      </w:r>
    </w:p>
    <w:p>
      <w:pPr>
        <w:pStyle w:val="BodyText"/>
        <w:spacing w:lineRule="auto" w:line="273" w:before="0" w:after="140"/>
        <w:ind w:hanging="0" w:start="0" w:end="0"/>
        <w:rPr>
          <w:rFonts w:ascii="Liberation Serif" w:hAnsi="Liberation Serif"/>
        </w:rPr>
      </w:pPr>
      <w:r>
        <w:rPr>
          <w:rFonts w:ascii="Liberation Serif" w:hAnsi="Liberation Serif"/>
        </w:rPr>
        <w:t>To quantify this disparity while strictly accounting for the competing risks of cancer and other causes of death, a Fine-Gray subdistribution hazard model was employed. Setting the $\ge\$100,000$ income bracket as the baseline reference, the subdistribution hazard ratio ($sHR$) increased as median household income decreased. Women in the middle-income bracket ($\$60,000 - \$99,999$) demonstrated a $20\%$ higher hazard of cardiovascular mortality ($sHR$: $1.20$, $95\%$ CI: $1.03$–$1.40$; $p = 0.023$). This risk was most pronounced in the lowest income bracket ($&lt;\$60,000$), which exhibited a $58\%$ increased hazard of cardiovascular death relative to high-income survivors ($sHR$: $1.58$, $95\%$ CI: $1.28$–$1.96$; $p &lt; 0.001$). The overarching model demonstrated predictive validity with a Concordance index ($C$-index) of $0.529$ ($SE = 0.008$).</w:t>
      </w:r>
    </w:p>
    <w:p>
      <w:pPr>
        <w:pStyle w:val="BlockQuotation"/>
        <w:spacing w:lineRule="auto" w:line="273" w:before="0" w:after="283"/>
        <w:ind w:hanging="0" w:start="0" w:end="567"/>
        <w:rPr>
          <w:rFonts w:ascii="Liberation Serif" w:hAnsi="Liberation Serif"/>
        </w:rPr>
      </w:pPr>
      <w:r>
        <w:rPr>
          <w:rFonts w:ascii="Liberation Serif" w:hAnsi="Liberation Serif"/>
        </w:rPr>
      </w:r>
    </w:p>
    <w:p>
      <w:pPr>
        <w:pStyle w:val="BlockQuotation"/>
        <w:spacing w:lineRule="auto" w:line="273" w:before="0" w:after="283"/>
        <w:ind w:hanging="0" w:start="0" w:end="567"/>
        <w:rPr>
          <w:rFonts w:ascii="Liberation Serif" w:hAnsi="Liberation Serif"/>
          <w:color w:val="auto"/>
        </w:rPr>
      </w:pPr>
      <w:r>
        <w:rPr>
          <w:rFonts w:ascii="Liberation Serif" w:hAnsi="Liberation Serif"/>
          <w:color w:val="auto"/>
        </w:rPr>
      </w:r>
    </w:p>
    <w:p>
      <w:pPr>
        <w:pStyle w:val="BodyText"/>
        <w:widowControl/>
        <w:spacing w:before="0" w:after="0"/>
        <w:ind w:hanging="0" w:start="0" w:end="0"/>
        <w:rPr>
          <w:rFonts w:ascii="Liberation Serif" w:hAnsi="Liberation Serif"/>
        </w:rPr>
      </w:pPr>
      <w:r>
        <w:rPr>
          <w:rFonts w:ascii="Liberation Serif" w:hAnsi="Liberation Serif"/>
          <w:b/>
          <w:bCs/>
          <w:i w:val="false"/>
          <w:caps w:val="false"/>
          <w:smallCaps w:val="false"/>
          <w:color w:val="auto"/>
          <w:spacing w:val="0"/>
          <w:sz w:val="24"/>
        </w:rPr>
        <w:t>Racial and Ethnic Disparities in Cardiovascular Mortality</w:t>
      </w:r>
    </w:p>
    <w:p>
      <w:pPr>
        <w:pStyle w:val="BodyText"/>
        <w:widowControl/>
        <w:spacing w:before="0" w:after="0"/>
        <w:ind w:hanging="0" w:start="0" w:end="0"/>
        <w:rPr>
          <w:b/>
          <w:bCs/>
          <w:i w:val="false"/>
          <w:i w:val="false"/>
          <w:caps w:val="false"/>
          <w:smallCaps w:val="false"/>
          <w:color w:val="auto"/>
          <w:spacing w:val="0"/>
          <w:sz w:val="24"/>
        </w:rPr>
      </w:pPr>
      <w:r>
        <w:rPr>
          <w:rFonts w:ascii="Liberation Serif" w:hAnsi="Liberation Serif"/>
        </w:rPr>
      </w:r>
    </w:p>
    <w:p>
      <w:pPr>
        <w:pStyle w:val="BodyText"/>
        <w:widowControl/>
        <w:spacing w:before="0" w:after="0"/>
        <w:ind w:hanging="0" w:start="0" w:end="0"/>
        <w:rPr>
          <w:rFonts w:ascii="Liberation Serif" w:hAnsi="Liberation Serif"/>
        </w:rPr>
      </w:pPr>
      <w:r>
        <w:rPr>
          <w:rFonts w:ascii="Liberation Serif" w:hAnsi="Liberation Serif"/>
          <w:b w:val="false"/>
          <w:i w:val="false"/>
          <w:caps w:val="false"/>
          <w:smallCaps w:val="false"/>
          <w:color w:val="auto"/>
          <w:spacing w:val="0"/>
          <w:sz w:val="24"/>
        </w:rPr>
        <w:t>Significant racial and ethnic disparities were observed in the cumulative incidence of cardiovascular mortality among long-term ovarian cancer survivors. While all groups showed a progressive increase in risk over time, the magnitude of this burden varied notably. By Year 20 post-milestone, the cumulative incidence of cardiovascular death was highest among Non-Hispanic Black survivors (6.11%) and Non-Hispanic White survivors (5.03%), followed by Hispanic survivors (4.03%) and Asian/Pacific Islander survivors (1.91%). The final cumulative incidence terminated at 6.12% ($95\%$ CI: $5.47\%$ – $6.81\%$) for the Non-Hispanic White cohort compared to 2.66% ($95\%$ CI: $1.62\%$ – $4.12\%$) for the Asian/Pacific Islander cohort. For the American Indian/Alaska Native cohort, the final estimate was 0.42% ($95\%$ CI: $0.04\%$ – $2.18\%$), though estimates were truncated at 82 months due to the at-risk population falling below the stability threshold.</w:t>
      </w:r>
    </w:p>
    <w:p>
      <w:pPr>
        <w:pStyle w:val="BodyText"/>
        <w:spacing w:lineRule="auto" w:line="273" w:before="0" w:after="140"/>
        <w:ind w:hanging="0" w:start="0" w:end="0"/>
        <w:rPr>
          <w:rFonts w:ascii="Liberation Serif" w:hAnsi="Liberation Serif"/>
        </w:rPr>
      </w:pPr>
      <w:r>
        <w:rPr>
          <w:rFonts w:ascii="Liberation Serif" w:hAnsi="Liberation Serif"/>
        </w:rPr>
      </w:r>
    </w:p>
    <w:p>
      <w:pPr>
        <w:pStyle w:val="BodyText"/>
        <w:spacing w:lineRule="auto" w:line="273" w:before="0" w:after="140"/>
        <w:ind w:hanging="0" w:start="0" w:end="0"/>
        <w:rPr>
          <w:rFonts w:ascii="Liberation Serif" w:hAnsi="Liberation Serif"/>
        </w:rPr>
      </w:pPr>
      <w:r>
        <w:rPr>
          <w:rFonts w:ascii="Liberation Serif" w:hAnsi="Liberation Serif"/>
        </w:rPr>
        <w:t>To quantify these disparities while strictly accounting for the competing risks of cancer and other causes of death, a Fine-Gray subdistribution hazard model was employed with Non-Hispanic White survivors as the baseline reference. There was no statistically significant difference in the hazard of cardiovascular mortality between Non-Hispanic Black and Non-Hispanic White survivors ($sHR$: $1.12$, $95\%$ CI: $0.89$–$1.41$; $p = 0.347$). Conversely, Hispanic survivors demonstrated a significantly lower hazard of cardiovascular mortality ($sHR$: $0.62$, $95\%$ CI: $0.50$–$0.77$; $p &lt; 0.001$). This protective effect was even more pronounced among Asian/Pacific Islander survivors, who exhibited a 61% reduction in the hazard of cardiovascular death relative to the reference group ($sHR$: $0.39$, $95\%$ CI: $0.29$–$0.54$; $p &lt; 0.001$). The overarching model yielded a Concordance index (C-index) of $0.554$ (SE = $0.006$).</w:t>
      </w:r>
    </w:p>
    <w:p>
      <w:pPr>
        <w:pStyle w:val="BlockQuotation"/>
        <w:widowControl/>
        <w:spacing w:before="0" w:after="0"/>
        <w:ind w:hanging="0" w:start="0" w:end="0"/>
        <w:rPr>
          <w:b w:val="false"/>
          <w:i w:val="false"/>
          <w:i w:val="false"/>
          <w:caps w:val="false"/>
          <w:smallCaps w:val="false"/>
          <w:color w:val="auto"/>
          <w:spacing w:val="0"/>
          <w:sz w:val="24"/>
        </w:rPr>
      </w:pPr>
      <w:r>
        <w:rPr>
          <w:rFonts w:ascii="Liberation Serif" w:hAnsi="Liberation Serif"/>
        </w:rPr>
      </w:r>
    </w:p>
    <w:p>
      <w:pPr>
        <w:pStyle w:val="Heading3"/>
        <w:widowControl/>
        <w:spacing w:before="0" w:after="0"/>
        <w:ind w:hanging="0" w:start="0" w:end="0"/>
        <w:rPr>
          <w:rFonts w:ascii="Liberation Serif" w:hAnsi="Liberation Serif"/>
          <w:b/>
          <w:bCs/>
        </w:rPr>
      </w:pPr>
      <w:r>
        <w:rPr>
          <w:rFonts w:ascii="Liberation Serif" w:hAnsi="Liberation Serif"/>
          <w:b/>
          <w:bCs/>
          <w:i w:val="false"/>
          <w:caps w:val="false"/>
          <w:smallCaps w:val="false"/>
          <w:color w:val="auto"/>
          <w:spacing w:val="0"/>
          <w:sz w:val="24"/>
        </w:rPr>
        <w:t>Geographic Disparities in Cardiovascular Mortality</w:t>
      </w:r>
    </w:p>
    <w:p>
      <w:pPr>
        <w:pStyle w:val="BodyText"/>
        <w:widowControl/>
        <w:spacing w:before="0" w:after="0"/>
        <w:ind w:hanging="0" w:start="0" w:end="0"/>
        <w:rPr>
          <w:i w:val="false"/>
          <w:i w:val="false"/>
          <w:caps w:val="false"/>
          <w:smallCaps w:val="false"/>
          <w:color w:val="auto"/>
          <w:spacing w:val="0"/>
          <w:sz w:val="24"/>
        </w:rPr>
      </w:pPr>
      <w:r>
        <w:rPr>
          <w:rFonts w:ascii="Liberation Serif" w:hAnsi="Liberation Serif"/>
          <w:b/>
          <w:bCs/>
        </w:rPr>
      </w:r>
    </w:p>
    <w:p>
      <w:pPr>
        <w:pStyle w:val="BodyText"/>
        <w:spacing w:lineRule="auto" w:line="273" w:before="0" w:after="140"/>
        <w:ind w:hanging="0" w:start="0" w:end="0"/>
        <w:rPr>
          <w:rFonts w:ascii="Liberation Serif" w:hAnsi="Liberation Serif"/>
        </w:rPr>
      </w:pPr>
      <w:r>
        <w:rPr>
          <w:rFonts w:ascii="Liberation Serif" w:hAnsi="Liberation Serif"/>
        </w:rPr>
        <w:t>Geographic location was significantly associated with a disparity in cardiovascular mortality among long-term ovarian cancer survivors. Rural residents consistently exhibited a higher cumulative incidence of cardiovascular death compared to urban residents across all clinical milestones. By Year 20 post-milestone, the cumulative incidence reached $6.40\%$ for the rural cohort compared to $4.47\%$ for the urban cohort. The final cumulative incidence terminated at $7.46\%$ ($95\%$ CI: $6.09\%$ – $9.01\%$) for rural survivors compared to $5.37\%$ ($95\%$ CI: $4.83\%$ – $5.94\%$) for urban survivors.</w:t>
      </w:r>
    </w:p>
    <w:p>
      <w:pPr>
        <w:pStyle w:val="BodyText"/>
        <w:spacing w:lineRule="auto" w:line="273" w:before="0" w:after="140"/>
        <w:ind w:hanging="0" w:start="0" w:end="0"/>
        <w:rPr>
          <w:rFonts w:ascii="Liberation Serif" w:hAnsi="Liberation Serif"/>
        </w:rPr>
      </w:pPr>
      <w:r>
        <w:rPr>
          <w:rFonts w:ascii="Liberation Serif" w:hAnsi="Liberation Serif"/>
        </w:rPr>
        <w:t>To quantify this geographic disparity while accounting for the competing risks of cancer and other causes of death, a Fine-Gray subdistribution hazard model was employed. Setting urban residence as the baseline reference, rural survivors demonstrated a significantly higher hazard of cardiovascular mortality. Survivors residing in rural (nonmetropolitan) counties exhibited a nearly $48\%$ increased hazard of cardiovascular death relative to those in urban counties ($sHR$: $1.48$, $95\%$ CI: $1.25$–$1.75$; $p &lt; 0.001$). The model yielded a Concordance index ($C$-index) of $0.520$ ($SE = 0.006$).</w:t>
      </w:r>
      <w:r>
        <w:br w:type="page"/>
      </w:r>
    </w:p>
    <w:p>
      <w:pPr>
        <w:pStyle w:val="Heading3"/>
        <w:spacing w:lineRule="auto" w:line="276" w:before="0" w:after="140"/>
        <w:ind w:hanging="0" w:start="0" w:end="567"/>
        <w:rPr>
          <w:rFonts w:ascii="Liberation Serif" w:hAnsi="Liberation Serif"/>
          <w:sz w:val="24"/>
          <w:szCs w:val="24"/>
        </w:rPr>
      </w:pPr>
      <w:r>
        <w:rPr>
          <w:rFonts w:ascii="Liberation Serif" w:hAnsi="Liberation Serif"/>
          <w:sz w:val="24"/>
          <w:szCs w:val="24"/>
        </w:rPr>
        <w:t>Impact of Cancer Stage on Cardiovascular Mortality</w:t>
      </w:r>
    </w:p>
    <w:p>
      <w:pPr>
        <w:pStyle w:val="BodyText"/>
        <w:spacing w:lineRule="auto" w:line="273" w:before="0" w:after="140"/>
        <w:ind w:hanging="0" w:start="0" w:end="0"/>
        <w:rPr>
          <w:rFonts w:ascii="Liberation Serif" w:hAnsi="Liberation Serif"/>
          <w:sz w:val="24"/>
          <w:szCs w:val="24"/>
        </w:rPr>
      </w:pPr>
      <w:r>
        <w:rPr>
          <w:rFonts w:ascii="Liberation Serif" w:hAnsi="Liberation Serif"/>
          <w:sz w:val="24"/>
          <w:szCs w:val="24"/>
        </w:rPr>
        <w:t>Cancer stage at diagnosis demonstrated a significant, albeit inverse, association with the cumulative incidence of cardiovascular mortality among long-term ovarian cancer survivors. Survivors originally diagnosed with localized disease exhibited the highest cardiovascular burden across all clinical milestones. By Year 20 post-milestone, the cumulative incidence of cardiovascular death reached $5.52\%$ for the localized cohort, compared to $4.81\%$ for the regional cohort and $4.01\%$ for the distant cohort. The final cumulative incidence terminated at $6.44\%$ ($95\%$ CI: $5.61\%$ – $7.34\%$) for localized survivors, significantly higher than the $4.76\%$ ($95\%$ CI: $4.09\%$ – $5.49\%$) observed in survivors of distant-stage disease.</w:t>
      </w:r>
    </w:p>
    <w:p>
      <w:pPr>
        <w:pStyle w:val="BodyText"/>
        <w:spacing w:lineRule="auto" w:line="273" w:before="0" w:after="140"/>
        <w:ind w:hanging="0" w:start="0" w:end="0"/>
        <w:rPr>
          <w:rFonts w:ascii="Liberation Serif" w:hAnsi="Liberation Serif"/>
          <w:sz w:val="24"/>
          <w:szCs w:val="24"/>
        </w:rPr>
      </w:pPr>
      <w:r>
        <w:rPr>
          <w:rFonts w:ascii="Liberation Serif" w:hAnsi="Liberation Serif"/>
          <w:sz w:val="24"/>
          <w:szCs w:val="24"/>
        </w:rPr>
        <w:t>To quantify this association while strictly accounting for the competing risks of cancer and other causes of death, a Fine-Gray subdistribution hazard model was employed with localized stage as the baseline reference. There was no statistically significant difference in the hazard of cardiovascular mortality between regional and localized survivors ($sHR$: $0.90$, $95\%$ CI: $0.77$–$1.04$; $p = 0.157$). However, survivors of distant-stage disease demonstrated a significantly lower hazard of cardiovascular mortality relative to the localized group ($sHR$: $0.77$, $95\%$ CI: $0.66$–$0.89$; $p &lt; 0.001$). This suggests that the high competing risk of cancer-specific mortality in advanced-stage survivors significantly reduces the likelihood of observing cardiovascular death compared to those with localized disease who have achieved a higher degree of oncological cure. The model demonstrated predictive validity with a Concordance index ($C$-index) of $0.525$ ($SE = 0.009$).</w:t>
      </w:r>
    </w:p>
    <w:p>
      <w:pPr>
        <w:pStyle w:val="BodyText"/>
        <w:spacing w:lineRule="auto" w:line="276" w:before="0" w:after="140"/>
        <w:ind w:hanging="0" w:start="0" w:end="567"/>
        <w:rPr>
          <w:rFonts w:ascii="Liberation Serif" w:hAnsi="Liberation Serif"/>
        </w:rPr>
      </w:pPr>
      <w:r>
        <w:rPr>
          <w:rFonts w:ascii="Liberation Serif" w:hAnsi="Liberation Serif"/>
        </w:rPr>
      </w:r>
    </w:p>
    <w:p>
      <w:pPr>
        <w:pStyle w:val="BlockQuotation"/>
        <w:spacing w:lineRule="auto" w:line="276"/>
        <w:ind w:hanging="0" w:start="0" w:end="567"/>
        <w:rPr>
          <w:rFonts w:ascii="Liberation Serif" w:hAnsi="Liberation Serif"/>
        </w:rPr>
      </w:pPr>
      <w:r>
        <w:rPr>
          <w:rFonts w:ascii="Liberation Serif" w:hAnsi="Liberation Serif"/>
        </w:rPr>
      </w:r>
      <w:r>
        <w:br w:type="page"/>
      </w:r>
    </w:p>
    <w:p>
      <w:pPr>
        <w:pStyle w:val="Heading3"/>
        <w:spacing w:lineRule="auto" w:line="276" w:before="0" w:after="140"/>
        <w:ind w:hanging="0" w:start="0" w:end="567"/>
        <w:rPr>
          <w:rFonts w:ascii="Liberation Serif" w:hAnsi="Liberation Serif"/>
          <w:color w:val="auto"/>
          <w:sz w:val="24"/>
          <w:szCs w:val="24"/>
        </w:rPr>
      </w:pPr>
      <w:r>
        <w:rPr>
          <w:rFonts w:ascii="Liberation Serif" w:hAnsi="Liberation Serif"/>
          <w:color w:val="auto"/>
          <w:sz w:val="24"/>
          <w:szCs w:val="24"/>
        </w:rPr>
        <w:t>Impact of Treatment Modality on Cardiovascular Mortality</w:t>
      </w:r>
    </w:p>
    <w:p>
      <w:pPr>
        <w:pStyle w:val="BodyText"/>
        <w:spacing w:lineRule="auto" w:line="273" w:before="0" w:after="140"/>
        <w:ind w:hanging="0" w:start="0" w:end="0"/>
        <w:rPr>
          <w:rFonts w:ascii="Liberation Serif" w:hAnsi="Liberation Serif"/>
          <w:sz w:val="24"/>
          <w:szCs w:val="24"/>
        </w:rPr>
      </w:pPr>
      <w:r>
        <w:rPr>
          <w:rFonts w:ascii="Liberation Serif" w:hAnsi="Liberation Serif"/>
          <w:sz w:val="24"/>
          <w:szCs w:val="24"/>
        </w:rPr>
        <w:t xml:space="preserve">Primary treatment modality was significantly associated with the long-term cumulative incidence of cardiovascular mortality among ovarian cancer survivors. Survivors treated with surgery only exhibited the highest cumulative incidence of cardiovascular death at nearly all clinical milestones. By Year 20 post-milestone, the cumulative incidence reached </w:t>
      </w:r>
      <w:r>
        <w:rPr>
          <w:rFonts w:ascii="Liberation Serif" w:hAnsi="Liberation Serif"/>
          <w:b/>
          <w:sz w:val="24"/>
          <w:szCs w:val="24"/>
        </w:rPr>
        <w:t>5.83%</w:t>
      </w:r>
      <w:r>
        <w:rPr>
          <w:rFonts w:ascii="Liberation Serif" w:hAnsi="Liberation Serif"/>
          <w:sz w:val="24"/>
          <w:szCs w:val="24"/>
        </w:rPr>
        <w:t xml:space="preserve"> for the surgery-only cohort, compared to </w:t>
      </w:r>
      <w:r>
        <w:rPr>
          <w:rFonts w:ascii="Liberation Serif" w:hAnsi="Liberation Serif"/>
          <w:b/>
          <w:sz w:val="24"/>
          <w:szCs w:val="24"/>
        </w:rPr>
        <w:t>3.92%</w:t>
      </w:r>
      <w:r>
        <w:rPr>
          <w:rFonts w:ascii="Liberation Serif" w:hAnsi="Liberation Serif"/>
          <w:sz w:val="24"/>
          <w:szCs w:val="24"/>
        </w:rPr>
        <w:t xml:space="preserve"> for those treated with both surgery and chemotherapy. The final cumulative incidence terminated at </w:t>
      </w:r>
      <w:r>
        <w:rPr>
          <w:rFonts w:ascii="Liberation Serif" w:hAnsi="Liberation Serif"/>
          <w:b/>
          <w:sz w:val="24"/>
          <w:szCs w:val="24"/>
        </w:rPr>
        <w:t>7.50%</w:t>
      </w:r>
      <w:r>
        <w:rPr>
          <w:rFonts w:ascii="Liberation Serif" w:hAnsi="Liberation Serif"/>
          <w:sz w:val="24"/>
          <w:szCs w:val="24"/>
        </w:rPr>
        <w:t xml:space="preserve"> (95% CI: 6.31% – 8.82%) for surgery-only survivors, significantly higher than the </w:t>
      </w:r>
      <w:r>
        <w:rPr>
          <w:rFonts w:ascii="Liberation Serif" w:hAnsi="Liberation Serif"/>
          <w:b/>
          <w:sz w:val="24"/>
          <w:szCs w:val="24"/>
        </w:rPr>
        <w:t>4.37%</w:t>
      </w:r>
      <w:r>
        <w:rPr>
          <w:rFonts w:ascii="Liberation Serif" w:hAnsi="Liberation Serif"/>
          <w:sz w:val="24"/>
          <w:szCs w:val="24"/>
        </w:rPr>
        <w:t xml:space="preserve"> (95% CI: 3.90% – 4.87%) observed in the surgery plus chemotherapy group. For survivors treated with chemotherapy alone, the final incidence was </w:t>
      </w:r>
      <w:r>
        <w:rPr>
          <w:rFonts w:ascii="Liberation Serif" w:hAnsi="Liberation Serif"/>
          <w:b/>
          <w:sz w:val="24"/>
          <w:szCs w:val="24"/>
        </w:rPr>
        <w:t>4.25%</w:t>
      </w:r>
      <w:r>
        <w:rPr>
          <w:rFonts w:ascii="Liberation Serif" w:hAnsi="Liberation Serif"/>
          <w:sz w:val="24"/>
          <w:szCs w:val="24"/>
        </w:rPr>
        <w:t xml:space="preserve"> (95% CI: 2.77% – 6.20%), truncated at 101 months.</w:t>
      </w:r>
    </w:p>
    <w:p>
      <w:pPr>
        <w:pStyle w:val="BodyText"/>
        <w:spacing w:lineRule="auto" w:line="273" w:before="0" w:after="140"/>
        <w:ind w:hanging="0" w:start="0" w:end="0"/>
        <w:rPr>
          <w:rFonts w:ascii="Liberation Serif" w:hAnsi="Liberation Serif"/>
          <w:sz w:val="24"/>
          <w:szCs w:val="24"/>
        </w:rPr>
      </w:pPr>
      <w:r>
        <w:rPr>
          <w:rFonts w:ascii="Liberation Serif" w:hAnsi="Liberation Serif"/>
          <w:sz w:val="24"/>
          <w:szCs w:val="24"/>
        </w:rPr>
        <w:t xml:space="preserve">To quantify these associations while strictly accounting for the competing risks of cancer and other causes of death, a Fine-Gray subdistribution hazard model was employed with surgery only as the baseline reference. Survivors treated with combined surgery and chemotherapy demonstrated a significantly lower hazard of cardiovascular mortality ($sHR$: 0.63, 95% CI: 0.56–0.72; $p &lt; 0.001$). Conversely, there was no statistically significant difference in the hazard of cardiovascular death between the chemotherapy-only and surgery-only cohorts ($sHR$: 1.07, 95% CI: 0.72–1.59; $p = 0.725$). These findings suggest that the higher cardiovascular mortality observed in the surgery-only cohort is likely driven by their superior oncological prognosis and extended survival duration, which increases the lifetime probability of a fatal cardiovascular event compared to systemic treatment cohorts. The model demonstrated predictive validity with a Concordance index (C-index) of </w:t>
      </w:r>
      <w:r>
        <w:rPr>
          <w:rFonts w:ascii="Liberation Serif" w:hAnsi="Liberation Serif"/>
          <w:b/>
          <w:sz w:val="24"/>
          <w:szCs w:val="24"/>
        </w:rPr>
        <w:t>0.557</w:t>
      </w:r>
      <w:r>
        <w:rPr>
          <w:rFonts w:ascii="Liberation Serif" w:hAnsi="Liberation Serif"/>
          <w:sz w:val="24"/>
          <w:szCs w:val="24"/>
        </w:rPr>
        <w:t xml:space="preserve"> ($SE = 0.009$).</w:t>
      </w:r>
    </w:p>
    <w:p>
      <w:pPr>
        <w:pStyle w:val="BodyText"/>
        <w:spacing w:lineRule="auto" w:line="276" w:before="0" w:after="140"/>
        <w:ind w:hanging="0" w:start="0" w:end="567"/>
        <w:rPr>
          <w:rFonts w:ascii="Liberation Serif" w:hAnsi="Liberation Serif"/>
          <w:color w:val="auto"/>
          <w:sz w:val="24"/>
          <w:szCs w:val="24"/>
        </w:rPr>
      </w:pPr>
      <w:r>
        <w:rPr>
          <w:rFonts w:ascii="Liberation Serif" w:hAnsi="Liberation Serif"/>
          <w:color w:val="auto"/>
          <w:sz w:val="24"/>
          <w:szCs w:val="24"/>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Cambria">
    <w:charset w:val="01" w:characterSet="utf-8"/>
    <w:family w:val="roman"/>
    <w:pitch w:val="variable"/>
  </w:font>
</w:fonts>
</file>

<file path=word/settings.xml><?xml version="1.0" encoding="utf-8"?>
<w:settings xmlns:w="http://schemas.openxmlformats.org/wordprocessingml/2006/main">
  <w:zoom w:percent="75"/>
  <w:defaultTabStop w:val="709"/>
  <w:autoHyphenation w:val="true"/>
  <w:hyphenationZone w:val="36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DefaultParagraphFont">
    <w:name w:val="Default Paragraph Font"/>
    <w:qFormat/>
    <w:rPr/>
  </w:style>
  <w:style w:type="character" w:styleId="Strong">
    <w:name w:val="Strong"/>
    <w:basedOn w:val="DefaultParagraphFont"/>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bidi w:val="0"/>
      <w:spacing w:lineRule="auto" w:line="276" w:before="0" w:after="200"/>
      <w:jc w:val="start"/>
    </w:pPr>
    <w:rPr>
      <w:rFonts w:ascii="Cambria" w:hAnsi="Cambria" w:eastAsia="Cambria" w:cs="Cambria"/>
      <w:color w:val="auto"/>
      <w:kern w:val="0"/>
      <w:sz w:val="22"/>
      <w:szCs w:val="22"/>
      <w:lang w:val="en-US" w:eastAsia="zh-CN" w:bidi="hi-IN"/>
    </w:rPr>
  </w:style>
  <w:style w:type="paragraph" w:styleId="TableContents">
    <w:name w:val="Table Contents"/>
    <w:basedOn w:val="normal1"/>
    <w:qFormat/>
    <w:pPr>
      <w:widowControl w:val="false"/>
      <w:suppressLineNumbers/>
    </w:pPr>
    <w:rPr/>
  </w:style>
  <w:style w:type="paragraph" w:styleId="BlockQuotation">
    <w:name w:val="Block Quotation"/>
    <w:basedOn w:val="Normal"/>
    <w:qFormat/>
    <w:pPr>
      <w:spacing w:before="0" w:after="283"/>
      <w:ind w:hanging="0" w:start="567" w:end="567"/>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1411</TotalTime>
  <Application>LibreOffice/24.2.7.2$Linux_X86_64 LibreOffice_project/420$Build-2</Application>
  <AppVersion>15.0000</AppVersion>
  <Pages>4</Pages>
  <Words>1381</Words>
  <Characters>8661</Characters>
  <CharactersWithSpaces>10023</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2026-04-28T10:31:44Z</dcterms:created>
  <dc:creator/>
  <dc:description/>
  <dc:language>en-US</dc:language>
  <cp:lastModifiedBy/>
  <dcterms:modified xsi:type="dcterms:W3CDTF">2026-06-04T02:28:52Z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