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shd w:val="clear" w:fill="auto"/>
        <w:spacing w:lineRule="auto" w:line="276" w:before="0" w:after="0"/>
        <w:ind w:hanging="0" w:start="0" w:end="0"/>
        <w:jc w:val="start"/>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SUBJECT: </w:t>
      </w:r>
      <w:bookmarkStart w:id="0" w:name="docs-internal-guid-fd9720c9-7fff-8e5d-80"/>
      <w:bookmarkEnd w:id="0"/>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highlight w:val="white"/>
          <w:u w:val="none"/>
          <w:effect w:val="none"/>
          <w:shd w:fill="auto" w:val="clear"/>
          <w:vertAlign w:val="baseline"/>
        </w:rPr>
        <w:t>Disparities in Cardiovascular Mortality Among Long-Term Ovarian Cancer Survivors: A Competing Risk Analysis.</w:t>
        <w:br/>
        <w:br/>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DATASET: </w:t>
        <w:tab/>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SEER Registry (2000-2016) | N = 38,148</w:t>
        <w:br/>
        <w:br/>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Study details: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This study used data from SEER records of patients diagnosed with cancer between 2000 and 2016, aged ≥ 20 years. The sample size for this study period was 6,412,621 patients. However, the study was focused on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ovarian cancer survivors and of our total sample size, only 38,148 patients were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survivors. The inclusion criteria for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survivors </w:t>
      </w:r>
      <w:r>
        <w:rPr>
          <w:rFonts w:eastAsia="Liberation Serif" w:cs="Liberation Serif" w:ascii="Liberation Serif" w:hAnsi="Liberation Serif"/>
          <w:color w:val="auto"/>
        </w:rPr>
        <w:t>were</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patients who </w:t>
      </w:r>
      <w:r>
        <w:rPr>
          <w:rFonts w:eastAsia="Liberation Serif" w:cs="Liberation Serif" w:ascii="Liberation Serif" w:hAnsi="Liberation Serif"/>
          <w:color w:val="auto"/>
        </w:rPr>
        <w:t>had</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survived ≥ 60 months (5+ years%). Table 1 shows the demographic and clinical characteristics of these </w:t>
      </w:r>
      <w:r>
        <w:rPr>
          <w:rFonts w:eastAsia="Liberation Serif" w:cs="Liberation Serif" w:ascii="Liberation Serif" w:hAnsi="Liberation Serif"/>
          <w:color w:val="auto"/>
        </w:rPr>
        <w:t>long-term</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survivors.</w:t>
        <w:br/>
      </w:r>
    </w:p>
    <w:p>
      <w:pPr>
        <w:pStyle w:val="Heading1"/>
        <w:spacing w:lineRule="auto" w:line="240" w:before="0" w:after="0"/>
        <w:rPr>
          <w:rFonts w:ascii="Arial" w:hAnsi="Arial" w:eastAsia="Arial" w:cs="Arial"/>
          <w:b w:val="false"/>
          <w:bCs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color w:val="auto"/>
          <w:sz w:val="22"/>
          <w:szCs w:val="22"/>
        </w:rPr>
        <w:t xml:space="preserve">Table 1: </w:t>
      </w:r>
      <w:r>
        <w:rPr>
          <w:rFonts w:eastAsia="Arial" w:cs="Arial" w:ascii="Liberation Serif" w:hAnsi="Liberation Serif"/>
          <w:b w:val="false"/>
          <w:bCs w:val="false"/>
          <w:i w:val="false"/>
          <w:iCs w:val="false"/>
          <w:caps w:val="false"/>
          <w:smallCaps w:val="false"/>
          <w:strike w:val="false"/>
          <w:dstrike w:val="false"/>
          <w:color w:val="000000"/>
          <w:spacing w:val="0"/>
          <w:sz w:val="22"/>
          <w:szCs w:val="22"/>
          <w:u w:val="none"/>
          <w:shd w:fill="auto" w:val="clear"/>
        </w:rPr>
        <w:t>Overall Demographic and Clinical Characteristics of Long-term Ovarian Cancer Survivors (5+ years) (Grouped by Treatment Type)</w:t>
      </w:r>
    </w:p>
    <w:tbl>
      <w:tblPr>
        <w:tblW w:w="9638" w:type="dxa"/>
        <w:jc w:val="start"/>
        <w:tblInd w:w="0" w:type="dxa"/>
        <w:tblLayout w:type="fixed"/>
        <w:tblCellMar>
          <w:top w:w="0" w:type="dxa"/>
          <w:start w:w="0" w:type="dxa"/>
          <w:bottom w:w="0" w:type="dxa"/>
          <w:end w:w="0" w:type="dxa"/>
        </w:tblCellMar>
      </w:tblPr>
      <w:tblGrid>
        <w:gridCol w:w="2173"/>
        <w:gridCol w:w="1208"/>
        <w:gridCol w:w="1192"/>
        <w:gridCol w:w="2172"/>
        <w:gridCol w:w="1931"/>
        <w:gridCol w:w="962"/>
      </w:tblGrid>
      <w:tr>
        <w:trPr/>
        <w:tc>
          <w:tcPr>
            <w:tcW w:w="217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Characteristic</w:t>
            </w:r>
          </w:p>
        </w:tc>
        <w:tc>
          <w:tcPr>
            <w:tcW w:w="12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Overall Cohort (n = 38,148)</w:t>
            </w:r>
          </w:p>
        </w:tc>
        <w:tc>
          <w:tcPr>
            <w:tcW w:w="119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Surgery Only (n = 12,212)</w:t>
            </w:r>
          </w:p>
        </w:tc>
        <w:tc>
          <w:tcPr>
            <w:tcW w:w="217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Surgery + Chemotherapy (n = 24,106)</w:t>
            </w:r>
          </w:p>
        </w:tc>
        <w:tc>
          <w:tcPr>
            <w:tcW w:w="193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Chemotherapy Alone (n = 750)</w:t>
            </w:r>
          </w:p>
        </w:tc>
        <w:tc>
          <w:tcPr>
            <w:tcW w:w="96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16"/>
                <w:szCs w:val="16"/>
                <w:u w:val="none"/>
              </w:rPr>
              <w:t>P-value</w:t>
            </w:r>
          </w:p>
        </w:tc>
      </w:tr>
      <w:tr>
        <w:trPr>
          <w:trHeight w:val="547" w:hRule="exact"/>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Age at Diagnosis,</w:t>
            </w:r>
            <w:r>
              <w:rPr>
                <w:rFonts w:ascii="Liberation Serif" w:hAnsi="Liberation Serif"/>
                <w:b w:val="false"/>
                <w:bCs w:val="false"/>
                <w:i w:val="false"/>
                <w:iCs w:val="false"/>
                <w:strike w:val="false"/>
                <w:dstrike w:val="false"/>
                <w:outline w:val="false"/>
                <w:shadow w:val="false"/>
                <w:color w:val="000000"/>
                <w:sz w:val="16"/>
                <w:szCs w:val="16"/>
                <w:u w:val="none"/>
              </w:rPr>
              <w:t xml:space="preserve"> mean (SD)</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54.0y (13.8y)</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52.0 (15.0y)</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54.6y (12.9y)</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62.2y (13.9y)</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rHeight w:val="547" w:hRule="exact"/>
        </w:trPr>
        <w:tc>
          <w:tcPr>
            <w:tcW w:w="8676"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Age Group,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20 - 39 years</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4,401 (11.5%)</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2,063 (16.9%)</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2,157 (8.9%)</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 (5.2%)</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40 - 59 years</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18,403 (48.2%)</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5,914 (48.4%)</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11,826 (49.1%)</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218 (29.1%)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60 - 79 years</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13,811 (36.2%)</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3,643 (29.8%)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9,397 (39.0%)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396 (52.8%)</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80+ years</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1,533 (4.0%)</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592 (4.8%)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726 (3.0%)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97 (12.9%)</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6"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Race/Ethnicity,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Non-Hispanic White</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26,821 (70.3%)</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8,317 (68.1%)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17,299 (71.8%)</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512 (68.3%)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Non-Hispanic Black</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2,285 (6.0%)</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844 (6.9%)</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1,216 (5.0%)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85 (11.3%)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 xml:space="preserve">Hispanic </w:t>
            </w:r>
            <w:r>
              <w:rPr>
                <w:rFonts w:ascii="Liberation Serif" w:hAnsi="Liberation Serif"/>
                <w:b w:val="false"/>
                <w:bCs w:val="false"/>
                <w:i w:val="false"/>
                <w:iCs w:val="false"/>
                <w:strike w:val="false"/>
                <w:dstrike w:val="false"/>
                <w:outline w:val="false"/>
                <w:shadow w:val="false"/>
                <w:color w:val="auto"/>
                <w:sz w:val="16"/>
                <w:szCs w:val="16"/>
                <w:u w:val="none"/>
              </w:rPr>
              <w:t>(All Races)</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5,048 (13.2%)</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1,726 (14.1%)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3,071 (12.7%)</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96 (12.8%)</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Asian / Pacific Islander</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3,652 (9.6%)</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1,198 (9.8%)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2,333 (9.7%)</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45 (6.0%)</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American Indian / Alaska Native</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237 (0.6%)</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72 (0.6%)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148 (0.6%)</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 (1.2%)</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Other/Unknown</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105 (0.3%)</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55 (0.5%)</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 (0.2%)</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 (0.4%)</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6"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Median Household Income,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 $60,000</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3,872 (10.1%)</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1,243 (10.2%)</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2,348 (9.7%)</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98 (13.1%)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$60,000 - $99,999</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25,664 (67.3%)</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8,212 (67.2%)</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16,260 (67.5%)</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506 (67.5%)</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$100,000+</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8,606 (22.6%)</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2,757 (22.6%)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5,493 (22.8%)</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145 (19.3%)</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Unknown/Missing</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 (0.0%)</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 (0.0%)</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 (0.0%)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 (0.1%)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6"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Geography (Rural/Urban),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0.527’</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Urban (Metropolitan)</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34,226 (89.7%)</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10,967 (89.8%)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21,671 (89.9%)</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673 (89.7%)</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Rural (Nonmetropolitan)</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3,889 (10.2%)</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1,239 (10.1%)</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2,410 (10.0%)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76 (10.1%)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Unknown/Missing</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33 (0.1%)</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6 (0.0%)</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25 (0.1%)</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 (0.1%)</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rHeight w:val="547" w:hRule="exact"/>
        </w:trPr>
        <w:tc>
          <w:tcPr>
            <w:tcW w:w="8676" w:type="dxa"/>
            <w:gridSpan w:val="5"/>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bCs/>
                <w:i w:val="false"/>
                <w:iCs w:val="false"/>
                <w:strike w:val="false"/>
                <w:dstrike w:val="false"/>
                <w:outline w:val="false"/>
                <w:shadow w:val="false"/>
                <w:color w:val="000000"/>
                <w:sz w:val="16"/>
                <w:szCs w:val="16"/>
                <w:u w:val="none"/>
              </w:rPr>
              <w:t xml:space="preserve">Cancer Stage, </w:t>
            </w:r>
            <w:r>
              <w:rPr>
                <w:rFonts w:ascii="Liberation Serif" w:hAnsi="Liberation Serif"/>
                <w:b w:val="false"/>
                <w:bCs w:val="false"/>
                <w:i w:val="false"/>
                <w:iCs w:val="false"/>
                <w:strike w:val="false"/>
                <w:dstrike w:val="false"/>
                <w:outline w:val="false"/>
                <w:shadow w:val="false"/>
                <w:color w:val="000000"/>
                <w:sz w:val="16"/>
                <w:szCs w:val="16"/>
                <w:u w:val="none"/>
              </w:rPr>
              <w:t>n (%)</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&lt;0.001</w:t>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Localized</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11,086 (29.1%)</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7,063 (57.8%)</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3,905 (16.2%)</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19 (2.5%)</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Regional</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11,478 (30.1%)</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3,121 (25.6%)</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8,191 (34.0%)</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87 (11.6%)</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Distant</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14,107 (37.0%)</w:t>
            </w:r>
          </w:p>
        </w:tc>
        <w:tc>
          <w:tcPr>
            <w:tcW w:w="119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1,639 (13.4%)</w:t>
            </w:r>
          </w:p>
        </w:tc>
        <w:tc>
          <w:tcPr>
            <w:tcW w:w="217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11,677 (48.4%)</w:t>
            </w:r>
          </w:p>
        </w:tc>
        <w:tc>
          <w:tcPr>
            <w:tcW w:w="193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554 (73.9%)</w:t>
            </w:r>
          </w:p>
        </w:tc>
        <w:tc>
          <w:tcPr>
            <w:tcW w:w="962"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r>
        <w:trPr/>
        <w:tc>
          <w:tcPr>
            <w:tcW w:w="217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Unknown/unstaged</w:t>
            </w:r>
          </w:p>
        </w:tc>
        <w:tc>
          <w:tcPr>
            <w:tcW w:w="12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1,477 (3.9%)</w:t>
            </w:r>
          </w:p>
        </w:tc>
        <w:tc>
          <w:tcPr>
            <w:tcW w:w="119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389 (3.2%)</w:t>
            </w:r>
          </w:p>
        </w:tc>
        <w:tc>
          <w:tcPr>
            <w:tcW w:w="217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333 (1.4%)</w:t>
            </w:r>
          </w:p>
        </w:tc>
        <w:tc>
          <w:tcPr>
            <w:tcW w:w="193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t>90 (12.0%)</w:t>
            </w:r>
          </w:p>
        </w:tc>
        <w:tc>
          <w:tcPr>
            <w:tcW w:w="962" w:type="dxa"/>
            <w:tcBorders>
              <w:bottom w:val="single" w:sz="6" w:space="0" w:color="000000"/>
            </w:tcBorders>
            <w:vAlign w:val="center"/>
          </w:tcPr>
          <w:p>
            <w:pPr>
              <w:pStyle w:val="TableContents"/>
              <w:spacing w:before="0" w:after="200"/>
              <w:jc w:val="start"/>
              <w:rPr>
                <w:rFonts w:ascii="Liberation Serif" w:hAnsi="Liberation Serif"/>
                <w:b w:val="false"/>
                <w:bCs w:val="false"/>
                <w:i w:val="false"/>
                <w:iCs w:val="false"/>
                <w:strike w:val="false"/>
                <w:dstrike w:val="false"/>
                <w:outline w:val="false"/>
                <w:shadow w:val="false"/>
                <w:color w:val="000000"/>
                <w:sz w:val="16"/>
                <w:szCs w:val="16"/>
                <w:u w:val="none"/>
              </w:rPr>
            </w:pPr>
            <w:r>
              <w:rPr>
                <w:rFonts w:ascii="Liberation Serif" w:hAnsi="Liberation Serif"/>
                <w:b w:val="false"/>
                <w:bCs w:val="false"/>
                <w:i w:val="false"/>
                <w:iCs w:val="false"/>
                <w:strike w:val="false"/>
                <w:dstrike w:val="false"/>
                <w:outline w:val="false"/>
                <w:shadow w:val="false"/>
                <w:color w:val="000000"/>
                <w:sz w:val="16"/>
                <w:szCs w:val="16"/>
                <w:u w:val="none"/>
              </w:rPr>
            </w:r>
          </w:p>
        </w:tc>
      </w:tr>
    </w:tbl>
    <w:p>
      <w:pPr>
        <w:pStyle w:val="normal1"/>
        <w:spacing w:lineRule="auto" w:line="240" w:before="480" w:after="0"/>
        <w:rPr>
          <w:rFonts w:ascii="Arial" w:hAnsi="Arial" w:eastAsia="Arial" w:cs="Arial"/>
          <w:b w:val="false"/>
          <w:bCs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y years, SD standard deviation</w:t>
      </w:r>
    </w:p>
    <w:p>
      <w:pPr>
        <w:pStyle w:val="normal1"/>
        <w:spacing w:lineRule="auto" w:line="331" w:before="0" w:after="0"/>
        <w:ind w:hanging="0" w:start="0" w:end="0"/>
        <w:rPr>
          <w:rFonts w:ascii="Liberation Serif" w:hAnsi="Liberation Serif" w:eastAsia="Liberation Serif" w:cs="Liberation Serif"/>
          <w:color w:val="000000"/>
          <w:sz w:val="22"/>
          <w:szCs w:val="22"/>
        </w:rPr>
      </w:pPr>
      <w:r>
        <w:rPr>
          <w:rFonts w:eastAsia="Liberation Serif" w:cs="Liberation Serif" w:ascii="Liberation Serif" w:hAnsi="Liberation Serif"/>
          <w:color w:val="000000"/>
          <w:sz w:val="22"/>
          <w:szCs w:val="22"/>
        </w:rPr>
      </w:r>
    </w:p>
    <w:p>
      <w:pPr>
        <w:pStyle w:val="normal1"/>
        <w:widowControl/>
        <w:shd w:val="clear" w:fill="auto"/>
        <w:tabs>
          <w:tab w:val="left" w:pos="709" w:leader="none"/>
        </w:tabs>
        <w:spacing w:lineRule="auto" w:line="276" w:before="0" w:after="120"/>
        <w:ind w:hanging="0" w:start="0" w:end="0"/>
        <w:jc w:val="start"/>
        <w:rPr>
          <w:rFonts w:ascii="Liberation Serif" w:hAnsi="Liberation Serif"/>
          <w:color w:val="auto"/>
        </w:rPr>
      </w:pPr>
      <w:r>
        <w:rPr>
          <w:rFonts w:eastAsia="Liberation Serif" w:cs="Liberation Serif" w:ascii="Liberation Serif" w:hAnsi="Liberation Serif"/>
          <w:b w:val="false"/>
          <w:bCs w:val="false"/>
          <w:i w:val="false"/>
          <w:caps w:val="false"/>
          <w:smallCaps w:val="false"/>
          <w:color w:val="auto"/>
          <w:spacing w:val="0"/>
          <w:sz w:val="22"/>
          <w:szCs w:val="22"/>
        </w:rPr>
        <w:t>Statistical comparisons (p-values) are restricted to women who received standard-of-care primary treatment modalities. The Overall column includes 1,080 additional patients who were excluded from the comparative subgroups due to receiving no active treatment or having missing therapeutic data. Continuous variables (Age at Diagnosis) are presented as Mean (SD), calculated using one-way analysis of variance (ANOVA). Categorical variables presented as absolute counts n, and percentages (%) were calculated using the Pearson’s Chi-square test.</w:t>
      </w:r>
    </w:p>
    <w:p>
      <w:pPr>
        <w:pStyle w:val="normal1"/>
        <w:keepNext w:val="false"/>
        <w:keepLines w:val="false"/>
        <w:pageBreakBefore w:val="false"/>
        <w:widowControl/>
        <w:shd w:val="clear" w:fill="auto"/>
        <w:spacing w:lineRule="auto" w:line="276"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shd w:val="clear" w:fill="auto"/>
        <w:spacing w:lineRule="auto" w:line="276" w:before="0" w:after="12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br/>
      </w:r>
      <w:r>
        <w:br w:type="page"/>
      </w:r>
    </w:p>
    <w:p>
      <w:pPr>
        <w:pStyle w:val="normal1"/>
        <w:widowControl/>
        <w:shd w:val="clear" w:fill="auto"/>
        <w:spacing w:lineRule="auto" w:line="276" w:before="0" w:after="30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1. Overall Cumulative Incidence of Cardiovascular Mortality Among Long-Term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O</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v</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r</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i</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n</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 Cancer Survivors</w:t>
      </w:r>
    </w:p>
    <w:p>
      <w:pPr>
        <w:pStyle w:val="normal1"/>
        <w:keepNext w:val="false"/>
        <w:keepLines w:val="false"/>
        <w:widowControl/>
        <w:shd w:val="clear" w:fill="auto"/>
        <w:spacing w:lineRule="auto" w:line="331" w:before="0" w:after="0"/>
        <w:ind w:hanging="0" w:start="0" w:end="0"/>
        <w:jc w:val="start"/>
        <w:rPr>
          <w:rFonts w:ascii="Liberation Serif" w:hAnsi="Liberation Serif" w:eastAsia="Liberation Serif" w:cs="Liberation Serif"/>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671570"/>
                    </a:xfrm>
                    <a:prstGeom prst="rect">
                      <a:avLst/>
                    </a:prstGeom>
                    <a:noFill/>
                  </pic:spPr>
                </pic:pic>
              </a:graphicData>
            </a:graphic>
          </wp:anchor>
        </w:drawing>
      </w:r>
      <w:r>
        <w:rPr>
          <w:rFonts w:eastAsia="Liberation Serif" w:cs="Liberation Serif" w:ascii="Liberation Serif" w:hAnsi="Liberation Serif"/>
          <w:b/>
          <w:bCs/>
          <w:color w:val="auto"/>
        </w:rPr>
        <w:t xml:space="preserve">Figure 1: </w:t>
      </w:r>
      <w:r>
        <w:rPr>
          <w:rFonts w:eastAsia="Liberation Serif" w:cs="Liberation Serif" w:ascii="Liberation Serif" w:hAnsi="Liberation Serif"/>
          <w:color w:val="auto"/>
        </w:rPr>
        <w:t xml:space="preserve">Overall Cumulative Incidence of Cardiovascular Death in Long-Term </w:t>
      </w:r>
      <w:r>
        <w:rPr>
          <w:rFonts w:eastAsia="Liberation Serif" w:cs="Liberation Serif" w:ascii="Liberation Serif" w:hAnsi="Liberation Serif"/>
          <w:color w:val="auto"/>
        </w:rPr>
        <w:t>Ovarian</w:t>
      </w:r>
      <w:r>
        <w:rPr>
          <w:rFonts w:eastAsia="Liberation Serif" w:cs="Liberation Serif" w:ascii="Liberation Serif" w:hAnsi="Liberation Serif"/>
          <w:color w:val="auto"/>
        </w:rPr>
        <w:t xml:space="preserve"> Cancer Survivors</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Overall Sample Size: </w:t>
      </w:r>
      <w:r>
        <w:rPr>
          <w:rFonts w:eastAsia="Liberation Serif" w:cs="Liberation Serif" w:ascii="Liberation Serif" w:hAnsi="Liberation Serif"/>
          <w:color w:val="auto"/>
        </w:rPr>
        <w:t>38,148</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Censored / Alive (Event 0): </w:t>
      </w:r>
      <w:r>
        <w:rPr>
          <w:rFonts w:eastAsia="Liberation Serif" w:cs="Liberation Serif" w:ascii="Liberation Serif" w:hAnsi="Liberation Serif"/>
          <w:color w:val="auto"/>
        </w:rPr>
        <w:t>24,571</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CV Deaths (Event 1%): </w:t>
      </w:r>
      <w:r>
        <w:rPr>
          <w:rFonts w:eastAsia="Liberation Serif" w:cs="Liberation Serif" w:ascii="Liberation Serif" w:hAnsi="Liberation Serif"/>
          <w:color w:val="auto"/>
        </w:rPr>
        <w:t>1,039</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Cancer Deaths (Event 2%): </w:t>
      </w:r>
      <w:r>
        <w:rPr>
          <w:rFonts w:eastAsia="Liberation Serif" w:cs="Liberation Serif" w:ascii="Liberation Serif" w:hAnsi="Liberation Serif"/>
          <w:color w:val="auto"/>
        </w:rPr>
        <w:t>9,823</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Other Non-Cancer Deaths (Event 3%): </w:t>
      </w:r>
      <w:r>
        <w:rPr>
          <w:rFonts w:eastAsia="Liberation Serif" w:cs="Liberation Serif" w:ascii="Liberation Serif" w:hAnsi="Liberation Serif"/>
          <w:color w:val="auto"/>
        </w:rPr>
        <w:t>2,715</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rPr>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Cumulative Incidence at Year 10 (60 months post-milestone%): </w:t>
      </w:r>
      <w:r>
        <w:rPr>
          <w:rFonts w:eastAsia="Liberation Serif" w:cs="Liberation Serif" w:ascii="Liberation Serif" w:hAnsi="Liberation Serif"/>
          <w:color w:val="auto"/>
        </w:rPr>
        <w:t>1</w:t>
      </w:r>
      <w:r>
        <w:rPr>
          <w:rFonts w:eastAsia="Liberation Serif" w:cs="Liberation Serif" w:ascii="Liberation Serif" w:hAnsi="Liberation Serif"/>
          <w:color w:val="auto"/>
        </w:rPr>
        <w:t>.</w:t>
      </w:r>
      <w:r>
        <w:rPr>
          <w:rFonts w:eastAsia="Liberation Serif" w:cs="Liberation Serif" w:ascii="Liberation Serif" w:hAnsi="Liberation Serif"/>
          <w:color w:val="auto"/>
        </w:rPr>
        <w:t>48</w:t>
      </w:r>
      <w:r>
        <w:rPr>
          <w:rFonts w:eastAsia="Liberation Serif" w:cs="Liberation Serif" w:ascii="Liberation Serif" w:hAnsi="Liberation Serif"/>
          <w:color w:val="auto"/>
        </w:rPr>
        <w:t>%</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Cumulative Incidence at Year 15 (120 months post-milestone%): </w:t>
      </w:r>
      <w:r>
        <w:rPr>
          <w:rFonts w:eastAsia="Liberation Serif" w:cs="Liberation Serif" w:ascii="Liberation Serif" w:hAnsi="Liberation Serif"/>
          <w:color w:val="auto"/>
        </w:rPr>
        <w:t>2</w:t>
      </w:r>
      <w:r>
        <w:rPr>
          <w:rFonts w:eastAsia="Liberation Serif" w:cs="Liberation Serif" w:ascii="Liberation Serif" w:hAnsi="Liberation Serif"/>
          <w:color w:val="auto"/>
        </w:rPr>
        <w:t>.</w:t>
      </w:r>
      <w:r>
        <w:rPr>
          <w:rFonts w:eastAsia="Liberation Serif" w:cs="Liberation Serif" w:ascii="Liberation Serif" w:hAnsi="Liberation Serif"/>
          <w:color w:val="auto"/>
        </w:rPr>
        <w:t>99</w:t>
      </w:r>
      <w:r>
        <w:rPr>
          <w:rFonts w:eastAsia="Liberation Serif" w:cs="Liberation Serif" w:ascii="Liberation Serif" w:hAnsi="Liberation Serif"/>
          <w:color w:val="auto"/>
        </w:rPr>
        <w:t>%</w:t>
      </w:r>
    </w:p>
    <w:p>
      <w:pPr>
        <w:pStyle w:val="normal1"/>
        <w:widowControl/>
        <w:shd w:val="clear" w:fill="auto"/>
        <w:spacing w:lineRule="auto" w:line="331" w:before="0" w:after="0"/>
        <w:ind w:hanging="0" w:start="0" w:end="0"/>
        <w:jc w:val="start"/>
        <w:rPr>
          <w:rFonts w:ascii="Liberation Serif" w:hAnsi="Liberation Serif" w:eastAsia="Liberation Serif" w:cs="Liberation Serif"/>
        </w:rPr>
      </w:pPr>
      <w:r>
        <w:rPr>
          <w:rFonts w:eastAsia="Liberation Serif" w:cs="Liberation Serif" w:ascii="Liberation Serif" w:hAnsi="Liberation Serif"/>
          <w:color w:val="auto"/>
        </w:rPr>
        <w:t xml:space="preserve">Cumulative Incidence at Year 20 (180 months post-milestone%): </w:t>
      </w:r>
      <w:r>
        <w:rPr>
          <w:rFonts w:eastAsia="Liberation Serif" w:cs="Liberation Serif" w:ascii="Liberation Serif" w:hAnsi="Liberation Serif"/>
          <w:color w:val="auto"/>
        </w:rPr>
        <w:t>4</w:t>
      </w:r>
      <w:r>
        <w:rPr>
          <w:rFonts w:eastAsia="Liberation Serif" w:cs="Liberation Serif" w:ascii="Liberation Serif" w:hAnsi="Liberation Serif"/>
          <w:color w:val="auto"/>
        </w:rPr>
        <w:t>.</w:t>
      </w:r>
      <w:r>
        <w:rPr>
          <w:rFonts w:eastAsia="Liberation Serif" w:cs="Liberation Serif" w:ascii="Liberation Serif" w:hAnsi="Liberation Serif"/>
          <w:color w:val="auto"/>
        </w:rPr>
        <w:t>70</w:t>
      </w:r>
      <w:r>
        <w:rPr>
          <w:rFonts w:eastAsia="Liberation Serif" w:cs="Liberation Serif" w:ascii="Liberation Serif" w:hAnsi="Liberation Serif"/>
          <w:color w:val="auto"/>
        </w:rPr>
        <w:t>%</w:t>
      </w:r>
    </w:p>
    <w:p>
      <w:pPr>
        <w:pStyle w:val="BodyText"/>
        <w:bidi w:val="0"/>
        <w:spacing w:lineRule="auto" w:line="271" w:before="0" w:after="120"/>
        <w:ind w:hanging="0" w:start="0" w:end="0"/>
        <w:jc w:val="start"/>
        <w:rPr>
          <w:rFonts w:ascii="Google Sans Text;sans-serif" w:hAnsi="Google Sans Text;sans-serif"/>
          <w:color w:val="auto"/>
        </w:rPr>
      </w:pPr>
      <w:r>
        <w:rPr>
          <w:b/>
          <w:bCs/>
          <w:i w:val="false"/>
          <w:iCs w:val="false"/>
          <w:caps w:val="false"/>
          <w:smallCaps w:val="false"/>
          <w:strike w:val="false"/>
          <w:dstrike w:val="false"/>
          <w:color w:val="000000"/>
          <w:position w:val="0"/>
          <w:sz w:val="22"/>
          <w:szCs w:val="22"/>
          <w:u w:val="none"/>
          <w:shd w:fill="auto" w:val="clear"/>
          <w:vertAlign w:val="baseline"/>
        </w:rPr>
        <w:t xml:space="preserve">Table </w:t>
      </w:r>
      <w:r>
        <w:rPr>
          <w:b/>
          <w:bCs/>
          <w:i w:val="false"/>
          <w:iCs w:val="false"/>
          <w:caps w:val="false"/>
          <w:smallCaps w:val="false"/>
          <w:strike w:val="false"/>
          <w:dstrike w:val="false"/>
          <w:color w:val="000000"/>
          <w:position w:val="0"/>
          <w:sz w:val="22"/>
          <w:szCs w:val="22"/>
          <w:u w:val="none"/>
          <w:shd w:fill="auto" w:val="clear"/>
          <w:vertAlign w:val="baseline"/>
        </w:rPr>
        <w:t>1</w:t>
      </w:r>
      <w:r>
        <w:rPr>
          <w:b/>
          <w:bCs/>
          <w:i w:val="false"/>
          <w:iCs w:val="false"/>
          <w:caps w:val="false"/>
          <w:smallCaps w:val="false"/>
          <w:strike w:val="false"/>
          <w:dstrike w:val="false"/>
          <w:color w:val="000000"/>
          <w:position w:val="0"/>
          <w:sz w:val="22"/>
          <w:szCs w:val="22"/>
          <w:u w:val="none"/>
          <w:shd w:fill="auto" w:val="clear"/>
          <w:vertAlign w:val="baseline"/>
        </w:rPr>
        <w:t xml:space="preserve">: </w:t>
      </w:r>
      <w:r>
        <w:rPr>
          <w:b w:val="false"/>
          <w:bCs w:val="false"/>
          <w:i w:val="false"/>
          <w:iCs w:val="false"/>
          <w:caps w:val="false"/>
          <w:smallCaps w:val="false"/>
          <w:strike w:val="false"/>
          <w:dstrike w:val="false"/>
          <w:color w:val="000000"/>
          <w:position w:val="0"/>
          <w:sz w:val="22"/>
          <w:szCs w:val="22"/>
          <w:u w:val="none"/>
          <w:shd w:fill="auto" w:val="clear"/>
          <w:vertAlign w:val="baseline"/>
        </w:rPr>
        <w:t>O</w:t>
      </w:r>
      <w:r>
        <w:rPr>
          <w:b w:val="false"/>
          <w:bCs w:val="false"/>
          <w:i w:val="false"/>
          <w:iCs w:val="false"/>
          <w:caps w:val="false"/>
          <w:smallCaps w:val="false"/>
          <w:strike w:val="false"/>
          <w:dstrike w:val="false"/>
          <w:color w:val="000000"/>
          <w:position w:val="0"/>
          <w:sz w:val="22"/>
          <w:szCs w:val="22"/>
          <w:u w:val="none"/>
          <w:shd w:fill="auto" w:val="clear"/>
          <w:vertAlign w:val="baseline"/>
        </w:rPr>
        <w:t>v</w:t>
      </w:r>
      <w:r>
        <w:rPr>
          <w:b w:val="false"/>
          <w:bCs w:val="false"/>
          <w:i w:val="false"/>
          <w:iCs w:val="false"/>
          <w:caps w:val="false"/>
          <w:smallCaps w:val="false"/>
          <w:strike w:val="false"/>
          <w:dstrike w:val="false"/>
          <w:color w:val="000000"/>
          <w:position w:val="0"/>
          <w:sz w:val="22"/>
          <w:szCs w:val="22"/>
          <w:u w:val="none"/>
          <w:shd w:fill="auto" w:val="clear"/>
          <w:vertAlign w:val="baseline"/>
        </w:rPr>
        <w:t>e</w:t>
      </w:r>
      <w:r>
        <w:rPr>
          <w:b w:val="false"/>
          <w:bCs w:val="false"/>
          <w:i w:val="false"/>
          <w:iCs w:val="false"/>
          <w:caps w:val="false"/>
          <w:smallCaps w:val="false"/>
          <w:strike w:val="false"/>
          <w:dstrike w:val="false"/>
          <w:color w:val="000000"/>
          <w:position w:val="0"/>
          <w:sz w:val="22"/>
          <w:szCs w:val="22"/>
          <w:u w:val="none"/>
          <w:shd w:fill="auto" w:val="clear"/>
          <w:vertAlign w:val="baseline"/>
        </w:rPr>
        <w:t>r</w:t>
      </w:r>
      <w:r>
        <w:rPr>
          <w:b w:val="false"/>
          <w:bCs w:val="false"/>
          <w:i w:val="false"/>
          <w:iCs w:val="false"/>
          <w:caps w:val="false"/>
          <w:smallCaps w:val="false"/>
          <w:strike w:val="false"/>
          <w:dstrike w:val="false"/>
          <w:color w:val="000000"/>
          <w:position w:val="0"/>
          <w:sz w:val="22"/>
          <w:szCs w:val="22"/>
          <w:u w:val="none"/>
          <w:shd w:fill="auto" w:val="clear"/>
          <w:vertAlign w:val="baseline"/>
        </w:rPr>
        <w:t>a</w:t>
      </w:r>
      <w:r>
        <w:rPr>
          <w:b w:val="false"/>
          <w:bCs w:val="false"/>
          <w:i w:val="false"/>
          <w:iCs w:val="false"/>
          <w:caps w:val="false"/>
          <w:smallCaps w:val="false"/>
          <w:strike w:val="false"/>
          <w:dstrike w:val="false"/>
          <w:color w:val="000000"/>
          <w:position w:val="0"/>
          <w:sz w:val="22"/>
          <w:szCs w:val="22"/>
          <w:u w:val="none"/>
          <w:shd w:fill="auto" w:val="clear"/>
          <w:vertAlign w:val="baseline"/>
        </w:rPr>
        <w:t>l</w:t>
      </w:r>
      <w:r>
        <w:rPr>
          <w:b w:val="false"/>
          <w:bCs w:val="false"/>
          <w:i w:val="false"/>
          <w:iCs w:val="false"/>
          <w:caps w:val="false"/>
          <w:smallCaps w:val="false"/>
          <w:strike w:val="false"/>
          <w:dstrike w:val="false"/>
          <w:color w:val="000000"/>
          <w:position w:val="0"/>
          <w:sz w:val="22"/>
          <w:szCs w:val="22"/>
          <w:u w:val="none"/>
          <w:shd w:fill="auto" w:val="clear"/>
          <w:vertAlign w:val="baseline"/>
        </w:rPr>
        <w:t xml:space="preserve">l </w:t>
      </w:r>
      <w:r>
        <w:rPr>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Mortality Among Long-term Ovarian Cancer Survivors</w:t>
      </w:r>
    </w:p>
    <w:tbl>
      <w:tblPr>
        <w:tblW w:w="8372" w:type="dxa"/>
        <w:jc w:val="start"/>
        <w:tblInd w:w="0" w:type="dxa"/>
        <w:tblLayout w:type="fixed"/>
        <w:tblCellMar>
          <w:top w:w="0" w:type="dxa"/>
          <w:start w:w="0" w:type="dxa"/>
          <w:bottom w:w="0" w:type="dxa"/>
          <w:end w:w="0" w:type="dxa"/>
        </w:tblCellMar>
      </w:tblPr>
      <w:tblGrid>
        <w:gridCol w:w="1806"/>
        <w:gridCol w:w="1806"/>
        <w:gridCol w:w="2923"/>
        <w:gridCol w:w="1837"/>
      </w:tblGrid>
      <w:tr>
        <w:trPr/>
        <w:tc>
          <w:tcPr>
            <w:tcW w:w="18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Cohort</w:t>
            </w:r>
          </w:p>
        </w:tc>
        <w:tc>
          <w:tcPr>
            <w:tcW w:w="18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Final Follow-up (Months)</w:t>
            </w:r>
          </w:p>
        </w:tc>
        <w:tc>
          <w:tcPr>
            <w:tcW w:w="292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Cumulative Incidence (95% CI%)</w:t>
            </w:r>
          </w:p>
        </w:tc>
        <w:tc>
          <w:tcPr>
            <w:tcW w:w="183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Standard Error</w:t>
            </w:r>
          </w:p>
        </w:tc>
      </w:tr>
      <w:tr>
        <w:trPr>
          <w:trHeight w:val="320" w:hRule="atLeast"/>
        </w:trPr>
        <w:tc>
          <w:tcPr>
            <w:tcW w:w="1806"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Overall (n=</w:t>
            </w:r>
            <w:r>
              <w:rPr>
                <w:rFonts w:ascii="Liberation Serif" w:hAnsi="Liberation Serif"/>
                <w:b w:val="false"/>
                <w:bCs w:val="false"/>
                <w:i w:val="false"/>
                <w:iCs w:val="false"/>
                <w:strike w:val="false"/>
                <w:dstrike w:val="false"/>
                <w:outline w:val="false"/>
                <w:shadow w:val="false"/>
                <w:color w:val="auto"/>
                <w:sz w:val="22"/>
                <w:szCs w:val="22"/>
                <w:u w:val="none"/>
              </w:rPr>
              <w:t>3</w:t>
            </w:r>
            <w:r>
              <w:rPr>
                <w:rFonts w:ascii="Liberation Serif" w:hAnsi="Liberation Serif"/>
                <w:b w:val="false"/>
                <w:bCs w:val="false"/>
                <w:i w:val="false"/>
                <w:iCs w:val="false"/>
                <w:strike w:val="false"/>
                <w:dstrike w:val="false"/>
                <w:outline w:val="false"/>
                <w:shadow w:val="false"/>
                <w:color w:val="auto"/>
                <w:sz w:val="22"/>
                <w:szCs w:val="22"/>
                <w:u w:val="none"/>
              </w:rPr>
              <w:t>8,</w:t>
            </w:r>
            <w:r>
              <w:rPr>
                <w:rFonts w:ascii="Liberation Serif" w:hAnsi="Liberation Serif"/>
                <w:b w:val="false"/>
                <w:bCs w:val="false"/>
                <w:i w:val="false"/>
                <w:iCs w:val="false"/>
                <w:strike w:val="false"/>
                <w:dstrike w:val="false"/>
                <w:outline w:val="false"/>
                <w:shadow w:val="false"/>
                <w:color w:val="auto"/>
                <w:sz w:val="22"/>
                <w:szCs w:val="22"/>
                <w:u w:val="none"/>
              </w:rPr>
              <w:t>1</w:t>
            </w:r>
            <w:r>
              <w:rPr>
                <w:rFonts w:ascii="Liberation Serif" w:hAnsi="Liberation Serif"/>
                <w:b w:val="false"/>
                <w:bCs w:val="false"/>
                <w:i w:val="false"/>
                <w:iCs w:val="false"/>
                <w:strike w:val="false"/>
                <w:dstrike w:val="false"/>
                <w:outline w:val="false"/>
                <w:shadow w:val="false"/>
                <w:color w:val="auto"/>
                <w:sz w:val="22"/>
                <w:szCs w:val="22"/>
                <w:u w:val="none"/>
              </w:rPr>
              <w:t>4</w:t>
            </w:r>
            <w:r>
              <w:rPr>
                <w:rFonts w:ascii="Liberation Serif" w:hAnsi="Liberation Serif"/>
                <w:b w:val="false"/>
                <w:bCs w:val="false"/>
                <w:i w:val="false"/>
                <w:iCs w:val="false"/>
                <w:strike w:val="false"/>
                <w:dstrike w:val="false"/>
                <w:outline w:val="false"/>
                <w:shadow w:val="false"/>
                <w:color w:val="auto"/>
                <w:sz w:val="22"/>
                <w:szCs w:val="22"/>
                <w:u w:val="none"/>
              </w:rPr>
              <w:t>8</w:t>
            </w: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1806"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000000"/>
                <w:sz w:val="22"/>
                <w:szCs w:val="22"/>
                <w:u w:val="none"/>
              </w:rPr>
              <w:t>214</w:t>
            </w:r>
          </w:p>
        </w:tc>
        <w:tc>
          <w:tcPr>
            <w:tcW w:w="2923"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5</w:t>
            </w:r>
            <w:r>
              <w:rPr>
                <w:rFonts w:ascii="Liberation Serif" w:hAnsi="Liberation Serif"/>
                <w:b w:val="false"/>
                <w:bCs w:val="false"/>
                <w:i w:val="false"/>
                <w:iCs w:val="false"/>
                <w:strike w:val="false"/>
                <w:dstrike w:val="false"/>
                <w:outline w:val="false"/>
                <w:shadow w:val="false"/>
                <w:color w:val="auto"/>
                <w:sz w:val="22"/>
                <w:szCs w:val="22"/>
                <w:u w:val="none"/>
              </w:rPr>
              <w:t>.</w:t>
            </w:r>
            <w:r>
              <w:rPr>
                <w:rFonts w:ascii="Liberation Serif" w:hAnsi="Liberation Serif"/>
                <w:b w:val="false"/>
                <w:bCs w:val="false"/>
                <w:i w:val="false"/>
                <w:iCs w:val="false"/>
                <w:strike w:val="false"/>
                <w:dstrike w:val="false"/>
                <w:outline w:val="false"/>
                <w:shadow w:val="false"/>
                <w:color w:val="auto"/>
                <w:sz w:val="22"/>
                <w:szCs w:val="22"/>
                <w:u w:val="none"/>
              </w:rPr>
              <w:t>7</w:t>
            </w:r>
            <w:r>
              <w:rPr>
                <w:rFonts w:ascii="Liberation Serif" w:hAnsi="Liberation Serif"/>
                <w:b w:val="false"/>
                <w:bCs w:val="false"/>
                <w:i w:val="false"/>
                <w:iCs w:val="false"/>
                <w:strike w:val="false"/>
                <w:dstrike w:val="false"/>
                <w:outline w:val="false"/>
                <w:shadow w:val="false"/>
                <w:color w:val="auto"/>
                <w:sz w:val="22"/>
                <w:szCs w:val="22"/>
                <w:u w:val="none"/>
              </w:rPr>
              <w:t>0</w:t>
            </w:r>
            <w:r>
              <w:rPr>
                <w:rFonts w:ascii="Liberation Serif" w:hAnsi="Liberation Serif"/>
                <w:b w:val="false"/>
                <w:bCs w:val="false"/>
                <w:i w:val="false"/>
                <w:iCs w:val="false"/>
                <w:strike w:val="false"/>
                <w:dstrike w:val="false"/>
                <w:outline w:val="false"/>
                <w:shadow w:val="false"/>
                <w:color w:val="auto"/>
                <w:sz w:val="22"/>
                <w:szCs w:val="22"/>
                <w:u w:val="none"/>
              </w:rPr>
              <w:t>% (</w:t>
            </w:r>
            <w:r>
              <w:rPr>
                <w:rFonts w:ascii="Liberation Serif" w:hAnsi="Liberation Serif"/>
                <w:b w:val="false"/>
                <w:bCs w:val="false"/>
                <w:i w:val="false"/>
                <w:iCs w:val="false"/>
                <w:strike w:val="false"/>
                <w:dstrike w:val="false"/>
                <w:outline w:val="false"/>
                <w:shadow w:val="false"/>
                <w:color w:val="auto"/>
                <w:sz w:val="22"/>
                <w:szCs w:val="22"/>
                <w:u w:val="none"/>
              </w:rPr>
              <w:t>5</w:t>
            </w:r>
            <w:r>
              <w:rPr>
                <w:rFonts w:ascii="Liberation Serif" w:hAnsi="Liberation Serif"/>
                <w:b w:val="false"/>
                <w:bCs w:val="false"/>
                <w:i w:val="false"/>
                <w:iCs w:val="false"/>
                <w:strike w:val="false"/>
                <w:dstrike w:val="false"/>
                <w:outline w:val="false"/>
                <w:shadow w:val="false"/>
                <w:color w:val="auto"/>
                <w:sz w:val="22"/>
                <w:szCs w:val="22"/>
                <w:u w:val="none"/>
              </w:rPr>
              <w:t>.</w:t>
            </w:r>
            <w:r>
              <w:rPr>
                <w:rFonts w:ascii="Liberation Serif" w:hAnsi="Liberation Serif"/>
                <w:b w:val="false"/>
                <w:bCs w:val="false"/>
                <w:i w:val="false"/>
                <w:iCs w:val="false"/>
                <w:strike w:val="false"/>
                <w:dstrike w:val="false"/>
                <w:outline w:val="false"/>
                <w:shadow w:val="false"/>
                <w:color w:val="auto"/>
                <w:sz w:val="22"/>
                <w:szCs w:val="22"/>
                <w:u w:val="none"/>
              </w:rPr>
              <w:t>1</w:t>
            </w:r>
            <w:r>
              <w:rPr>
                <w:rFonts w:ascii="Liberation Serif" w:hAnsi="Liberation Serif"/>
                <w:b w:val="false"/>
                <w:bCs w:val="false"/>
                <w:i w:val="false"/>
                <w:iCs w:val="false"/>
                <w:strike w:val="false"/>
                <w:dstrike w:val="false"/>
                <w:outline w:val="false"/>
                <w:shadow w:val="false"/>
                <w:color w:val="auto"/>
                <w:sz w:val="22"/>
                <w:szCs w:val="22"/>
                <w:u w:val="none"/>
              </w:rPr>
              <w:t>6</w:t>
            </w:r>
            <w:r>
              <w:rPr>
                <w:rFonts w:ascii="Liberation Serif" w:hAnsi="Liberation Serif"/>
                <w:b w:val="false"/>
                <w:bCs w:val="false"/>
                <w:i w:val="false"/>
                <w:iCs w:val="false"/>
                <w:strike w:val="false"/>
                <w:dstrike w:val="false"/>
                <w:outline w:val="false"/>
                <w:shadow w:val="false"/>
                <w:color w:val="auto"/>
                <w:sz w:val="22"/>
                <w:szCs w:val="22"/>
                <w:u w:val="none"/>
              </w:rPr>
              <w:t>%–</w:t>
            </w:r>
            <w:r>
              <w:rPr>
                <w:rFonts w:ascii="Liberation Serif" w:hAnsi="Liberation Serif"/>
                <w:b w:val="false"/>
                <w:bCs w:val="false"/>
                <w:i w:val="false"/>
                <w:iCs w:val="false"/>
                <w:strike w:val="false"/>
                <w:dstrike w:val="false"/>
                <w:outline w:val="false"/>
                <w:shadow w:val="false"/>
                <w:color w:val="auto"/>
                <w:sz w:val="22"/>
                <w:szCs w:val="22"/>
                <w:u w:val="none"/>
              </w:rPr>
              <w:t>6</w:t>
            </w:r>
            <w:r>
              <w:rPr>
                <w:rFonts w:ascii="Liberation Serif" w:hAnsi="Liberation Serif"/>
                <w:b w:val="false"/>
                <w:bCs w:val="false"/>
                <w:i w:val="false"/>
                <w:iCs w:val="false"/>
                <w:strike w:val="false"/>
                <w:dstrike w:val="false"/>
                <w:outline w:val="false"/>
                <w:shadow w:val="false"/>
                <w:color w:val="auto"/>
                <w:sz w:val="22"/>
                <w:szCs w:val="22"/>
                <w:u w:val="none"/>
              </w:rPr>
              <w:t>.</w:t>
            </w:r>
            <w:r>
              <w:rPr>
                <w:rFonts w:ascii="Liberation Serif" w:hAnsi="Liberation Serif"/>
                <w:b w:val="false"/>
                <w:bCs w:val="false"/>
                <w:i w:val="false"/>
                <w:iCs w:val="false"/>
                <w:strike w:val="false"/>
                <w:dstrike w:val="false"/>
                <w:outline w:val="false"/>
                <w:shadow w:val="false"/>
                <w:color w:val="auto"/>
                <w:sz w:val="22"/>
                <w:szCs w:val="22"/>
                <w:u w:val="none"/>
              </w:rPr>
              <w:t>2</w:t>
            </w:r>
            <w:r>
              <w:rPr>
                <w:rFonts w:ascii="Liberation Serif" w:hAnsi="Liberation Serif"/>
                <w:b w:val="false"/>
                <w:bCs w:val="false"/>
                <w:i w:val="false"/>
                <w:iCs w:val="false"/>
                <w:strike w:val="false"/>
                <w:dstrike w:val="false"/>
                <w:outline w:val="false"/>
                <w:shadow w:val="false"/>
                <w:color w:val="auto"/>
                <w:sz w:val="22"/>
                <w:szCs w:val="22"/>
                <w:u w:val="none"/>
              </w:rPr>
              <w:t>7</w:t>
            </w: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1837" w:type="dxa"/>
            <w:tcBorders>
              <w:bottom w:val="single" w:sz="6" w:space="0" w:color="000000"/>
            </w:tcBorders>
            <w:vAlign w:val="center"/>
          </w:tcPr>
          <w:p>
            <w:pPr>
              <w:pStyle w:val="TableContents"/>
              <w:spacing w:lineRule="auto" w:line="271" w:before="0" w:after="120"/>
              <w:ind w:hanging="0" w:start="0" w:end="0"/>
              <w:jc w:val="start"/>
              <w:rPr>
                <w:rFonts w:ascii="Liberation Serif" w:hAnsi="Liberation Serif"/>
                <w:b w:val="false"/>
                <w:bCs w:val="false"/>
                <w:i w:val="false"/>
                <w:iCs w:val="false"/>
                <w:strike w:val="false"/>
                <w:dstrike w:val="false"/>
                <w:outline w:val="false"/>
                <w:shadow w:val="false"/>
                <w:color w:val="000000"/>
                <w:sz w:val="22"/>
                <w:szCs w:val="22"/>
                <w:u w:val="none"/>
              </w:rPr>
            </w:pPr>
            <w:r>
              <w:rPr>
                <w:rFonts w:ascii="Liberation Serif" w:hAnsi="Liberation Serif"/>
                <w:b w:val="false"/>
                <w:bCs w:val="false"/>
                <w:i w:val="false"/>
                <w:iCs w:val="false"/>
                <w:strike w:val="false"/>
                <w:dstrike w:val="false"/>
                <w:outline w:val="false"/>
                <w:shadow w:val="false"/>
                <w:color w:val="auto"/>
                <w:sz w:val="22"/>
                <w:szCs w:val="22"/>
                <w:u w:val="none"/>
              </w:rPr>
              <w:t>0.00</w:t>
            </w:r>
            <w:r>
              <w:rPr>
                <w:rFonts w:ascii="Liberation Serif" w:hAnsi="Liberation Serif"/>
                <w:b w:val="false"/>
                <w:bCs w:val="false"/>
                <w:i w:val="false"/>
                <w:iCs w:val="false"/>
                <w:strike w:val="false"/>
                <w:dstrike w:val="false"/>
                <w:outline w:val="false"/>
                <w:shadow w:val="false"/>
                <w:color w:val="auto"/>
                <w:sz w:val="22"/>
                <w:szCs w:val="22"/>
                <w:u w:val="none"/>
              </w:rPr>
              <w:t>3</w:t>
            </w:r>
          </w:p>
        </w:tc>
      </w:tr>
    </w:tbl>
    <w:p>
      <w:pPr>
        <w:pStyle w:val="Normal"/>
        <w:widowControl/>
        <w:shd w:val="clear" w:fill="auto"/>
        <w:bidi w:val="0"/>
        <w:spacing w:lineRule="auto" w:line="331" w:before="0" w:after="0"/>
        <w:ind w:hanging="0" w:start="0" w:end="0"/>
        <w:jc w:val="start"/>
        <w:rPr>
          <w:rFonts w:ascii="Liberation Serif" w:hAnsi="Liberation Serif" w:eastAsia="Liberation Serif" w:cs="Liberation Serif"/>
        </w:rPr>
      </w:pPr>
      <w:r>
        <w:rPr>
          <w:rFonts w:eastAsia="Liberation Serif" w:cs="Liberation Serif"/>
        </w:rPr>
      </w:r>
      <w:r>
        <w:br w:type="page"/>
      </w:r>
    </w:p>
    <w:p>
      <w:pPr>
        <w:pStyle w:val="BodyText"/>
        <w:bidi w:val="0"/>
        <w:spacing w:lineRule="auto" w:line="271" w:before="0" w:after="120"/>
        <w:ind w:hanging="0" w:start="0" w:end="0"/>
        <w:jc w:val="start"/>
        <w:rPr>
          <w:sz w:val="22"/>
          <w:szCs w:val="22"/>
        </w:rPr>
      </w:pPr>
      <w:r>
        <w:rPr>
          <w:b/>
          <w:color w:val="auto"/>
          <w:sz w:val="22"/>
          <w:szCs w:val="22"/>
        </w:rPr>
        <w:t xml:space="preserve">2. </w:t>
      </w:r>
      <w:r>
        <w:rPr>
          <w:rFonts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t>Cumulative Incidence of Cardiovascular Mortality Among Long-Term Ovarian Cancer Survivors</w:t>
      </w:r>
      <w:r>
        <w:rPr>
          <w:rFonts w:eastAsia="Liberation Serif" w:cs="Liberation Serif"/>
          <w:b/>
          <w:i w:val="false"/>
          <w:iCs w:val="false"/>
          <w:caps w:val="false"/>
          <w:smallCaps w:val="false"/>
          <w:strike w:val="false"/>
          <w:dstrike w:val="false"/>
          <w:color w:val="000000"/>
          <w:position w:val="0"/>
          <w:sz w:val="22"/>
          <w:szCs w:val="22"/>
          <w:u w:val="none"/>
          <w:shd w:fill="auto" w:val="clear"/>
          <w:vertAlign w:val="baseline"/>
        </w:rPr>
        <w:t>, by Age at Diagnosis</w:t>
      </w:r>
    </w:p>
    <w:p>
      <w:pPr>
        <w:pStyle w:val="BodyText"/>
        <w:bidi w:val="0"/>
        <w:spacing w:lineRule="auto" w:line="271" w:before="0" w:after="120"/>
        <w:ind w:hanging="0" w:start="0" w:end="0"/>
        <w:jc w:val="start"/>
        <w:rPr>
          <w:rFonts w:ascii="Google Sans Text;sans-serif" w:hAnsi="Google Sans Text;sans-serif"/>
          <w:color w:val="auto"/>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671570"/>
                    </a:xfrm>
                    <a:prstGeom prst="rect">
                      <a:avLst/>
                    </a:prstGeom>
                    <a:noFill/>
                  </pic:spPr>
                </pic:pic>
              </a:graphicData>
            </a:graphic>
          </wp:anchor>
        </w:drawing>
      </w:r>
      <w:r>
        <w:rPr>
          <w:b/>
          <w:color w:val="auto"/>
        </w:rPr>
        <w:t xml:space="preserve">Figure 2: </w:t>
      </w:r>
      <w:r>
        <w:rPr>
          <w:rFonts w:eastAsia="Liberation Serif" w:cs="Liberation Serif"/>
          <w:b w:val="false"/>
          <w:bCs w:val="false"/>
          <w:color w:val="auto"/>
        </w:rPr>
        <w:t>Cumulative Incidence of Cardiovascular Death by Age at Diagnosis</w:t>
      </w:r>
    </w:p>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BodyText"/>
        <w:bidi w:val="0"/>
        <w:spacing w:lineRule="auto" w:line="271" w:before="0" w:after="120"/>
        <w:ind w:hanging="0" w:start="0" w:end="0"/>
        <w:jc w:val="start"/>
        <w:rPr>
          <w:rFonts w:ascii="Google Sans Text;sans-serif" w:hAnsi="Google Sans Text;sans-serif"/>
          <w:color w:val="auto"/>
        </w:rPr>
      </w:pPr>
      <w:r>
        <w:rPr>
          <w:rFonts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t xml:space="preserve">Table </w:t>
      </w:r>
      <w:r>
        <w:rPr>
          <w:rFonts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t>2</w:t>
      </w:r>
      <w:r>
        <w:rPr>
          <w:rFonts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Mortality Among Long-term Ovarian Cancer Survivors, by Age at Diagnosis</w:t>
      </w:r>
    </w:p>
    <w:tbl>
      <w:tblPr>
        <w:tblW w:w="9638" w:type="dxa"/>
        <w:jc w:val="start"/>
        <w:tblInd w:w="0" w:type="dxa"/>
        <w:tblLayout w:type="fixed"/>
        <w:tblCellMar>
          <w:top w:w="120" w:type="dxa"/>
          <w:start w:w="180" w:type="dxa"/>
          <w:bottom w:w="120" w:type="dxa"/>
          <w:end w:w="180" w:type="dxa"/>
        </w:tblCellMar>
      </w:tblPr>
      <w:tblGrid>
        <w:gridCol w:w="1351"/>
        <w:gridCol w:w="1041"/>
        <w:gridCol w:w="1230"/>
        <w:gridCol w:w="1258"/>
        <w:gridCol w:w="1259"/>
        <w:gridCol w:w="1521"/>
        <w:gridCol w:w="1978"/>
      </w:tblGrid>
      <w:tr>
        <w:trPr>
          <w:tblHeader w:val="true"/>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Age at Diagnosis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Cohort Size (N)</w:t>
            </w:r>
          </w:p>
        </w:tc>
        <w:tc>
          <w:tcPr>
            <w:tcW w:w="1230"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10 (60 months)</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15 (120 months)</w:t>
            </w:r>
          </w:p>
        </w:tc>
        <w:tc>
          <w:tcPr>
            <w:tcW w:w="125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Year 20 (180 months)</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Final Follow-up (Months)</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jc w:val="start"/>
              <w:rPr>
                <w:rFonts w:ascii="Cambria" w:hAnsi="Cambria"/>
                <w:b w:val="false"/>
                <w:bCs w:val="false"/>
                <w:i w:val="false"/>
                <w:iCs w:val="false"/>
                <w:strike w:val="false"/>
                <w:dstrike w:val="false"/>
                <w:outline w:val="false"/>
                <w:shadow w:val="false"/>
                <w:color w:val="auto"/>
                <w:sz w:val="22"/>
                <w:szCs w:val="24"/>
                <w:u w:val="none"/>
              </w:rPr>
            </w:pPr>
            <w:r>
              <w:rPr>
                <w:rStyle w:val="Strong"/>
                <w:rFonts w:ascii="Liberation Serif" w:hAnsi="Liberation Serif"/>
                <w:i w:val="false"/>
                <w:iCs w:val="false"/>
                <w:strike w:val="false"/>
                <w:dstrike w:val="false"/>
                <w:outline w:val="false"/>
                <w:shadow w:val="false"/>
                <w:color w:val="auto"/>
                <w:sz w:val="22"/>
                <w:szCs w:val="24"/>
                <w:u w:val="none"/>
              </w:rPr>
              <w:t>Final Cumulative Incidence (95% CI)</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bCs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20 - 39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4,401</w:t>
            </w:r>
          </w:p>
        </w:tc>
        <w:tc>
          <w:tcPr>
            <w:tcW w:w="1230"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0.09%</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0.31%</w:t>
            </w:r>
          </w:p>
        </w:tc>
        <w:tc>
          <w:tcPr>
            <w:tcW w:w="125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0.49%</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209.0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0.84% (0.31 – 1.92%)</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bCs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40 - 59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18,403</w:t>
            </w:r>
          </w:p>
        </w:tc>
        <w:tc>
          <w:tcPr>
            <w:tcW w:w="1230"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0.44%</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1.06%</w:t>
            </w:r>
          </w:p>
        </w:tc>
        <w:tc>
          <w:tcPr>
            <w:tcW w:w="125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1.98%</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213.0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2.78% (2.17 – 3.50%)</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bCs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60 - 79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13,811</w:t>
            </w:r>
          </w:p>
        </w:tc>
        <w:tc>
          <w:tcPr>
            <w:tcW w:w="1230"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2.24%</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4.93%</w:t>
            </w:r>
          </w:p>
        </w:tc>
        <w:tc>
          <w:tcPr>
            <w:tcW w:w="125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8.42%</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206.0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9.67% (8.69 – 10.71%)</w:t>
            </w:r>
          </w:p>
        </w:tc>
      </w:tr>
      <w:tr>
        <w:trPr/>
        <w:tc>
          <w:tcPr>
            <w:tcW w:w="135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bCs w:val="false"/>
                <w:i w:val="false"/>
                <w:iCs w:val="false"/>
                <w:strike w:val="false"/>
                <w:dstrike w:val="false"/>
                <w:outline w:val="false"/>
                <w:shadow w:val="false"/>
                <w:color w:val="auto"/>
                <w:sz w:val="22"/>
                <w:szCs w:val="24"/>
                <w:u w:val="none"/>
              </w:rPr>
            </w:pPr>
            <w:r>
              <w:rPr>
                <w:rFonts w:ascii="Liberation Serif" w:hAnsi="Liberation Serif"/>
                <w:b/>
                <w:bCs w:val="false"/>
                <w:i w:val="false"/>
                <w:iCs w:val="false"/>
                <w:strike w:val="false"/>
                <w:dstrike w:val="false"/>
                <w:outline w:val="false"/>
                <w:shadow w:val="false"/>
                <w:color w:val="auto"/>
                <w:sz w:val="22"/>
                <w:szCs w:val="24"/>
                <w:u w:val="none"/>
              </w:rPr>
              <w:t>80+ years</w:t>
            </w:r>
          </w:p>
        </w:tc>
        <w:tc>
          <w:tcPr>
            <w:tcW w:w="104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1,533</w:t>
            </w:r>
          </w:p>
        </w:tc>
        <w:tc>
          <w:tcPr>
            <w:tcW w:w="1230"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11.02%</w:t>
            </w:r>
          </w:p>
        </w:tc>
        <w:tc>
          <w:tcPr>
            <w:tcW w:w="125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NR</w:t>
            </w:r>
            <w:r>
              <w:rPr>
                <w:rFonts w:ascii="Liberation Serif" w:hAnsi="Liberation Serif"/>
                <w:b w:val="false"/>
                <w:bCs w:val="false"/>
                <w:i w:val="false"/>
                <w:iCs w:val="false"/>
                <w:strike w:val="false"/>
                <w:dstrike w:val="false"/>
                <w:outline w:val="false"/>
                <w:shadow w:val="false"/>
                <w:color w:val="auto"/>
                <w:sz w:val="22"/>
                <w:szCs w:val="24"/>
                <w:u w:val="none"/>
                <w:vertAlign w:val="superscript"/>
              </w:rPr>
              <w:t>a</w:t>
            </w:r>
          </w:p>
        </w:tc>
        <w:tc>
          <w:tcPr>
            <w:tcW w:w="125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NR</w:t>
            </w:r>
            <w:r>
              <w:rPr>
                <w:rFonts w:ascii="Liberation Serif" w:hAnsi="Liberation Serif"/>
                <w:b w:val="false"/>
                <w:bCs w:val="false"/>
                <w:i w:val="false"/>
                <w:iCs w:val="false"/>
                <w:strike w:val="false"/>
                <w:dstrike w:val="false"/>
                <w:outline w:val="false"/>
                <w:shadow w:val="false"/>
                <w:color w:val="auto"/>
                <w:sz w:val="22"/>
                <w:szCs w:val="24"/>
                <w:u w:val="none"/>
                <w:vertAlign w:val="superscript"/>
              </w:rPr>
              <w:t>a</w:t>
            </w:r>
          </w:p>
        </w:tc>
        <w:tc>
          <w:tcPr>
            <w:tcW w:w="1521"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110.0</w:t>
            </w:r>
          </w:p>
        </w:tc>
        <w:tc>
          <w:tcPr>
            <w:tcW w:w="1978"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auto"/>
                <w:sz w:val="22"/>
                <w:szCs w:val="24"/>
                <w:u w:val="none"/>
              </w:rPr>
            </w:pPr>
            <w:r>
              <w:rPr>
                <w:rFonts w:ascii="Liberation Serif" w:hAnsi="Liberation Serif"/>
                <w:b w:val="false"/>
                <w:bCs w:val="false"/>
                <w:i w:val="false"/>
                <w:iCs w:val="false"/>
                <w:strike w:val="false"/>
                <w:dstrike w:val="false"/>
                <w:outline w:val="false"/>
                <w:shadow w:val="false"/>
                <w:color w:val="auto"/>
                <w:sz w:val="22"/>
                <w:szCs w:val="24"/>
                <w:u w:val="none"/>
              </w:rPr>
              <w:t>16.41% (14.36 – 18.58%)</w:t>
            </w:r>
          </w:p>
        </w:tc>
      </w:tr>
    </w:tbl>
    <w:p>
      <w:pPr>
        <w:pStyle w:val="BodyText"/>
        <w:bidi w:val="0"/>
        <w:spacing w:lineRule="auto" w:line="271" w:before="0" w:after="120"/>
        <w:ind w:hanging="0" w:start="0" w:end="0"/>
        <w:jc w:val="start"/>
        <w:rPr>
          <w:rFonts w:ascii="Liberation Serif" w:hAnsi="Liberation Serif"/>
          <w:color w:val="auto"/>
          <w:sz w:val="20"/>
          <w:szCs w:val="20"/>
        </w:rPr>
      </w:pPr>
      <w:r>
        <w:rPr>
          <w:rFonts w:ascii="Liberation Serif" w:hAnsi="Liberation Serif"/>
          <w:b/>
          <w:color w:val="auto"/>
          <w:sz w:val="20"/>
          <w:szCs w:val="20"/>
        </w:rPr>
        <w:t>CI</w:t>
      </w:r>
      <w:r>
        <w:rPr>
          <w:rFonts w:ascii="Liberation Serif" w:hAnsi="Liberation Serif"/>
          <w:color w:val="auto"/>
          <w:sz w:val="20"/>
          <w:szCs w:val="20"/>
        </w:rPr>
        <w:t xml:space="preserve">, Confidence Interval; </w:t>
      </w:r>
      <w:r>
        <w:rPr>
          <w:rFonts w:ascii="Liberation Serif" w:hAnsi="Liberation Serif"/>
          <w:b/>
          <w:color w:val="auto"/>
          <w:sz w:val="20"/>
          <w:szCs w:val="20"/>
        </w:rPr>
        <w:t>NR</w:t>
      </w:r>
      <w:r>
        <w:rPr>
          <w:rFonts w:ascii="Liberation Serif" w:hAnsi="Liberation Serif"/>
          <w:color w:val="auto"/>
          <w:sz w:val="20"/>
          <w:szCs w:val="20"/>
        </w:rPr>
        <w:t>, Not Reached.</w:t>
      </w:r>
    </w:p>
    <w:p>
      <w:pPr>
        <w:pStyle w:val="BodyText"/>
        <w:bidi w:val="0"/>
        <w:spacing w:lineRule="auto" w:line="271" w:before="0" w:after="120"/>
        <w:ind w:hanging="0" w:start="0" w:end="0"/>
        <w:jc w:val="start"/>
        <w:rPr>
          <w:rFonts w:ascii="Liberation Serif" w:hAnsi="Liberation Serif"/>
          <w:color w:val="auto"/>
        </w:rPr>
      </w:pPr>
      <w:r>
        <w:rPr>
          <w:rFonts w:ascii="Liberation Serif" w:hAnsi="Liberation Serif"/>
          <w:color w:val="auto"/>
          <w:vertAlign w:val="superscript"/>
        </w:rPr>
        <w:t>a</w:t>
      </w:r>
      <w:r>
        <w:rPr>
          <w:rFonts w:ascii="Liberation Serif" w:hAnsi="Liberation Serif"/>
          <w:color w:val="auto"/>
        </w:rPr>
        <w:t xml:space="preserve"> Incidence milestones for the 80+ cohort were not reached; final estimates were dynamically truncated at 110.0 months to ensure statistical stability as the at-risk patient pool dropped below 100 individuals.</w:t>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Table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3</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Fine-Gray Subdistribution Hazard Analysis of Cardiovascular Mortality by Age</w:t>
      </w:r>
      <w:r>
        <w:rPr>
          <w:rFonts w:eastAsia="Liberation Serif" w:cs="Liberation Serif" w:ascii="Google Sans;sans-serif" w:hAnsi="Google Sans;sans-serif"/>
          <w:b/>
          <w:bCs/>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 xml:space="preserve">t </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D</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i</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g</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n</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o</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s</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i</w:t>
      </w:r>
      <w:r>
        <w:rPr>
          <w:rFonts w:eastAsia="Liberation Serif" w:cs="Liberation Serif" w:ascii="Google Sans;sans-serif" w:hAnsi="Google Sans;sans-serif"/>
          <w:b w:val="false"/>
          <w:bCs w:val="false"/>
          <w:i w:val="false"/>
          <w:iCs w:val="false"/>
          <w:caps w:val="false"/>
          <w:smallCaps w:val="false"/>
          <w:strike w:val="false"/>
          <w:dstrike w:val="false"/>
          <w:color w:val="000000"/>
          <w:position w:val="0"/>
          <w:sz w:val="22"/>
          <w:szCs w:val="22"/>
          <w:u w:val="none"/>
          <w:shd w:fill="auto" w:val="clear"/>
          <w:vertAlign w:val="baseline"/>
        </w:rPr>
        <w:t>s</w:t>
      </w:r>
    </w:p>
    <w:tbl>
      <w:tblPr>
        <w:tblW w:w="8405" w:type="dxa"/>
        <w:jc w:val="start"/>
        <w:tblInd w:w="0" w:type="dxa"/>
        <w:tblLayout w:type="fixed"/>
        <w:tblCellMar>
          <w:top w:w="0" w:type="dxa"/>
          <w:start w:w="0" w:type="dxa"/>
          <w:bottom w:w="0" w:type="dxa"/>
          <w:end w:w="0" w:type="dxa"/>
        </w:tblCellMar>
      </w:tblPr>
      <w:tblGrid>
        <w:gridCol w:w="1952"/>
        <w:gridCol w:w="3914"/>
        <w:gridCol w:w="1580"/>
        <w:gridCol w:w="959"/>
      </w:tblGrid>
      <w:tr>
        <w:trPr/>
        <w:tc>
          <w:tcPr>
            <w:tcW w:w="1952"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Age at Diagnosis</w:t>
            </w:r>
          </w:p>
        </w:tc>
        <w:tc>
          <w:tcPr>
            <w:tcW w:w="3914"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Subdistribution Hazard Ratio (sHR)</w:t>
            </w:r>
          </w:p>
        </w:tc>
        <w:tc>
          <w:tcPr>
            <w:tcW w:w="1580"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95% CI</w:t>
            </w:r>
          </w:p>
        </w:tc>
        <w:tc>
          <w:tcPr>
            <w:tcW w:w="959"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P-value</w:t>
            </w:r>
          </w:p>
        </w:tc>
      </w:tr>
      <w:tr>
        <w:trPr/>
        <w:tc>
          <w:tcPr>
            <w:tcW w:w="195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20 - 39 years</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1.00 (Ref)</w:t>
            </w:r>
          </w:p>
        </w:tc>
        <w:tc>
          <w:tcPr>
            <w:tcW w:w="1580"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p>
        </w:tc>
        <w:tc>
          <w:tcPr>
            <w:tcW w:w="959"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195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40 - 59 years</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3.92</w:t>
            </w:r>
          </w:p>
        </w:tc>
        <w:tc>
          <w:tcPr>
            <w:tcW w:w="1580"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2.19 – 7.01</w:t>
            </w:r>
          </w:p>
        </w:tc>
        <w:tc>
          <w:tcPr>
            <w:tcW w:w="959"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&lt;0.001</w:t>
            </w:r>
          </w:p>
        </w:tc>
      </w:tr>
      <w:tr>
        <w:trPr/>
        <w:tc>
          <w:tcPr>
            <w:tcW w:w="195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60 - 79 years</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17.08</w:t>
            </w:r>
          </w:p>
        </w:tc>
        <w:tc>
          <w:tcPr>
            <w:tcW w:w="1580"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9.66 – 30.21</w:t>
            </w:r>
          </w:p>
        </w:tc>
        <w:tc>
          <w:tcPr>
            <w:tcW w:w="959"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&lt;0.001</w:t>
            </w:r>
          </w:p>
        </w:tc>
      </w:tr>
      <w:tr>
        <w:trPr/>
        <w:tc>
          <w:tcPr>
            <w:tcW w:w="1952"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80+ years</w:t>
            </w:r>
          </w:p>
        </w:tc>
        <w:tc>
          <w:tcPr>
            <w:tcW w:w="3914"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58.35</w:t>
            </w:r>
          </w:p>
        </w:tc>
        <w:tc>
          <w:tcPr>
            <w:tcW w:w="1580"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32.71 – 104.08</w:t>
            </w:r>
          </w:p>
        </w:tc>
        <w:tc>
          <w:tcPr>
            <w:tcW w:w="959"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&lt;0.001</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ascii="Liberation Serif" w:hAnsi="Liberation Serif"/>
          <w:position w:val="0"/>
          <w:sz w:val="22"/>
          <w:vertAlign w:val="baseline"/>
        </w:rPr>
        <w:t xml:space="preserve">* </w:t>
      </w:r>
      <w:r>
        <w:rPr>
          <w:rFonts w:ascii="Liberation Serif" w:hAnsi="Liberation Serif"/>
          <w:color w:val="auto"/>
          <w:spacing w:val="0"/>
        </w:rPr>
        <w:t>Data was shown as sHR (95% CI). Ref, reference; sHR:  subdistribution hazard ratio; CI, confidence interval.</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widowControl/>
        <w:shd w:val="clear" w:fill="auto"/>
        <w:bidi w:val="0"/>
        <w:spacing w:lineRule="auto" w:line="276" w:before="0" w:after="0"/>
        <w:ind w:hanging="0" w:start="0" w:end="0"/>
        <w:jc w:val="start"/>
        <w:rPr>
          <w:b/>
        </w:rPr>
      </w:pPr>
      <w:r>
        <w:rPr>
          <w:b/>
        </w:rPr>
      </w:r>
      <w:r>
        <w:br w:type="page"/>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ascii="Liberation Serif" w:hAnsi="Liberation Serif"/>
          <w:b/>
          <w:color w:val="auto"/>
        </w:rPr>
        <w:t xml:space="preserve">3.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 by Income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120130" cy="3671570"/>
                    </a:xfrm>
                    <a:prstGeom prst="rect">
                      <a:avLst/>
                    </a:prstGeom>
                    <a:noFill/>
                  </pic:spPr>
                </pic:pic>
              </a:graphicData>
            </a:graphic>
          </wp:anchor>
        </w:drawing>
      </w:r>
    </w:p>
    <w:p>
      <w:pPr>
        <w:pStyle w:val="BodyText"/>
        <w:bidi w:val="0"/>
        <w:jc w:val="start"/>
        <w:rPr>
          <w:rFonts w:ascii="Liberation Serif" w:hAnsi="Liberation Serif"/>
          <w:color w:val="auto"/>
          <w:sz w:val="22"/>
          <w:szCs w:val="22"/>
        </w:rPr>
      </w:pPr>
      <w:r>
        <w:rPr>
          <w:b/>
          <w:color w:val="auto"/>
          <w:sz w:val="22"/>
          <w:szCs w:val="22"/>
        </w:rPr>
        <w:t xml:space="preserve">Figure 3: </w:t>
      </w:r>
      <w:r>
        <w:rPr>
          <w:b w:val="false"/>
          <w:bCs w:val="false"/>
          <w:color w:val="auto"/>
          <w:sz w:val="22"/>
          <w:szCs w:val="22"/>
        </w:rPr>
        <w:t>Cumulative Incidence of Cardiovascular Death by Income</w:t>
      </w:r>
    </w:p>
    <w:tbl>
      <w:tblPr>
        <w:tblW w:w="9660" w:type="dxa"/>
        <w:jc w:val="start"/>
        <w:tblInd w:w="0" w:type="dxa"/>
        <w:tblLayout w:type="fixed"/>
        <w:tblCellMar>
          <w:top w:w="0" w:type="dxa"/>
          <w:start w:w="0" w:type="dxa"/>
          <w:bottom w:w="0" w:type="dxa"/>
          <w:end w:w="0" w:type="dxa"/>
        </w:tblCellMar>
      </w:tblPr>
      <w:tblGrid>
        <w:gridCol w:w="1530"/>
        <w:gridCol w:w="1708"/>
        <w:gridCol w:w="1982"/>
        <w:gridCol w:w="2700"/>
        <w:gridCol w:w="1740"/>
      </w:tblGrid>
      <w:tr>
        <w:trPr/>
        <w:tc>
          <w:tcPr>
            <w:tcW w:w="153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Income Groups</w:t>
            </w:r>
          </w:p>
        </w:tc>
        <w:tc>
          <w:tcPr>
            <w:tcW w:w="17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Cohort Size (N%)</w:t>
            </w:r>
          </w:p>
        </w:tc>
        <w:tc>
          <w:tcPr>
            <w:tcW w:w="198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Final Follow-up (Months%)</w:t>
            </w:r>
          </w:p>
        </w:tc>
        <w:tc>
          <w:tcPr>
            <w:tcW w:w="270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Cumulative Incidence (95% CI%)</w:t>
            </w:r>
          </w:p>
        </w:tc>
        <w:tc>
          <w:tcPr>
            <w:tcW w:w="174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auto"/>
                <w:sz w:val="22"/>
                <w:szCs w:val="22"/>
                <w:u w:val="none"/>
              </w:rPr>
              <w:t>Standard Error</w:t>
            </w:r>
          </w:p>
        </w:tc>
      </w:tr>
      <w:tr>
        <w:trPr>
          <w:trHeight w:val="691" w:hRule="exact"/>
        </w:trPr>
        <w:tc>
          <w:tcPr>
            <w:tcW w:w="153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$100,000+</w:t>
            </w:r>
          </w:p>
        </w:tc>
        <w:tc>
          <w:tcPr>
            <w:tcW w:w="17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162,151</w:t>
            </w:r>
          </w:p>
        </w:tc>
        <w:tc>
          <w:tcPr>
            <w:tcW w:w="198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8.61% (8.29% – 8.94%%)</w:t>
            </w:r>
          </w:p>
        </w:tc>
        <w:tc>
          <w:tcPr>
            <w:tcW w:w="174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0.002</w:t>
            </w:r>
          </w:p>
        </w:tc>
      </w:tr>
      <w:tr>
        <w:trPr>
          <w:trHeight w:val="691" w:hRule="exact"/>
        </w:trPr>
        <w:tc>
          <w:tcPr>
            <w:tcW w:w="153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$60,000 - $99,999</w:t>
            </w:r>
          </w:p>
        </w:tc>
        <w:tc>
          <w:tcPr>
            <w:tcW w:w="17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499,634</w:t>
            </w:r>
          </w:p>
        </w:tc>
        <w:tc>
          <w:tcPr>
            <w:tcW w:w="198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9.72% (8.48% – 9.96%%)</w:t>
            </w:r>
          </w:p>
        </w:tc>
        <w:tc>
          <w:tcPr>
            <w:tcW w:w="174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0.001</w:t>
            </w:r>
          </w:p>
        </w:tc>
      </w:tr>
      <w:tr>
        <w:trPr>
          <w:trHeight w:val="691" w:hRule="exact"/>
        </w:trPr>
        <w:tc>
          <w:tcPr>
            <w:tcW w:w="153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 $60,000</w:t>
            </w:r>
          </w:p>
        </w:tc>
        <w:tc>
          <w:tcPr>
            <w:tcW w:w="17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85,857</w:t>
            </w:r>
          </w:p>
        </w:tc>
        <w:tc>
          <w:tcPr>
            <w:tcW w:w="198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215</w:t>
            </w:r>
          </w:p>
        </w:tc>
        <w:tc>
          <w:tcPr>
            <w:tcW w:w="270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11.03% (10.59% – 11.48%%)</w:t>
            </w:r>
          </w:p>
        </w:tc>
        <w:tc>
          <w:tcPr>
            <w:tcW w:w="17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0.002</w:t>
            </w:r>
          </w:p>
        </w:tc>
      </w:tr>
    </w:tbl>
    <w:p>
      <w:pPr>
        <w:pStyle w:val="Normal"/>
        <w:bidi w:val="0"/>
        <w:jc w:val="start"/>
        <w:rPr>
          <w:rFonts w:ascii="Liberation Serif" w:hAnsi="Liberation Serif"/>
          <w:b w:val="false"/>
          <w:bCs w:val="false"/>
          <w:color w:val="auto"/>
        </w:rPr>
      </w:pPr>
      <w:r>
        <w:rPr>
          <w:b w:val="false"/>
          <w:bCs w:val="false"/>
          <w:color w:val="auto"/>
        </w:rPr>
      </w:r>
    </w:p>
    <w:p>
      <w:pPr>
        <w:pStyle w:val="BodyText"/>
        <w:bidi w:val="0"/>
        <w:spacing w:lineRule="auto" w:line="271" w:before="0" w:after="120"/>
        <w:ind w:hanging="0" w:start="0" w:end="0"/>
        <w:jc w:val="start"/>
        <w:rPr>
          <w:rFonts w:ascii="Google Sans Text;sans-serif" w:hAnsi="Google Sans Text;sans-serif"/>
          <w:color w:val="auto"/>
        </w:rPr>
      </w:pPr>
      <w:r>
        <w:rPr>
          <w:b/>
          <w:bCs/>
          <w:color w:val="auto"/>
          <w:sz w:val="22"/>
          <w:szCs w:val="22"/>
        </w:rPr>
        <w:t>Cumulative Incidence post 5+ years milestones of Cardiovascular Mortality by Income:</w:t>
      </w:r>
    </w:p>
    <w:tbl>
      <w:tblPr>
        <w:tblW w:w="9638" w:type="dxa"/>
        <w:jc w:val="start"/>
        <w:tblInd w:w="0" w:type="dxa"/>
        <w:tblLayout w:type="fixed"/>
        <w:tblCellMar>
          <w:top w:w="28" w:type="dxa"/>
          <w:start w:w="28" w:type="dxa"/>
          <w:bottom w:w="28" w:type="dxa"/>
          <w:end w:w="28" w:type="dxa"/>
        </w:tblCellMar>
      </w:tblPr>
      <w:tblGrid>
        <w:gridCol w:w="2897"/>
        <w:gridCol w:w="2155"/>
        <w:gridCol w:w="2269"/>
        <w:gridCol w:w="2317"/>
      </w:tblGrid>
      <w:tr>
        <w:trPr>
          <w:tblHeader w:val="true"/>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Median Household Income</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10 (60 months%)</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15 (120 months%)</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2"/>
                <w:szCs w:val="22"/>
              </w:rPr>
              <w:t>Year 20 (180 months%)</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$100,000+</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2.31%</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4.73%</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7.14%</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$60,000 – $99,999</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2.62%</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5.33%</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8.08%</w:t>
            </w:r>
          </w:p>
        </w:tc>
      </w:tr>
      <w:tr>
        <w:trPr/>
        <w:tc>
          <w:tcPr>
            <w:tcW w:w="28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&lt; $60,000</w:t>
            </w:r>
          </w:p>
        </w:tc>
        <w:tc>
          <w:tcPr>
            <w:tcW w:w="215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3.30%</w:t>
            </w:r>
          </w:p>
        </w:tc>
        <w:tc>
          <w:tcPr>
            <w:tcW w:w="226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6.76%</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Google Sans Text;sans-serif" w:hAnsi="Google Sans Text;sans-serif"/>
                <w:b w:val="false"/>
                <w:bCs w:val="false"/>
              </w:rPr>
            </w:pPr>
            <w:r>
              <w:rPr>
                <w:rFonts w:ascii="Liberation Serif" w:hAnsi="Liberation Serif"/>
                <w:b w:val="false"/>
                <w:bCs w:val="false"/>
                <w:color w:val="auto"/>
                <w:sz w:val="22"/>
                <w:szCs w:val="22"/>
              </w:rPr>
              <w:t>9.93%</w:t>
            </w:r>
          </w:p>
        </w:tc>
      </w:tr>
    </w:tbl>
    <w:p>
      <w:pPr>
        <w:pStyle w:val="BodyText"/>
        <w:bidi w:val="0"/>
        <w:spacing w:lineRule="auto" w:line="271" w:before="0" w:after="120"/>
        <w:ind w:hanging="0" w:start="0" w:end="0"/>
        <w:jc w:val="start"/>
        <w:rPr>
          <w:rFonts w:ascii="Google Sans Text;sans-serif" w:hAnsi="Google Sans Text;sans-serif"/>
          <w:color w:val="auto"/>
        </w:rPr>
      </w:pPr>
      <w:r>
        <w:rPr>
          <w:rFonts w:ascii="Google Sans Text;sans-serif" w:hAnsi="Google Sans Text;sans-serif"/>
          <w:color w:val="auto"/>
        </w:rPr>
      </w:r>
    </w:p>
    <w:p>
      <w:pPr>
        <w:pStyle w:val="Heading3"/>
        <w:bidi w:val="0"/>
        <w:spacing w:lineRule="auto" w:line="271" w:before="0" w:after="120"/>
        <w:ind w:hanging="0" w:start="0" w:end="0"/>
        <w:jc w:val="start"/>
        <w:rPr>
          <w:rFonts w:ascii="Google Sans Text;sans-serif" w:hAnsi="Google Sans Text;sans-serif"/>
          <w:color w:val="auto"/>
        </w:rPr>
      </w:pPr>
      <w:r>
        <w:rPr>
          <w:rFonts w:eastAsia="Noto Serif CJK SC" w:cs="Noto Sans Devanagari" w:ascii="Liberation Serif" w:hAnsi="Liberation Serif"/>
          <w:b/>
          <w:bCs/>
          <w:color w:val="auto"/>
          <w:kern w:val="2"/>
          <w:sz w:val="22"/>
          <w:szCs w:val="22"/>
        </w:rPr>
        <w:t xml:space="preserve">Table 2: </w:t>
      </w:r>
      <w:r>
        <w:rPr>
          <w:rFonts w:eastAsia="Noto Serif CJK SC" w:cs="Noto Sans Devanagari" w:ascii="Liberation Serif" w:hAnsi="Liberation Serif"/>
          <w:b w:val="false"/>
          <w:bCs w:val="false"/>
          <w:color w:val="auto"/>
          <w:kern w:val="2"/>
          <w:sz w:val="22"/>
          <w:szCs w:val="22"/>
        </w:rPr>
        <w:t>Fine-Gray Subdistribution Hazard Analysis of Cardiovascular Mortality by Income</w:t>
      </w:r>
    </w:p>
    <w:tbl>
      <w:tblPr>
        <w:tblW w:w="9131" w:type="dxa"/>
        <w:jc w:val="start"/>
        <w:tblInd w:w="0" w:type="dxa"/>
        <w:tblLayout w:type="fixed"/>
        <w:tblCellMar>
          <w:top w:w="0" w:type="dxa"/>
          <w:start w:w="0" w:type="dxa"/>
          <w:bottom w:w="0" w:type="dxa"/>
          <w:end w:w="0" w:type="dxa"/>
        </w:tblCellMar>
      </w:tblPr>
      <w:tblGrid>
        <w:gridCol w:w="3056"/>
        <w:gridCol w:w="3910"/>
        <w:gridCol w:w="1208"/>
        <w:gridCol w:w="957"/>
      </w:tblGrid>
      <w:tr>
        <w:trPr/>
        <w:tc>
          <w:tcPr>
            <w:tcW w:w="305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Median Household Income</w:t>
            </w:r>
          </w:p>
        </w:tc>
        <w:tc>
          <w:tcPr>
            <w:tcW w:w="391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3056"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$100,000+</w:t>
            </w:r>
          </w:p>
        </w:tc>
        <w:tc>
          <w:tcPr>
            <w:tcW w:w="391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3056"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$60,000 – $99,999</w:t>
            </w:r>
          </w:p>
        </w:tc>
        <w:tc>
          <w:tcPr>
            <w:tcW w:w="391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1.14</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1.08 – 1.19</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05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 $60,000</w:t>
            </w:r>
          </w:p>
        </w:tc>
        <w:tc>
          <w:tcPr>
            <w:tcW w:w="391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1.39</w:t>
            </w:r>
          </w:p>
        </w:tc>
        <w:tc>
          <w:tcPr>
            <w:tcW w:w="12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1.31 – 1.49</w:t>
            </w:r>
          </w:p>
        </w:tc>
        <w:tc>
          <w:tcPr>
            <w:tcW w:w="95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ascii="Liberation Serif" w:hAnsi="Liberation Serif"/>
          <w:b w:val="false"/>
          <w:i w:val="false"/>
          <w:caps w:val="false"/>
          <w:smallCap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ascii="Liberation Serif" w:hAnsi="Liberation Serif"/>
          <w:b/>
          <w:color w:val="auto"/>
        </w:rPr>
        <w:t xml:space="preserve">4.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Cumulative Incidence of Cardiovascular Mortality Among Long-Term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O</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v</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r</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i</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a</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n</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ascii="Liberation Serif" w:hAnsi="Liberation Serif"/>
          <w:b/>
          <w:color w:val="auto"/>
        </w:rPr>
        <w:t>by Race/Ethnicity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120130" cy="3671570"/>
                    </a:xfrm>
                    <a:prstGeom prst="rect">
                      <a:avLst/>
                    </a:prstGeom>
                    <a:noFill/>
                  </pic:spPr>
                </pic:pic>
              </a:graphicData>
            </a:graphic>
          </wp:anchor>
        </w:drawing>
      </w:r>
      <w:r>
        <w:rPr>
          <w:rFonts w:ascii="Liberation Serif" w:hAnsi="Liberation Serif"/>
          <w:b/>
          <w:color w:val="auto"/>
        </w:rPr>
        <w:t xml:space="preserve">Figure 4: </w:t>
      </w:r>
      <w:r>
        <w:rPr>
          <w:rFonts w:ascii="Liberation Serif" w:hAnsi="Liberation Serif"/>
          <w:b w:val="false"/>
          <w:bCs w:val="false"/>
          <w:color w:val="auto"/>
        </w:rPr>
        <w:t>Cumulative Incidence of Cardiovascular Death by Race/Ethnicity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r>
    </w:p>
    <w:p>
      <w:pPr>
        <w:pStyle w:val="BodyText"/>
        <w:bidi w:val="0"/>
        <w:spacing w:lineRule="auto" w:line="271" w:before="0" w:after="120"/>
        <w:ind w:hanging="0" w:start="0" w:end="0"/>
        <w:jc w:val="start"/>
        <w:rPr>
          <w:rFonts w:ascii="Google Sans Text;sans-serif" w:hAnsi="Google Sans Text;sans-serif"/>
          <w:color w:val="auto"/>
        </w:rPr>
      </w:pPr>
      <w:r>
        <w:rPr>
          <w:b/>
          <w:bCs/>
        </w:rPr>
        <w:t xml:space="preserve">Table </w:t>
      </w:r>
      <w:r>
        <w:rPr>
          <w:b/>
          <w:bCs/>
        </w:rPr>
        <w:t>2</w:t>
      </w:r>
      <w:r>
        <w:rPr>
          <w:b/>
          <w:bCs/>
        </w:rPr>
        <w:t xml:space="preserve">: </w:t>
      </w:r>
      <w:r>
        <w:rPr/>
        <w:t xml:space="preserve">Cumulative Incidence of Cardiovascular Mortality Among Long-term Ovarian Cancer Survivors, by </w:t>
      </w:r>
      <w:r>
        <w:rPr/>
        <w:t>Race/Ethnicity</w:t>
      </w:r>
    </w:p>
    <w:tbl>
      <w:tblPr>
        <w:tblW w:w="9638" w:type="dxa"/>
        <w:jc w:val="start"/>
        <w:tblInd w:w="0" w:type="dxa"/>
        <w:tblLayout w:type="fixed"/>
        <w:tblCellMar>
          <w:top w:w="120" w:type="dxa"/>
          <w:start w:w="180" w:type="dxa"/>
          <w:bottom w:w="120" w:type="dxa"/>
          <w:end w:w="180" w:type="dxa"/>
        </w:tblCellMar>
      </w:tblPr>
      <w:tblGrid>
        <w:gridCol w:w="2149"/>
        <w:gridCol w:w="1144"/>
        <w:gridCol w:w="994"/>
        <w:gridCol w:w="1036"/>
        <w:gridCol w:w="1036"/>
        <w:gridCol w:w="1552"/>
        <w:gridCol w:w="1727"/>
      </w:tblGrid>
      <w:tr>
        <w:trPr>
          <w:tblHeader w:val="true"/>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Race / Ethnicity</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Cohort Size (N)</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Year 10 (60 mo)</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Year 15 (120 mo)</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Year 20 (180 mo)</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Final Follow-up (Mo)</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0"/>
              <w:ind w:hanging="0" w:start="0" w:end="0"/>
              <w:rPr/>
            </w:pPr>
            <w:r>
              <w:rPr>
                <w:rStyle w:val="Strong"/>
                <w:rFonts w:ascii="Liberation Serif" w:hAnsi="Liberation Serif"/>
              </w:rPr>
              <w:t>Final Incidence (95% CI)</w:t>
            </w:r>
          </w:p>
        </w:tc>
      </w:tr>
      <w:tr>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b/>
              </w:rPr>
            </w:pPr>
            <w:r>
              <w:rPr>
                <w:rFonts w:ascii="Liberation Serif" w:hAnsi="Liberation Serif"/>
                <w:b/>
              </w:rPr>
              <w:t>Non-Hispanic White</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26,821</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1.71%</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3.28%</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5.03%</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214.0</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6.12% (5.47 – 6.81%)</w:t>
            </w:r>
          </w:p>
        </w:tc>
      </w:tr>
      <w:tr>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b/>
              </w:rPr>
            </w:pPr>
            <w:r>
              <w:rPr>
                <w:rFonts w:ascii="Liberation Serif" w:hAnsi="Liberation Serif"/>
                <w:b/>
              </w:rPr>
              <w:t>Non-Hispanic Black</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2,285</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1.71%</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3.97%</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6.11%</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193.0</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6.11% (4.69 – 7.78%)</w:t>
            </w:r>
          </w:p>
        </w:tc>
      </w:tr>
      <w:tr>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b/>
              </w:rPr>
            </w:pPr>
            <w:r>
              <w:rPr>
                <w:rFonts w:ascii="Liberation Serif" w:hAnsi="Liberation Serif"/>
                <w:b/>
              </w:rPr>
              <w:t>Hispanic</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5,048</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0.75%</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1.91%</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4.03%</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200.0</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4.54% (3.42 – 5.90%)</w:t>
            </w:r>
          </w:p>
        </w:tc>
      </w:tr>
      <w:tr>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b/>
              </w:rPr>
            </w:pPr>
            <w:r>
              <w:rPr>
                <w:rFonts w:ascii="Liberation Serif" w:hAnsi="Liberation Serif"/>
                <w:b/>
              </w:rPr>
              <w:t>Asian / Pacific Islander</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3,652</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0.71%</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1.26%</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1.91%</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201.0</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2.66% (1.62 – 4.12%)</w:t>
            </w:r>
          </w:p>
        </w:tc>
      </w:tr>
      <w:tr>
        <w:trPr/>
        <w:tc>
          <w:tcPr>
            <w:tcW w:w="2149"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b/>
              </w:rPr>
            </w:pPr>
            <w:r>
              <w:rPr>
                <w:rFonts w:ascii="Liberation Serif" w:hAnsi="Liberation Serif"/>
                <w:b/>
              </w:rPr>
              <w:t>Amer. Indian / Alaska Native</w:t>
            </w:r>
          </w:p>
        </w:tc>
        <w:tc>
          <w:tcPr>
            <w:tcW w:w="114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237</w:t>
            </w:r>
          </w:p>
        </w:tc>
        <w:tc>
          <w:tcPr>
            <w:tcW w:w="994"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0.42%</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NR</w:t>
            </w:r>
            <w:r>
              <w:rPr>
                <w:rFonts w:ascii="Liberation Serif" w:hAnsi="Liberation Serif"/>
                <w:vertAlign w:val="superscript"/>
              </w:rPr>
              <w:t>a</w:t>
            </w:r>
          </w:p>
        </w:tc>
        <w:tc>
          <w:tcPr>
            <w:tcW w:w="1036"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NR</w:t>
            </w:r>
            <w:r>
              <w:rPr>
                <w:rFonts w:ascii="Liberation Serif" w:hAnsi="Liberation Serif"/>
                <w:vertAlign w:val="superscript"/>
              </w:rPr>
              <w:t>a</w:t>
            </w:r>
          </w:p>
        </w:tc>
        <w:tc>
          <w:tcPr>
            <w:tcW w:w="1552"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82.0</w:t>
            </w:r>
          </w:p>
        </w:tc>
        <w:tc>
          <w:tcPr>
            <w:tcW w:w="1727" w:type="dxa"/>
            <w:tcBorders>
              <w:top w:val="single" w:sz="2" w:space="0" w:color="C4C7C5"/>
              <w:start w:val="single" w:sz="2" w:space="0" w:color="C4C7C5"/>
              <w:bottom w:val="single" w:sz="2" w:space="0" w:color="C4C7C5"/>
              <w:end w:val="single" w:sz="2" w:space="0" w:color="C4C7C5"/>
            </w:tcBorders>
            <w:vAlign w:val="center"/>
          </w:tcPr>
          <w:p>
            <w:pPr>
              <w:pStyle w:val="TableContents"/>
              <w:spacing w:lineRule="auto" w:line="274" w:before="0" w:after="140"/>
              <w:ind w:hanging="0" w:start="0" w:end="0"/>
              <w:rPr>
                <w:rFonts w:ascii="Liberation Serif" w:hAnsi="Liberation Serif"/>
              </w:rPr>
            </w:pPr>
            <w:r>
              <w:rPr>
                <w:rFonts w:ascii="Liberation Serif" w:hAnsi="Liberation Serif"/>
              </w:rPr>
              <w:t>0.42% (0.04 – 2.18%)</w:t>
            </w:r>
          </w:p>
        </w:tc>
      </w:tr>
    </w:tbl>
    <w:p>
      <w:pPr>
        <w:pStyle w:val="BodyText"/>
        <w:bidi w:val="0"/>
        <w:spacing w:lineRule="auto" w:line="271" w:before="0" w:after="120"/>
        <w:ind w:hanging="0" w:start="0" w:end="0"/>
        <w:jc w:val="start"/>
        <w:rPr>
          <w:rFonts w:ascii="Liberation Serif" w:hAnsi="Liberation Serif"/>
          <w:color w:val="auto"/>
          <w:sz w:val="20"/>
          <w:szCs w:val="20"/>
        </w:rPr>
      </w:pPr>
      <w:r>
        <w:rPr>
          <w:rFonts w:ascii="Liberation Serif" w:hAnsi="Liberation Serif"/>
          <w:b/>
          <w:color w:val="auto"/>
          <w:sz w:val="20"/>
          <w:szCs w:val="20"/>
        </w:rPr>
        <w:t>CI</w:t>
      </w:r>
      <w:r>
        <w:rPr>
          <w:rFonts w:ascii="Liberation Serif" w:hAnsi="Liberation Serif"/>
          <w:color w:val="auto"/>
          <w:sz w:val="20"/>
          <w:szCs w:val="20"/>
        </w:rPr>
        <w:t xml:space="preserve">, Confidence Interval; </w:t>
      </w:r>
      <w:r>
        <w:rPr>
          <w:rFonts w:ascii="Liberation Serif" w:hAnsi="Liberation Serif"/>
          <w:b/>
          <w:color w:val="auto"/>
          <w:sz w:val="20"/>
          <w:szCs w:val="20"/>
        </w:rPr>
        <w:t>NR</w:t>
      </w:r>
      <w:r>
        <w:rPr>
          <w:rFonts w:ascii="Liberation Serif" w:hAnsi="Liberation Serif"/>
          <w:color w:val="auto"/>
          <w:sz w:val="20"/>
          <w:szCs w:val="20"/>
        </w:rPr>
        <w:t>, Not Reached.</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Heading3"/>
        <w:widowControl/>
        <w:shd w:val="clear" w:fill="auto"/>
        <w:spacing w:lineRule="auto" w:line="276" w:before="0" w:after="0"/>
        <w:ind w:hanging="0" w:start="0" w:end="0"/>
        <w:jc w:val="start"/>
        <w:rPr>
          <w:rFonts w:ascii="Liberation Serif" w:hAnsi="Liberation Serif"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r>
      <w:r>
        <w:br w:type="page"/>
      </w:r>
    </w:p>
    <w:p>
      <w:pPr>
        <w:pStyle w:val="Heading3"/>
        <w:widowControl/>
        <w:shd w:val="clear" w:fill="auto"/>
        <w:spacing w:lineRule="auto" w:line="276" w:before="0" w:after="0"/>
        <w:ind w:hanging="0" w:start="0" w:end="0"/>
        <w:jc w:val="start"/>
        <w:rPr>
          <w:rFonts w:ascii="Liberation Serif" w:hAnsi="Liberation Serif" w:eastAsia="Liberation Serif" w:cs="Liberation Serif"/>
          <w:b/>
          <w:bCs/>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Table 3: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Fine-Gray Subdistribution Hazard Analysis of Cardiovascular Mortality by Race and Ethnicity</w:t>
      </w:r>
    </w:p>
    <w:tbl>
      <w:tblPr>
        <w:tblW w:w="8687" w:type="dxa"/>
        <w:jc w:val="start"/>
        <w:tblInd w:w="0" w:type="dxa"/>
        <w:tblLayout w:type="fixed"/>
        <w:tblCellMar>
          <w:top w:w="0" w:type="dxa"/>
          <w:start w:w="0" w:type="dxa"/>
          <w:bottom w:w="0" w:type="dxa"/>
          <w:end w:w="0" w:type="dxa"/>
        </w:tblCellMar>
      </w:tblPr>
      <w:tblGrid>
        <w:gridCol w:w="2612"/>
        <w:gridCol w:w="3914"/>
        <w:gridCol w:w="1202"/>
        <w:gridCol w:w="959"/>
      </w:tblGrid>
      <w:tr>
        <w:trPr/>
        <w:tc>
          <w:tcPr>
            <w:tcW w:w="2612"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Race / Ethnicity</w:t>
            </w:r>
          </w:p>
        </w:tc>
        <w:tc>
          <w:tcPr>
            <w:tcW w:w="3914"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Subdistribution Hazard Ratio (sHR)</w:t>
            </w:r>
          </w:p>
        </w:tc>
        <w:tc>
          <w:tcPr>
            <w:tcW w:w="1202"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95% CI</w:t>
            </w:r>
          </w:p>
        </w:tc>
        <w:tc>
          <w:tcPr>
            <w:tcW w:w="959" w:type="dxa"/>
            <w:tcBorders>
              <w:top w:val="single" w:sz="6" w:space="0" w:color="000000"/>
              <w:bottom w:val="single" w:sz="6" w:space="0" w:color="000000"/>
            </w:tcBorders>
            <w:vAlign w:val="center"/>
          </w:tcPr>
          <w:p>
            <w:pPr>
              <w:pStyle w:val="TableContents"/>
              <w:spacing w:lineRule="auto" w:line="274"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000000"/>
                <w:sz w:val="24"/>
                <w:szCs w:val="24"/>
                <w:u w:val="none"/>
              </w:rPr>
              <w:t>P-value</w:t>
            </w:r>
          </w:p>
        </w:tc>
      </w:tr>
      <w:tr>
        <w:trPr/>
        <w:tc>
          <w:tcPr>
            <w:tcW w:w="261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Non-Hispanic White</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1.00 (Ref)</w:t>
            </w:r>
          </w:p>
        </w:tc>
        <w:tc>
          <w:tcPr>
            <w:tcW w:w="120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p>
        </w:tc>
        <w:tc>
          <w:tcPr>
            <w:tcW w:w="959"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p>
        </w:tc>
      </w:tr>
      <w:tr>
        <w:trPr/>
        <w:tc>
          <w:tcPr>
            <w:tcW w:w="261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Non-Hispanic Black</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1.12</w:t>
            </w:r>
          </w:p>
        </w:tc>
        <w:tc>
          <w:tcPr>
            <w:tcW w:w="120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0.89 – 1.41</w:t>
            </w:r>
          </w:p>
        </w:tc>
        <w:tc>
          <w:tcPr>
            <w:tcW w:w="959" w:type="dxa"/>
            <w:tcBorders/>
            <w:vAlign w:val="center"/>
          </w:tcPr>
          <w:p>
            <w:pPr>
              <w:pStyle w:val="TableContents"/>
              <w:spacing w:lineRule="auto" w:line="274" w:before="0" w:after="140"/>
              <w:ind w:hanging="0" w:start="0" w:end="0"/>
              <w:jc w:val="start"/>
              <w:rPr>
                <w:rFonts w:ascii="Liberation Serif" w:hAnsi="Liberation Serif"/>
              </w:rPr>
            </w:pPr>
            <w:r>
              <w:rPr>
                <w:rFonts w:ascii="Liberation Serif" w:hAnsi="Liberation Serif"/>
                <w:b w:val="false"/>
                <w:bCs w:val="false"/>
                <w:i w:val="false"/>
                <w:iCs w:val="false"/>
                <w:strike w:val="false"/>
                <w:dstrike w:val="false"/>
                <w:outline w:val="false"/>
                <w:shadow w:val="false"/>
                <w:color w:val="000000"/>
                <w:sz w:val="24"/>
                <w:szCs w:val="24"/>
                <w:u w:val="none"/>
              </w:rPr>
              <w:t>0.35</w:t>
            </w:r>
          </w:p>
        </w:tc>
      </w:tr>
      <w:tr>
        <w:trPr/>
        <w:tc>
          <w:tcPr>
            <w:tcW w:w="261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Hispanic</w:t>
            </w:r>
          </w:p>
        </w:tc>
        <w:tc>
          <w:tcPr>
            <w:tcW w:w="3914"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0.62</w:t>
            </w:r>
          </w:p>
        </w:tc>
        <w:tc>
          <w:tcPr>
            <w:tcW w:w="1202"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0.50 – 0.77</w:t>
            </w:r>
          </w:p>
        </w:tc>
        <w:tc>
          <w:tcPr>
            <w:tcW w:w="959" w:type="dxa"/>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&lt;0.001</w:t>
            </w:r>
          </w:p>
        </w:tc>
      </w:tr>
      <w:tr>
        <w:trPr/>
        <w:tc>
          <w:tcPr>
            <w:tcW w:w="2612"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Asian / Pacific Islander</w:t>
            </w:r>
          </w:p>
        </w:tc>
        <w:tc>
          <w:tcPr>
            <w:tcW w:w="3914"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0.39</w:t>
            </w:r>
          </w:p>
        </w:tc>
        <w:tc>
          <w:tcPr>
            <w:tcW w:w="1202"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0.29 – 0.54</w:t>
            </w:r>
          </w:p>
        </w:tc>
        <w:tc>
          <w:tcPr>
            <w:tcW w:w="959" w:type="dxa"/>
            <w:tcBorders>
              <w:bottom w:val="single" w:sz="6" w:space="0" w:color="000000"/>
            </w:tcBorders>
            <w:vAlign w:val="center"/>
          </w:tcPr>
          <w:p>
            <w:pPr>
              <w:pStyle w:val="TableContents"/>
              <w:spacing w:lineRule="auto" w:line="274"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&lt;0.001</w:t>
            </w:r>
          </w:p>
        </w:tc>
      </w:tr>
    </w:tbl>
    <w:p>
      <w:pPr>
        <w:pStyle w:val="normal1"/>
        <w:widowControl/>
        <w:shd w:val="clear" w:fill="auto"/>
        <w:spacing w:lineRule="auto" w:line="276" w:before="0" w:after="0"/>
        <w:ind w:hanging="0" w:start="0" w:end="0"/>
        <w:jc w:val="start"/>
        <w:rPr>
          <w:color w:val="auto"/>
        </w:rPr>
      </w:pPr>
      <w:r>
        <w:rPr>
          <w:rFonts w:ascii="Liberation Serif" w:hAnsi="Liberation Serif"/>
          <w:b w:val="false"/>
          <w:bCs w:val="false"/>
          <w:color w:val="auto"/>
          <w:position w:val="0"/>
          <w:sz w:val="22"/>
          <w:szCs w:val="22"/>
          <w:vertAlign w:val="baseline"/>
        </w:rPr>
        <w:t xml:space="preserve">* </w:t>
      </w:r>
      <w:r>
        <w:rPr>
          <w:rFonts w:ascii="Liberation Serif" w:hAnsi="Liberation Serif"/>
          <w:b w:val="false"/>
          <w:color w:val="auto"/>
          <w:spacing w:val="0"/>
          <w:sz w:val="22"/>
          <w:szCs w:val="22"/>
        </w:rPr>
        <w:t>Data was shown as sHR (95% CI%). Ref, reference; sHR:  subdistribution hazard ratio; CI, confidence interval</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widowControl/>
        <w:shd w:val="clear" w:fill="auto"/>
        <w:spacing w:lineRule="auto" w:line="276" w:before="0" w:after="0"/>
        <w:ind w:hanging="0" w:start="0" w:end="0"/>
        <w:jc w:val="start"/>
        <w:rPr>
          <w:b/>
          <w:bCs/>
        </w:rPr>
      </w:pPr>
      <w:r>
        <w:rPr>
          <w:b/>
          <w:bCs/>
        </w:rPr>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5.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by Rural/Urban</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120130" cy="3671570"/>
                    </a:xfrm>
                    <a:prstGeom prst="rect">
                      <a:avLst/>
                    </a:prstGeom>
                    <a:noFill/>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Figure 5: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Death by Geographic Location</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6"/>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Geographic Location</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Cs w:val="false"/>
                <w:strike w:val="false"/>
                <w:dstrike w:val="false"/>
                <w:outline w:val="false"/>
                <w:shadow w:val="false"/>
                <w:color w:val="000000"/>
                <w:sz w:val="20"/>
                <w:szCs w:val="20"/>
                <w:u w:val="none"/>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Urban (Metropolitan%)</w:t>
            </w:r>
          </w:p>
        </w:tc>
        <w:tc>
          <w:tcPr>
            <w:tcW w:w="1240"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667,548</w:t>
            </w:r>
          </w:p>
        </w:tc>
        <w:tc>
          <w:tcPr>
            <w:tcW w:w="1906"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9.36</w:t>
            </w:r>
          </w:p>
        </w:tc>
        <w:tc>
          <w:tcPr>
            <w:tcW w:w="1529"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9.18 – 9.55</w:t>
            </w:r>
          </w:p>
        </w:tc>
        <w:tc>
          <w:tcPr>
            <w:tcW w:w="1006"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0.001</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Rural (Nonmetropolitan%)</w:t>
            </w:r>
          </w:p>
        </w:tc>
        <w:tc>
          <w:tcPr>
            <w:tcW w:w="1240"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79,264</w:t>
            </w:r>
          </w:p>
        </w:tc>
        <w:tc>
          <w:tcPr>
            <w:tcW w:w="1906"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11.23</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10.70 – 11.76</w:t>
            </w:r>
          </w:p>
        </w:tc>
        <w:tc>
          <w:tcPr>
            <w:tcW w:w="10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0.003</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auto"/>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Geographic Location:</w:t>
      </w:r>
    </w:p>
    <w:tbl>
      <w:tblPr>
        <w:tblW w:w="9638" w:type="dxa"/>
        <w:jc w:val="start"/>
        <w:tblInd w:w="0" w:type="dxa"/>
        <w:tblLayout w:type="fixed"/>
        <w:tblCellMar>
          <w:top w:w="28" w:type="dxa"/>
          <w:start w:w="28" w:type="dxa"/>
          <w:bottom w:w="28" w:type="dxa"/>
          <w:end w:w="28" w:type="dxa"/>
        </w:tblCellMar>
      </w:tblPr>
      <w:tblGrid>
        <w:gridCol w:w="2788"/>
        <w:gridCol w:w="2189"/>
        <w:gridCol w:w="2307"/>
        <w:gridCol w:w="2354"/>
      </w:tblGrid>
      <w:tr>
        <w:trPr>
          <w:tblHeader w:val="true"/>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Geographic Location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35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Urban (Metropolitan%)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2.56%</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5.18%</w:t>
            </w:r>
          </w:p>
        </w:tc>
        <w:tc>
          <w:tcPr>
            <w:tcW w:w="235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7.81%</w:t>
            </w:r>
          </w:p>
        </w:tc>
      </w:tr>
      <w:tr>
        <w:trPr/>
        <w:tc>
          <w:tcPr>
            <w:tcW w:w="278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Rural (Nonmetropolitan%)</w:t>
            </w:r>
          </w:p>
        </w:tc>
        <w:tc>
          <w:tcPr>
            <w:tcW w:w="218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3.25%</w:t>
            </w:r>
          </w:p>
        </w:tc>
        <w:tc>
          <w:tcPr>
            <w:tcW w:w="230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6.76%</w:t>
            </w:r>
          </w:p>
        </w:tc>
        <w:tc>
          <w:tcPr>
            <w:tcW w:w="235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9.78%</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Table 4:</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 xml:space="preserve"> Fine-Gray Subdistribution Hazard Analysis of Cardiovascular Mortality by Geographic Location</w:t>
      </w:r>
    </w:p>
    <w:tbl>
      <w:tblPr>
        <w:tblW w:w="8910" w:type="dxa"/>
        <w:jc w:val="start"/>
        <w:tblInd w:w="0" w:type="dxa"/>
        <w:tblLayout w:type="fixed"/>
        <w:tblCellMar>
          <w:top w:w="0" w:type="dxa"/>
          <w:start w:w="0" w:type="dxa"/>
          <w:bottom w:w="0" w:type="dxa"/>
          <w:end w:w="0" w:type="dxa"/>
        </w:tblCellMar>
      </w:tblPr>
      <w:tblGrid>
        <w:gridCol w:w="2835"/>
        <w:gridCol w:w="3914"/>
        <w:gridCol w:w="1204"/>
        <w:gridCol w:w="957"/>
      </w:tblGrid>
      <w:tr>
        <w:trPr/>
        <w:tc>
          <w:tcPr>
            <w:tcW w:w="2835"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Geographic Location</w:t>
            </w:r>
          </w:p>
        </w:tc>
        <w:tc>
          <w:tcPr>
            <w:tcW w:w="391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5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2835"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Urban (Metropolitan%)</w:t>
            </w:r>
          </w:p>
        </w:tc>
        <w:tc>
          <w:tcPr>
            <w:tcW w:w="3914"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204"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5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2835"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Rural (Nonmetropolitan%)</w:t>
            </w:r>
          </w:p>
        </w:tc>
        <w:tc>
          <w:tcPr>
            <w:tcW w:w="391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1.3</w:t>
            </w:r>
          </w:p>
        </w:tc>
        <w:tc>
          <w:tcPr>
            <w:tcW w:w="120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1.21 – 1.39</w:t>
            </w:r>
          </w:p>
        </w:tc>
        <w:tc>
          <w:tcPr>
            <w:tcW w:w="95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Heading3"/>
        <w:widowControl/>
        <w:shd w:val="clear" w:fill="auto"/>
        <w:spacing w:lineRule="auto" w:line="276" w:before="0" w:after="0"/>
        <w:ind w:hanging="0" w:start="0" w:end="0"/>
        <w:jc w:val="start"/>
        <w:rPr>
          <w:b w:val="false"/>
          <w:bCs w:val="false"/>
          <w:color w:val="000000"/>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6.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by Cancer Stage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6120130" cy="3671570"/>
                    </a:xfrm>
                    <a:prstGeom prst="rect">
                      <a:avLst/>
                    </a:prstGeom>
                    <a:noFill/>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Figure 6: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Death by Cancer Stage</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tbl>
      <w:tblPr>
        <w:tblW w:w="9270" w:type="dxa"/>
        <w:jc w:val="start"/>
        <w:tblInd w:w="0" w:type="dxa"/>
        <w:tblLayout w:type="fixed"/>
        <w:tblCellMar>
          <w:top w:w="0" w:type="dxa"/>
          <w:start w:w="0" w:type="dxa"/>
          <w:bottom w:w="0" w:type="dxa"/>
          <w:end w:w="0" w:type="dxa"/>
        </w:tblCellMar>
      </w:tblPr>
      <w:tblGrid>
        <w:gridCol w:w="2019"/>
        <w:gridCol w:w="1221"/>
        <w:gridCol w:w="1887"/>
        <w:gridCol w:w="1384"/>
        <w:gridCol w:w="1377"/>
        <w:gridCol w:w="1382"/>
      </w:tblGrid>
      <w:tr>
        <w:trPr/>
        <w:tc>
          <w:tcPr>
            <w:tcW w:w="201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Stage at Diagnosis</w:t>
            </w:r>
          </w:p>
        </w:tc>
        <w:tc>
          <w:tcPr>
            <w:tcW w:w="1221"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88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384"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37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b/>
                <w:bCs/>
                <w:i w:val="false"/>
                <w:iCs w:val="false"/>
                <w:strike w:val="false"/>
                <w:dstrike w:val="false"/>
                <w:outline w:val="false"/>
                <w:shadow w:val="false"/>
                <w:color w:val="auto"/>
                <w:sz w:val="20"/>
                <w:szCs w:val="20"/>
                <w:u w:val="none"/>
              </w:rPr>
              <w:t>95% CI</w:t>
            </w:r>
          </w:p>
        </w:tc>
        <w:tc>
          <w:tcPr>
            <w:tcW w:w="138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bCs/>
                <w:i w:val="false"/>
                <w:iCs w:val="false"/>
                <w:strike w:val="false"/>
                <w:dstrike w:val="false"/>
                <w:outline w:val="false"/>
                <w:shadow w:val="false"/>
                <w:color w:val="000000"/>
                <w:sz w:val="20"/>
                <w:szCs w:val="20"/>
                <w:u w:val="none"/>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019"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Localized</w:t>
            </w:r>
          </w:p>
        </w:tc>
        <w:tc>
          <w:tcPr>
            <w:tcW w:w="122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511445</w:t>
            </w:r>
          </w:p>
        </w:tc>
        <w:tc>
          <w:tcPr>
            <w:tcW w:w="188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384"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10.47</w:t>
            </w:r>
          </w:p>
        </w:tc>
        <w:tc>
          <w:tcPr>
            <w:tcW w:w="137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10.21 – 10.73</w:t>
            </w:r>
          </w:p>
        </w:tc>
        <w:tc>
          <w:tcPr>
            <w:tcW w:w="138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0.001</w:t>
            </w:r>
          </w:p>
        </w:tc>
      </w:tr>
      <w:tr>
        <w:trPr/>
        <w:tc>
          <w:tcPr>
            <w:tcW w:w="2019"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Regional</w:t>
            </w:r>
          </w:p>
        </w:tc>
        <w:tc>
          <w:tcPr>
            <w:tcW w:w="1221"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214547</w:t>
            </w:r>
          </w:p>
        </w:tc>
        <w:tc>
          <w:tcPr>
            <w:tcW w:w="188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384"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8.07</w:t>
            </w:r>
          </w:p>
        </w:tc>
        <w:tc>
          <w:tcPr>
            <w:tcW w:w="137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7.73 – 8.42</w:t>
            </w:r>
          </w:p>
        </w:tc>
        <w:tc>
          <w:tcPr>
            <w:tcW w:w="138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01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Distant</w:t>
            </w:r>
          </w:p>
        </w:tc>
        <w:tc>
          <w:tcPr>
            <w:tcW w:w="122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12340</w:t>
            </w:r>
          </w:p>
        </w:tc>
        <w:tc>
          <w:tcPr>
            <w:tcW w:w="188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200</w:t>
            </w:r>
          </w:p>
        </w:tc>
        <w:tc>
          <w:tcPr>
            <w:tcW w:w="1384"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4.58</w:t>
            </w:r>
          </w:p>
        </w:tc>
        <w:tc>
          <w:tcPr>
            <w:tcW w:w="137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3.92 – 5.32</w:t>
            </w:r>
          </w:p>
        </w:tc>
        <w:tc>
          <w:tcPr>
            <w:tcW w:w="138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0.004</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Cancer Stage:</w:t>
      </w:r>
    </w:p>
    <w:tbl>
      <w:tblPr>
        <w:tblW w:w="9638" w:type="dxa"/>
        <w:jc w:val="start"/>
        <w:tblInd w:w="0" w:type="dxa"/>
        <w:tblLayout w:type="fixed"/>
        <w:tblCellMar>
          <w:top w:w="28" w:type="dxa"/>
          <w:start w:w="28" w:type="dxa"/>
          <w:bottom w:w="28" w:type="dxa"/>
          <w:end w:w="28" w:type="dxa"/>
        </w:tblCellMar>
      </w:tblPr>
      <w:tblGrid>
        <w:gridCol w:w="2895"/>
        <w:gridCol w:w="2156"/>
        <w:gridCol w:w="2270"/>
        <w:gridCol w:w="2317"/>
      </w:tblGrid>
      <w:tr>
        <w:trPr>
          <w:tblHeader w:val="true"/>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Stage at Diagnosis</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Localized</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2.81%</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5.79%</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8.73%</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Regional</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2.22%</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4.43%</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6.68%</w:t>
            </w:r>
          </w:p>
        </w:tc>
      </w:tr>
      <w:tr>
        <w:trPr/>
        <w:tc>
          <w:tcPr>
            <w:tcW w:w="289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Distant</w:t>
            </w:r>
          </w:p>
        </w:tc>
        <w:tc>
          <w:tcPr>
            <w:tcW w:w="215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2.15%</w:t>
            </w:r>
          </w:p>
        </w:tc>
        <w:tc>
          <w:tcPr>
            <w:tcW w:w="2270"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3.45%</w:t>
            </w:r>
          </w:p>
        </w:tc>
        <w:tc>
          <w:tcPr>
            <w:tcW w:w="231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4.30%</w:t>
            </w:r>
          </w:p>
        </w:tc>
      </w:tr>
    </w:tbl>
    <w:p>
      <w:pPr>
        <w:pStyle w:val="BodyText"/>
        <w:bidi w:val="0"/>
        <w:spacing w:lineRule="auto" w:line="271" w:before="0" w:after="120"/>
        <w:ind w:hanging="0" w:start="0" w:end="0"/>
        <w:jc w:val="start"/>
        <w:rPr>
          <w:sz w:val="22"/>
          <w:szCs w:val="22"/>
        </w:rPr>
      </w:pPr>
      <w:r>
        <w:rPr>
          <w:sz w:val="22"/>
          <w:szCs w:val="22"/>
        </w:rPr>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sz w:val="20"/>
          <w:szCs w:val="20"/>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 xml:space="preserve">Table 5: </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Fine-Gray Subdistribution Hazard Analysis of Cardiovascular Mortality by Cancer Stage</w:t>
      </w:r>
    </w:p>
    <w:tbl>
      <w:tblPr>
        <w:tblW w:w="9137" w:type="dxa"/>
        <w:jc w:val="start"/>
        <w:tblInd w:w="0" w:type="dxa"/>
        <w:tblLayout w:type="fixed"/>
        <w:tblCellMar>
          <w:top w:w="0" w:type="dxa"/>
          <w:start w:w="0" w:type="dxa"/>
          <w:bottom w:w="0" w:type="dxa"/>
          <w:end w:w="0" w:type="dxa"/>
        </w:tblCellMar>
      </w:tblPr>
      <w:tblGrid>
        <w:gridCol w:w="3059"/>
        <w:gridCol w:w="3918"/>
        <w:gridCol w:w="1198"/>
        <w:gridCol w:w="962"/>
      </w:tblGrid>
      <w:tr>
        <w:trPr/>
        <w:tc>
          <w:tcPr>
            <w:tcW w:w="3059"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Stage at Diagnosis</w:t>
            </w:r>
          </w:p>
        </w:tc>
        <w:tc>
          <w:tcPr>
            <w:tcW w:w="391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19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6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3059"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Localized</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1.00 (Ref%)</w:t>
            </w:r>
          </w:p>
        </w:tc>
        <w:tc>
          <w:tcPr>
            <w:tcW w:w="119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w:t>
            </w:r>
          </w:p>
        </w:tc>
      </w:tr>
      <w:tr>
        <w:trPr/>
        <w:tc>
          <w:tcPr>
            <w:tcW w:w="3059"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Regional</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0.76</w:t>
            </w:r>
          </w:p>
        </w:tc>
        <w:tc>
          <w:tcPr>
            <w:tcW w:w="119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0.72 – 0.80</w:t>
            </w:r>
          </w:p>
        </w:tc>
        <w:tc>
          <w:tcPr>
            <w:tcW w:w="96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r>
        <w:trPr/>
        <w:tc>
          <w:tcPr>
            <w:tcW w:w="305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Distant</w:t>
            </w:r>
          </w:p>
        </w:tc>
        <w:tc>
          <w:tcPr>
            <w:tcW w:w="391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0.58</w:t>
            </w:r>
          </w:p>
        </w:tc>
        <w:tc>
          <w:tcPr>
            <w:tcW w:w="119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0.46 – 0.74</w:t>
            </w:r>
          </w:p>
        </w:tc>
        <w:tc>
          <w:tcPr>
            <w:tcW w:w="96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2"/>
                <w:szCs w:val="22"/>
                <w:u w:val="none"/>
              </w:rPr>
              <w:t>&lt;0.001</w:t>
            </w:r>
          </w:p>
        </w:tc>
      </w:tr>
    </w:tbl>
    <w:p>
      <w:pPr>
        <w:pStyle w:val="Heading3"/>
        <w:widowControl/>
        <w:shd w:val="clear" w:fill="auto"/>
        <w:spacing w:lineRule="auto" w:line="276" w:before="0" w:after="0"/>
        <w:ind w:hanging="0" w:start="0" w:end="0"/>
        <w:jc w:val="start"/>
        <w:rPr>
          <w:rFonts w:ascii="Liberation Serif" w:hAnsi="Liberation Serif"/>
          <w:sz w:val="20"/>
          <w:szCs w:val="20"/>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7.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 xml:space="preserve">, </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by Cancer Treatment</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6120130" cy="3671570"/>
                    </a:xfrm>
                    <a:prstGeom prst="rect">
                      <a:avLst/>
                    </a:prstGeom>
                    <a:noFill/>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Figure 7: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Death by Cancer Treatment</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6"/>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Treatment Groups</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Surgery Only</w:t>
            </w:r>
          </w:p>
        </w:tc>
        <w:tc>
          <w:tcPr>
            <w:tcW w:w="1240"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221,050</w:t>
            </w:r>
          </w:p>
        </w:tc>
        <w:tc>
          <w:tcPr>
            <w:tcW w:w="19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13.11</w:t>
            </w:r>
          </w:p>
        </w:tc>
        <w:tc>
          <w:tcPr>
            <w:tcW w:w="1529"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12.74 – 13.49</w:t>
            </w:r>
          </w:p>
        </w:tc>
        <w:tc>
          <w:tcPr>
            <w:tcW w:w="10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Radiation Alone</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211,414</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11.56</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11.19 – 11.94</w:t>
            </w:r>
          </w:p>
        </w:tc>
        <w:tc>
          <w:tcPr>
            <w:tcW w:w="10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Chemotherapy Alone</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125,419</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5.78</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5.46 – 6.12</w:t>
            </w:r>
          </w:p>
        </w:tc>
        <w:tc>
          <w:tcPr>
            <w:tcW w:w="10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Chemo + Radiation</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173,406</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color w:val="auto"/>
                <w:sz w:val="20"/>
                <w:szCs w:val="20"/>
              </w:rPr>
            </w:pPr>
            <w:r>
              <w:rPr>
                <w:rFonts w:ascii="Liberation Serif" w:hAnsi="Liberation Serif"/>
                <w:color w:val="auto"/>
                <w:sz w:val="20"/>
                <w:szCs w:val="20"/>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5.46</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5.05 – 5.89</w:t>
            </w:r>
          </w:p>
        </w:tc>
        <w:tc>
          <w:tcPr>
            <w:tcW w:w="10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0"/>
                <w:szCs w:val="20"/>
                <w:u w:val="none"/>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auto"/>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by Cancer Treatment:</w:t>
      </w:r>
    </w:p>
    <w:tbl>
      <w:tblPr>
        <w:tblW w:w="9638" w:type="dxa"/>
        <w:jc w:val="start"/>
        <w:tblInd w:w="0" w:type="dxa"/>
        <w:tblLayout w:type="fixed"/>
        <w:tblCellMar>
          <w:top w:w="28" w:type="dxa"/>
          <w:start w:w="28" w:type="dxa"/>
          <w:bottom w:w="28" w:type="dxa"/>
          <w:end w:w="28" w:type="dxa"/>
        </w:tblCellMar>
      </w:tblPr>
      <w:tblGrid>
        <w:gridCol w:w="3061"/>
        <w:gridCol w:w="2104"/>
        <w:gridCol w:w="2209"/>
        <w:gridCol w:w="2264"/>
      </w:tblGrid>
      <w:tr>
        <w:trPr>
          <w:tblHeader w:val="true"/>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Treatment Groups</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2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Surgery Only</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4.46%</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8.33%</w:t>
            </w:r>
          </w:p>
        </w:tc>
        <w:tc>
          <w:tcPr>
            <w:tcW w:w="22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11.41%</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Radiation Alone</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2.75%</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6.17%</w:t>
            </w:r>
          </w:p>
        </w:tc>
        <w:tc>
          <w:tcPr>
            <w:tcW w:w="22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9.61%</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Chemotherapy Alone</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1.21%</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2.77%</w:t>
            </w:r>
          </w:p>
        </w:tc>
        <w:tc>
          <w:tcPr>
            <w:tcW w:w="22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4.76%</w:t>
            </w:r>
          </w:p>
        </w:tc>
      </w:tr>
      <w:tr>
        <w:trPr/>
        <w:tc>
          <w:tcPr>
            <w:tcW w:w="306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Chemo + Radiation</w:t>
            </w:r>
          </w:p>
        </w:tc>
        <w:tc>
          <w:tcPr>
            <w:tcW w:w="210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0.94%</w:t>
            </w:r>
          </w:p>
        </w:tc>
        <w:tc>
          <w:tcPr>
            <w:tcW w:w="220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2.21%</w:t>
            </w:r>
          </w:p>
        </w:tc>
        <w:tc>
          <w:tcPr>
            <w:tcW w:w="226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sz w:val="20"/>
                <w:szCs w:val="20"/>
              </w:rPr>
            </w:pPr>
            <w:r>
              <w:rPr>
                <w:rFonts w:ascii="Liberation Serif" w:hAnsi="Liberation Serif"/>
                <w:b w:val="false"/>
                <w:bCs w:val="false"/>
                <w:color w:val="auto"/>
                <w:sz w:val="20"/>
                <w:szCs w:val="20"/>
              </w:rPr>
              <w:t>4.05%</w:t>
            </w:r>
          </w:p>
        </w:tc>
      </w:tr>
    </w:tbl>
    <w:p>
      <w:pPr>
        <w:pStyle w:val="BodyText"/>
        <w:bidi w:val="0"/>
        <w:spacing w:lineRule="auto" w:line="271" w:before="0" w:after="120"/>
        <w:ind w:hanging="0" w:start="0" w:end="0"/>
        <w:jc w:val="start"/>
        <w:rPr>
          <w:sz w:val="22"/>
          <w:szCs w:val="22"/>
        </w:rPr>
      </w:pPr>
      <w:r>
        <w:rPr>
          <w:sz w:val="22"/>
          <w:szCs w:val="22"/>
        </w:rPr>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Cs w:val="false"/>
          <w:caps w:val="false"/>
          <w:smallCaps w:val="false"/>
          <w:strike w:val="false"/>
          <w:dstrike w:val="false"/>
          <w:color w:val="000000"/>
          <w:sz w:val="22"/>
          <w:szCs w:val="22"/>
          <w:u w:val="none"/>
          <w:shd w:fill="auto" w:val="clear"/>
        </w:rPr>
      </w:pPr>
      <w:r>
        <w:rPr>
          <w:rFonts w:eastAsia="Liberation Serif" w:cs="Liberation Serif" w:ascii="Google Sans;sans-serif" w:hAnsi="Google Sans;sans-serif"/>
          <w:b w:val="false"/>
          <w:bCs w:val="false"/>
          <w:i w:val="false"/>
          <w:iCs w:val="false"/>
          <w:caps w:val="false"/>
          <w:smallCaps w:val="false"/>
          <w:strike w:val="false"/>
          <w:dstrike w:val="false"/>
          <w:color w:val="000000"/>
          <w:sz w:val="22"/>
          <w:szCs w:val="22"/>
          <w:u w:val="none"/>
          <w:shd w:fill="auto" w:val="clear"/>
        </w:rPr>
      </w:r>
      <w:r>
        <w:br w:type="page"/>
      </w:r>
    </w:p>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Cs w:val="false"/>
          <w:caps w:val="false"/>
          <w:smallCaps w:val="false"/>
          <w:strike w:val="false"/>
          <w:dstrike w:val="false"/>
          <w:color w:val="00000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z w:val="22"/>
          <w:szCs w:val="22"/>
          <w:u w:val="none"/>
          <w:shd w:fill="auto" w:val="clear"/>
        </w:rPr>
        <w:t>Table 6:</w:t>
      </w:r>
      <w:r>
        <w:rPr>
          <w:rFonts w:eastAsia="Liberation Serif" w:cs="Liberation Serif" w:ascii="Liberation Serif" w:hAnsi="Liberation Serif"/>
          <w:b w:val="false"/>
          <w:bCs w:val="false"/>
          <w:i w:val="false"/>
          <w:iCs w:val="false"/>
          <w:caps w:val="false"/>
          <w:smallCaps w:val="false"/>
          <w:strike w:val="false"/>
          <w:dstrike w:val="false"/>
          <w:color w:val="000000"/>
          <w:sz w:val="22"/>
          <w:szCs w:val="22"/>
          <w:u w:val="none"/>
          <w:shd w:fill="auto" w:val="clear"/>
        </w:rPr>
        <w:t xml:space="preserve"> Fine-Gray Subdistribution Hazard Analysis of Cardiovascular Mortality by Cancer Treatment</w:t>
      </w:r>
    </w:p>
    <w:tbl>
      <w:tblPr>
        <w:tblW w:w="9337" w:type="dxa"/>
        <w:jc w:val="start"/>
        <w:tblInd w:w="0" w:type="dxa"/>
        <w:tblLayout w:type="fixed"/>
        <w:tblCellMar>
          <w:top w:w="0" w:type="dxa"/>
          <w:start w:w="0" w:type="dxa"/>
          <w:bottom w:w="0" w:type="dxa"/>
          <w:end w:w="0" w:type="dxa"/>
        </w:tblCellMar>
      </w:tblPr>
      <w:tblGrid>
        <w:gridCol w:w="3253"/>
        <w:gridCol w:w="3918"/>
        <w:gridCol w:w="1208"/>
        <w:gridCol w:w="958"/>
      </w:tblGrid>
      <w:tr>
        <w:trPr/>
        <w:tc>
          <w:tcPr>
            <w:tcW w:w="325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Treatment Groups</w:t>
            </w:r>
          </w:p>
        </w:tc>
        <w:tc>
          <w:tcPr>
            <w:tcW w:w="391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Subdistribution Hazard Ratio (sHR%)</w:t>
            </w:r>
          </w:p>
        </w:tc>
        <w:tc>
          <w:tcPr>
            <w:tcW w:w="120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958"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0"/>
                <w:szCs w:val="20"/>
                <w:u w:val="none"/>
              </w:rPr>
              <w:t>P-value</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Surgery Only</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1.00 (Ref%)</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Radiation Alone</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0.71</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0.67 – 0.75</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r>
        <w:trPr/>
        <w:tc>
          <w:tcPr>
            <w:tcW w:w="325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Chemotherapy Alone</w:t>
            </w:r>
          </w:p>
        </w:tc>
        <w:tc>
          <w:tcPr>
            <w:tcW w:w="391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0.33</w:t>
            </w:r>
          </w:p>
        </w:tc>
        <w:tc>
          <w:tcPr>
            <w:tcW w:w="120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0.30 – 0.36</w:t>
            </w:r>
          </w:p>
        </w:tc>
        <w:tc>
          <w:tcPr>
            <w:tcW w:w="958"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r>
        <w:trPr/>
        <w:tc>
          <w:tcPr>
            <w:tcW w:w="3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Chemo + Radiation</w:t>
            </w:r>
          </w:p>
        </w:tc>
        <w:tc>
          <w:tcPr>
            <w:tcW w:w="391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0.29</w:t>
            </w:r>
          </w:p>
        </w:tc>
        <w:tc>
          <w:tcPr>
            <w:tcW w:w="120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0.27 – 0.31</w:t>
            </w:r>
          </w:p>
        </w:tc>
        <w:tc>
          <w:tcPr>
            <w:tcW w:w="958"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auto"/>
                <w:sz w:val="24"/>
                <w:szCs w:val="24"/>
                <w:u w:val="none"/>
              </w:rPr>
              <w:t>&lt;0.001</w:t>
            </w:r>
          </w:p>
        </w:tc>
      </w:tr>
    </w:tbl>
    <w:p>
      <w:pPr>
        <w:pStyle w:val="Heading3"/>
        <w:widowControl/>
        <w:shd w:val="clear" w:fill="auto"/>
        <w:spacing w:lineRule="auto" w:line="276" w:before="0" w:after="0"/>
        <w:ind w:hanging="0" w:start="0" w:end="0"/>
        <w:jc w:val="start"/>
        <w:rPr>
          <w:rFonts w:ascii="Google Sans;sans-serif" w:hAnsi="Google Sans;sans-serif" w:eastAsia="Liberation Serif" w:cs="Liberation Serif"/>
          <w:b w:val="false"/>
          <w:bCs w:val="false"/>
          <w:i w:val="false"/>
          <w:iCs w:val="false"/>
          <w:caps w:val="false"/>
          <w:smallCaps w:val="false"/>
          <w:strike w:val="false"/>
          <w:dstrike w:val="false"/>
          <w:color w:val="000000"/>
          <w:sz w:val="22"/>
          <w:szCs w:val="22"/>
          <w:u w:val="none"/>
          <w:shd w:fill="auto" w:val="clear"/>
        </w:rPr>
      </w:pPr>
      <w:r>
        <w:rPr>
          <w:rFonts w:ascii="Liberation Serif" w:hAnsi="Liberation Serif"/>
          <w:b w:val="false"/>
          <w:bCs w:val="false"/>
          <w:color w:val="auto"/>
          <w:sz w:val="22"/>
          <w:szCs w:val="22"/>
        </w:rPr>
        <w:t xml:space="preserve">* </w:t>
      </w:r>
      <w:r>
        <w:rPr>
          <w:rFonts w:ascii="Liberation Serif" w:hAnsi="Liberation Serif"/>
          <w:b w:val="false"/>
          <w:bCs w:val="false"/>
          <w:color w:val="auto"/>
          <w:spacing w:val="0"/>
          <w:sz w:val="22"/>
          <w:szCs w:val="22"/>
        </w:rPr>
        <w:t>Data was shown as sHR (95% CI%). Ref, reference; sHR:  subdistribution hazard ratio; CI, confidence interval</w:t>
      </w:r>
      <w:r>
        <w:rPr>
          <w:rFonts w:eastAsia="Liberation Serif" w:cs="Liberation Serif" w:ascii="Liberation Serif" w:hAnsi="Liberation Serif"/>
          <w:b w:val="false"/>
          <w:bCs w:val="false"/>
          <w:i w:val="false"/>
          <w:iCs w:val="false"/>
          <w:caps w:val="false"/>
          <w:smallCaps w:val="false"/>
          <w:strike w:val="false"/>
          <w:dstrike w:val="false"/>
          <w:color w:val="000000"/>
          <w:spacing w:val="0"/>
          <w:sz w:val="22"/>
          <w:szCs w:val="22"/>
          <w:u w:val="none"/>
          <w:shd w:fill="auto" w:val="clear"/>
        </w:rPr>
        <w:br/>
      </w:r>
      <w:r>
        <w:br w:type="page"/>
      </w:r>
    </w:p>
    <w:p>
      <w:pPr>
        <w:pStyle w:val="normal1"/>
        <w:widowControl/>
        <w:shd w:val="clear" w:fill="auto"/>
        <w:spacing w:lineRule="auto" w:line="276" w:before="0" w:after="0"/>
        <w:ind w:hanging="0" w:start="0" w:end="0"/>
        <w:jc w:val="start"/>
        <w:rPr>
          <w:b/>
          <w:bCs/>
        </w:rPr>
      </w:pP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8. Cumulative Incidence of Cardiovascular Mortality Among Long-Term Female Breast Cancer Survivors</w:t>
      </w:r>
      <w:r>
        <w:rPr>
          <w:rFonts w:eastAsia="Liberation Serif" w:cs="Liberation Serif" w:ascii="Liberation Serif" w:hAnsi="Liberation Serif"/>
          <w:b/>
          <w:bCs w:val="false"/>
          <w:i w:val="false"/>
          <w:iCs w:val="false"/>
          <w:caps w:val="false"/>
          <w:smallCaps w:val="false"/>
          <w:strike w:val="false"/>
          <w:dstrike w:val="false"/>
          <w:color w:val="000000"/>
          <w:position w:val="0"/>
          <w:sz w:val="22"/>
          <w:szCs w:val="22"/>
          <w:u w:val="none"/>
          <w:shd w:fill="auto" w:val="clear"/>
          <w:vertAlign w:val="baseline"/>
        </w:rPr>
        <w:t>,</w:t>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 </w:t>
      </w:r>
      <w:r>
        <w:rPr>
          <w:rFonts w:ascii="Liberation Serif" w:hAnsi="Liberation Serif"/>
          <w:b/>
          <w:bCs/>
          <w:color w:val="auto"/>
        </w:rPr>
        <w:t>in Radiation-Exposed groups by Tumor Laterality</w:t>
      </w:r>
    </w:p>
    <w:p>
      <w:pPr>
        <w:pStyle w:val="normal1"/>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position w:val="0"/>
          <w:sz w:val="22"/>
          <w:szCs w:val="22"/>
          <w:u w:val="none"/>
          <w:shd w:fill="auto" w:val="clear"/>
          <w:vertAlign w:val="baseline"/>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6120130" cy="3671570"/>
                    </a:xfrm>
                    <a:prstGeom prst="rect">
                      <a:avLst/>
                    </a:prstGeom>
                    <a:noFill/>
                  </pic:spPr>
                </pic:pic>
              </a:graphicData>
            </a:graphic>
          </wp:anchor>
        </w:drawing>
      </w:r>
      <w:r>
        <w:rPr>
          <w:rFonts w:eastAsia="Liberation Serif" w:cs="Liberation Serif" w:ascii="Liberation Serif" w:hAnsi="Liberation Serif"/>
          <w:b/>
          <w:bCs/>
          <w:i w:val="false"/>
          <w:iCs w:val="false"/>
          <w:caps w:val="false"/>
          <w:smallCaps w:val="false"/>
          <w:strike w:val="false"/>
          <w:dstrike w:val="false"/>
          <w:color w:val="000000"/>
          <w:position w:val="0"/>
          <w:sz w:val="22"/>
          <w:szCs w:val="22"/>
          <w:u w:val="none"/>
          <w:shd w:fill="auto" w:val="clear"/>
          <w:vertAlign w:val="baseline"/>
        </w:rPr>
        <w:t xml:space="preserve">Figure 8: </w:t>
      </w:r>
      <w:r>
        <w:rPr>
          <w:rFonts w:eastAsia="Liberation Serif" w:cs="Liberation Serif" w:ascii="Liberation Serif" w:hAnsi="Liberation Serif"/>
          <w:b w:val="false"/>
          <w:bCs w:val="false"/>
          <w:i w:val="false"/>
          <w:iCs w:val="false"/>
          <w:caps w:val="false"/>
          <w:smallCaps w:val="false"/>
          <w:strike w:val="false"/>
          <w:dstrike w:val="false"/>
          <w:color w:val="000000"/>
          <w:position w:val="0"/>
          <w:sz w:val="22"/>
          <w:szCs w:val="22"/>
          <w:u w:val="none"/>
          <w:shd w:fill="auto" w:val="clear"/>
          <w:vertAlign w:val="baseline"/>
        </w:rPr>
        <w:t>Cumulative Incidence of Cardiovascular Death in Radiation-Exposed Groups by Laterality</w:t>
      </w:r>
    </w:p>
    <w:tbl>
      <w:tblPr>
        <w:tblW w:w="9645" w:type="dxa"/>
        <w:jc w:val="start"/>
        <w:tblInd w:w="0" w:type="dxa"/>
        <w:tblLayout w:type="fixed"/>
        <w:tblCellMar>
          <w:top w:w="0" w:type="dxa"/>
          <w:start w:w="0" w:type="dxa"/>
          <w:bottom w:w="0" w:type="dxa"/>
          <w:end w:w="0" w:type="dxa"/>
        </w:tblCellMar>
      </w:tblPr>
      <w:tblGrid>
        <w:gridCol w:w="2253"/>
        <w:gridCol w:w="1240"/>
        <w:gridCol w:w="1906"/>
        <w:gridCol w:w="1711"/>
        <w:gridCol w:w="1529"/>
        <w:gridCol w:w="1006"/>
      </w:tblGrid>
      <w:tr>
        <w:trPr/>
        <w:tc>
          <w:tcPr>
            <w:tcW w:w="2253"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Laterality</w:t>
            </w:r>
          </w:p>
        </w:tc>
        <w:tc>
          <w:tcPr>
            <w:tcW w:w="1240"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Cohort Size (N%)</w:t>
            </w:r>
          </w:p>
        </w:tc>
        <w:tc>
          <w:tcPr>
            <w:tcW w:w="1906"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Final Follow-up (Months%)</w:t>
            </w:r>
          </w:p>
        </w:tc>
        <w:tc>
          <w:tcPr>
            <w:tcW w:w="1711"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Cumulative Incidence (%%)</w:t>
            </w:r>
          </w:p>
        </w:tc>
        <w:tc>
          <w:tcPr>
            <w:tcW w:w="1529"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20"/>
                <w:szCs w:val="20"/>
                <w:u w:val="none"/>
              </w:rPr>
              <w:t>95% CI</w:t>
            </w:r>
          </w:p>
        </w:tc>
        <w:tc>
          <w:tcPr>
            <w:tcW w:w="1006"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sz w:val="20"/>
                <w:szCs w:val="20"/>
              </w:rPr>
            </w:pPr>
            <w:r>
              <w:rPr>
                <w:rFonts w:ascii="Liberation Serif" w:hAnsi="Liberation Serif"/>
                <w:b/>
                <w:bCs/>
                <w:i w:val="false"/>
                <w:iCs w:val="false"/>
                <w:strike w:val="false"/>
                <w:dstrike w:val="false"/>
                <w:outline w:val="false"/>
                <w:shadow w:val="false"/>
                <w:color w:val="auto"/>
                <w:sz w:val="20"/>
                <w:szCs w:val="20"/>
                <w:u w:val="none"/>
              </w:rPr>
              <w:t>SE</w:t>
            </w:r>
          </w:p>
        </w:tc>
      </w:tr>
      <w:tr>
        <w:trPr/>
        <w:tc>
          <w:tcPr>
            <w:tcW w:w="2253"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Right-Sided Radiation</w:t>
            </w:r>
          </w:p>
        </w:tc>
        <w:tc>
          <w:tcPr>
            <w:tcW w:w="1240"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190,518</w:t>
            </w:r>
          </w:p>
        </w:tc>
        <w:tc>
          <w:tcPr>
            <w:tcW w:w="19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8.81</w:t>
            </w:r>
          </w:p>
        </w:tc>
        <w:tc>
          <w:tcPr>
            <w:tcW w:w="1529"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8.28 – 9.36</w:t>
            </w:r>
          </w:p>
        </w:tc>
        <w:tc>
          <w:tcPr>
            <w:tcW w:w="1006" w:type="dxa"/>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0.003</w:t>
            </w:r>
          </w:p>
        </w:tc>
      </w:tr>
      <w:tr>
        <w:trPr/>
        <w:tc>
          <w:tcPr>
            <w:tcW w:w="225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Left-Sided Radiation</w:t>
            </w:r>
          </w:p>
        </w:tc>
        <w:tc>
          <w:tcPr>
            <w:tcW w:w="124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193,943</w:t>
            </w:r>
          </w:p>
        </w:tc>
        <w:tc>
          <w:tcPr>
            <w:tcW w:w="19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215</w:t>
            </w:r>
          </w:p>
        </w:tc>
        <w:tc>
          <w:tcPr>
            <w:tcW w:w="1711"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8.69</w:t>
            </w:r>
          </w:p>
        </w:tc>
        <w:tc>
          <w:tcPr>
            <w:tcW w:w="1529"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8.37 – 9.02</w:t>
            </w:r>
          </w:p>
        </w:tc>
        <w:tc>
          <w:tcPr>
            <w:tcW w:w="1006"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sz w:val="20"/>
                <w:szCs w:val="20"/>
              </w:rPr>
            </w:pPr>
            <w:r>
              <w:rPr>
                <w:rFonts w:ascii="Liberation Serif" w:hAnsi="Liberation Serif"/>
                <w:b w:val="false"/>
                <w:bCs w:val="false"/>
                <w:i w:val="false"/>
                <w:iCs w:val="false"/>
                <w:strike w:val="false"/>
                <w:dstrike w:val="false"/>
                <w:outline w:val="false"/>
                <w:shadow w:val="false"/>
                <w:color w:val="auto"/>
                <w:sz w:val="20"/>
                <w:szCs w:val="20"/>
                <w:u w:val="none"/>
              </w:rPr>
              <w:t>0.002</w:t>
            </w:r>
          </w:p>
        </w:tc>
      </w:tr>
    </w:tbl>
    <w:p>
      <w:pPr>
        <w:pStyle w:val="normal1"/>
        <w:widowControl/>
        <w:shd w:val="clear" w:fill="auto"/>
        <w:spacing w:lineRule="auto" w:line="276" w:before="0" w:after="0"/>
        <w:ind w:hanging="0" w:start="0" w:end="0"/>
        <w:jc w:val="start"/>
        <w:rPr>
          <w:rFonts w:ascii="Liberation Serif" w:hAnsi="Liberation Serif" w:eastAsia="Liberation Serif" w:cs="Liberation Serif"/>
          <w:b/>
          <w:bCs/>
          <w:i w:val="false"/>
          <w:iCs w:val="false"/>
          <w:caps w:val="false"/>
          <w:smallCaps w:val="false"/>
          <w:strike w:val="false"/>
          <w:dstrike w:val="false"/>
          <w:color w:val="auto"/>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auto"/>
          <w:sz w:val="22"/>
          <w:szCs w:val="22"/>
          <w:u w:val="none"/>
          <w:shd w:fill="auto" w:val="clear"/>
        </w:rPr>
      </w:r>
    </w:p>
    <w:p>
      <w:pPr>
        <w:pStyle w:val="BodyText"/>
        <w:bidi w:val="0"/>
        <w:spacing w:lineRule="auto" w:line="271" w:before="0" w:after="120"/>
        <w:ind w:hanging="0" w:start="0" w:end="0"/>
        <w:jc w:val="start"/>
        <w:rPr>
          <w:sz w:val="22"/>
          <w:szCs w:val="22"/>
        </w:rPr>
      </w:pPr>
      <w:r>
        <w:rPr>
          <w:b/>
          <w:bCs/>
          <w:color w:val="auto"/>
          <w:sz w:val="22"/>
          <w:szCs w:val="22"/>
        </w:rPr>
        <w:t>Cumulative Incidence post 5+ years milestones of Cardiovascular Mortality in Radiation-Exposed Groups by Laterality:</w:t>
      </w:r>
    </w:p>
    <w:tbl>
      <w:tblPr>
        <w:tblW w:w="9616" w:type="dxa"/>
        <w:jc w:val="start"/>
        <w:tblInd w:w="0" w:type="dxa"/>
        <w:tblLayout w:type="fixed"/>
        <w:tblCellMar>
          <w:top w:w="28" w:type="dxa"/>
          <w:start w:w="28" w:type="dxa"/>
          <w:bottom w:w="28" w:type="dxa"/>
          <w:end w:w="28" w:type="dxa"/>
        </w:tblCellMar>
      </w:tblPr>
      <w:tblGrid>
        <w:gridCol w:w="2497"/>
        <w:gridCol w:w="2274"/>
        <w:gridCol w:w="2399"/>
        <w:gridCol w:w="2446"/>
      </w:tblGrid>
      <w:tr>
        <w:trPr>
          <w:tblHeader w:val="true"/>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Laterality</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10 (60 months%)</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15 (120 months%)</w:t>
            </w:r>
          </w:p>
        </w:tc>
        <w:tc>
          <w:tcPr>
            <w:tcW w:w="244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0"/>
              <w:ind w:hanging="0" w:start="0" w:end="0"/>
              <w:rPr/>
            </w:pPr>
            <w:r>
              <w:rPr>
                <w:rStyle w:val="Strong"/>
                <w:rFonts w:ascii="Liberation Serif" w:hAnsi="Liberation Serif"/>
                <w:color w:val="auto"/>
                <w:sz w:val="20"/>
                <w:szCs w:val="20"/>
              </w:rPr>
              <w:t>Year 20 (180 months%)</w:t>
            </w:r>
          </w:p>
        </w:tc>
      </w:tr>
      <w:tr>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Right-Sided Radiation</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1.91%</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4.27%</w:t>
            </w:r>
          </w:p>
        </w:tc>
        <w:tc>
          <w:tcPr>
            <w:tcW w:w="244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6.92%</w:t>
            </w:r>
          </w:p>
        </w:tc>
      </w:tr>
      <w:tr>
        <w:trPr/>
        <w:tc>
          <w:tcPr>
            <w:tcW w:w="2497"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Left-Sided Radiation</w:t>
            </w:r>
          </w:p>
        </w:tc>
        <w:tc>
          <w:tcPr>
            <w:tcW w:w="227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1.93%</w:t>
            </w:r>
          </w:p>
        </w:tc>
        <w:tc>
          <w:tcPr>
            <w:tcW w:w="2399"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4.40%</w:t>
            </w:r>
          </w:p>
        </w:tc>
        <w:tc>
          <w:tcPr>
            <w:tcW w:w="2446"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1" w:before="0" w:after="140"/>
              <w:ind w:hanging="0" w:start="0" w:end="0"/>
              <w:rPr>
                <w:rFonts w:ascii="Liberation Serif" w:hAnsi="Liberation Serif"/>
                <w:b w:val="false"/>
                <w:bCs w:val="false"/>
                <w:color w:val="auto"/>
                <w:sz w:val="20"/>
                <w:szCs w:val="20"/>
              </w:rPr>
            </w:pPr>
            <w:r>
              <w:rPr>
                <w:rFonts w:ascii="Liberation Serif" w:hAnsi="Liberation Serif"/>
                <w:b w:val="false"/>
                <w:bCs w:val="false"/>
                <w:color w:val="auto"/>
                <w:sz w:val="20"/>
                <w:szCs w:val="20"/>
              </w:rPr>
              <w:t>7.12%</w:t>
            </w:r>
          </w:p>
        </w:tc>
      </w:tr>
    </w:tbl>
    <w:p>
      <w:pPr>
        <w:pStyle w:val="BodyText"/>
        <w:bidi w:val="0"/>
        <w:spacing w:lineRule="auto" w:line="271" w:before="0" w:after="120"/>
        <w:ind w:hanging="0" w:start="0" w:end="0"/>
        <w:jc w:val="start"/>
        <w:rPr>
          <w:sz w:val="22"/>
          <w:szCs w:val="22"/>
        </w:rPr>
      </w:pPr>
      <w:r>
        <w:rPr>
          <w:sz w:val="22"/>
          <w:szCs w:val="22"/>
        </w:rPr>
      </w:r>
    </w:p>
    <w:p>
      <w:pPr>
        <w:pStyle w:val="Heading3"/>
        <w:widowControl/>
        <w:shd w:val="clear" w:fill="auto"/>
        <w:spacing w:lineRule="auto" w:line="276" w:before="0" w:after="0"/>
        <w:ind w:hanging="0" w:start="0" w:end="0"/>
        <w:jc w:val="start"/>
        <w:rPr>
          <w:rFonts w:ascii="Liberation Serif" w:hAnsi="Liberation Serif" w:eastAsia="Liberation Serif" w:cs="Liberation Serif"/>
          <w:b w:val="false"/>
          <w:bCs w:val="false"/>
          <w:i w:val="false"/>
          <w:iCs w:val="false"/>
          <w:caps w:val="false"/>
          <w:smallCaps w:val="false"/>
          <w:strike w:val="false"/>
          <w:dstrike w:val="false"/>
          <w:color w:val="000000"/>
          <w:spacing w:val="0"/>
          <w:sz w:val="22"/>
          <w:szCs w:val="22"/>
          <w:u w:val="none"/>
          <w:shd w:fill="auto" w:val="clear"/>
        </w:rPr>
      </w:pPr>
      <w:r>
        <w:rPr>
          <w:rFonts w:eastAsia="Liberation Serif" w:cs="Liberation Serif" w:ascii="Liberation Serif" w:hAnsi="Liberation Serif"/>
          <w:b/>
          <w:bCs/>
          <w:i w:val="false"/>
          <w:iCs w:val="false"/>
          <w:caps w:val="false"/>
          <w:smallCaps w:val="false"/>
          <w:strike w:val="false"/>
          <w:dstrike w:val="false"/>
          <w:color w:val="000000"/>
          <w:spacing w:val="0"/>
          <w:sz w:val="22"/>
          <w:szCs w:val="22"/>
          <w:u w:val="none"/>
          <w:shd w:fill="auto" w:val="clear"/>
        </w:rPr>
        <w:t>Table 7:</w:t>
      </w:r>
      <w:r>
        <w:rPr>
          <w:rFonts w:eastAsia="Liberation Serif" w:cs="Liberation Serif" w:ascii="Liberation Serif" w:hAnsi="Liberation Serif"/>
          <w:b w:val="false"/>
          <w:bCs w:val="false"/>
          <w:i w:val="false"/>
          <w:iCs w:val="false"/>
          <w:caps w:val="false"/>
          <w:smallCaps w:val="false"/>
          <w:strike w:val="false"/>
          <w:dstrike w:val="false"/>
          <w:color w:val="000000"/>
          <w:spacing w:val="0"/>
          <w:sz w:val="22"/>
          <w:szCs w:val="22"/>
          <w:u w:val="none"/>
          <w:shd w:fill="auto" w:val="clear"/>
        </w:rPr>
        <w:t xml:space="preserve"> Fine-Gray Subdistribution Hazard Analysis of Cardiovascular Mortality in Radiation-Exposed Groups by Laterality</w:t>
      </w:r>
    </w:p>
    <w:tbl>
      <w:tblPr>
        <w:tblW w:w="8572" w:type="dxa"/>
        <w:jc w:val="start"/>
        <w:tblInd w:w="0" w:type="dxa"/>
        <w:tblLayout w:type="fixed"/>
        <w:tblCellMar>
          <w:top w:w="0" w:type="dxa"/>
          <w:start w:w="0" w:type="dxa"/>
          <w:bottom w:w="0" w:type="dxa"/>
          <w:end w:w="0" w:type="dxa"/>
        </w:tblCellMar>
      </w:tblPr>
      <w:tblGrid>
        <w:gridCol w:w="2497"/>
        <w:gridCol w:w="3913"/>
        <w:gridCol w:w="1202"/>
        <w:gridCol w:w="960"/>
      </w:tblGrid>
      <w:tr>
        <w:trPr/>
        <w:tc>
          <w:tcPr>
            <w:tcW w:w="2497"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Laterality</w:t>
            </w:r>
          </w:p>
        </w:tc>
        <w:tc>
          <w:tcPr>
            <w:tcW w:w="3913"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Subdistribution Hazard Ratio (sHR%)</w:t>
            </w:r>
          </w:p>
        </w:tc>
        <w:tc>
          <w:tcPr>
            <w:tcW w:w="1202"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95% CI</w:t>
            </w:r>
          </w:p>
        </w:tc>
        <w:tc>
          <w:tcPr>
            <w:tcW w:w="960" w:type="dxa"/>
            <w:tcBorders>
              <w:top w:val="single" w:sz="6" w:space="0" w:color="000000"/>
              <w:bottom w:val="single" w:sz="6" w:space="0" w:color="000000"/>
            </w:tcBorders>
            <w:vAlign w:val="center"/>
          </w:tcPr>
          <w:p>
            <w:pPr>
              <w:pStyle w:val="TableContents"/>
              <w:spacing w:lineRule="auto" w:line="271" w:before="0" w:after="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Style w:val="Strong"/>
                <w:rFonts w:ascii="Liberation Serif" w:hAnsi="Liberation Serif"/>
                <w:i w:val="false"/>
                <w:iCs w:val="false"/>
                <w:strike w:val="false"/>
                <w:dstrike w:val="false"/>
                <w:outline w:val="false"/>
                <w:shadow w:val="false"/>
                <w:color w:val="auto"/>
                <w:sz w:val="22"/>
                <w:szCs w:val="22"/>
                <w:u w:val="none"/>
              </w:rPr>
              <w:t>P-value</w:t>
            </w:r>
          </w:p>
        </w:tc>
      </w:tr>
      <w:tr>
        <w:trPr/>
        <w:tc>
          <w:tcPr>
            <w:tcW w:w="2497"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Right-Sided Radiation</w:t>
            </w:r>
          </w:p>
        </w:tc>
        <w:tc>
          <w:tcPr>
            <w:tcW w:w="3913"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1.00 (Ref%)</w:t>
            </w:r>
          </w:p>
        </w:tc>
        <w:tc>
          <w:tcPr>
            <w:tcW w:w="1202"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w:t>
            </w:r>
          </w:p>
        </w:tc>
        <w:tc>
          <w:tcPr>
            <w:tcW w:w="960" w:type="dxa"/>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w:t>
            </w:r>
          </w:p>
        </w:tc>
      </w:tr>
      <w:tr>
        <w:trPr/>
        <w:tc>
          <w:tcPr>
            <w:tcW w:w="2497"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Left-Sided Radiation</w:t>
            </w:r>
          </w:p>
        </w:tc>
        <w:tc>
          <w:tcPr>
            <w:tcW w:w="3913"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1.05</w:t>
            </w:r>
          </w:p>
        </w:tc>
        <w:tc>
          <w:tcPr>
            <w:tcW w:w="1202"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0.97 – 1.13</w:t>
            </w:r>
          </w:p>
        </w:tc>
        <w:tc>
          <w:tcPr>
            <w:tcW w:w="960" w:type="dxa"/>
            <w:tcBorders>
              <w:bottom w:val="single" w:sz="6" w:space="0" w:color="000000"/>
            </w:tcBorders>
            <w:vAlign w:val="center"/>
          </w:tcPr>
          <w:p>
            <w:pPr>
              <w:pStyle w:val="TableContents"/>
              <w:spacing w:lineRule="auto" w:line="271" w:before="0" w:after="140"/>
              <w:ind w:hanging="0" w:start="0" w:end="0"/>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2"/>
                <w:szCs w:val="22"/>
                <w:u w:val="none"/>
              </w:rPr>
              <w:t>0.21</w:t>
            </w:r>
          </w:p>
        </w:tc>
      </w:tr>
    </w:tbl>
    <w:p>
      <w:pPr>
        <w:pStyle w:val="Heading3"/>
        <w:widowControl/>
        <w:shd w:val="clear" w:fill="auto"/>
        <w:spacing w:lineRule="auto" w:line="276" w:before="0" w:after="0"/>
        <w:ind w:hanging="0" w:start="0" w:end="0"/>
        <w:jc w:val="start"/>
        <w:rPr>
          <w:rFonts w:ascii="Liberation Serif" w:hAnsi="Liberation Serif"/>
          <w:b w:val="false"/>
          <w:bCs w:val="false"/>
        </w:rPr>
      </w:pPr>
      <w:r>
        <w:rPr>
          <w:rFonts w:ascii="Liberation Serif" w:hAnsi="Liberation Serif"/>
          <w:b w:val="false"/>
          <w:bCs w:val="false"/>
          <w:color w:val="auto"/>
          <w:sz w:val="22"/>
          <w:szCs w:val="22"/>
        </w:rPr>
        <w:t>* Data was shown as sHR (95% CI%). Ref, reference; sHR:  subdistribution hazard ratio; CI, confidence interval</w:t>
      </w:r>
      <w:r>
        <w:br w:type="page"/>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color w:val="auto"/>
          <w:sz w:val="22"/>
          <w:szCs w:val="22"/>
        </w:rPr>
        <w:t>Study Population</w:t>
      </w:r>
    </w:p>
    <w:p>
      <w:pPr>
        <w:pStyle w:val="BodyText"/>
        <w:bidi w:val="0"/>
        <w:jc w:val="start"/>
        <w:rPr>
          <w:rFonts w:ascii="Liberation Serif" w:hAnsi="Liberation Serif"/>
          <w:sz w:val="22"/>
          <w:szCs w:val="22"/>
        </w:rPr>
      </w:pPr>
      <w:r>
        <w:rPr>
          <w:sz w:val="22"/>
          <w:szCs w:val="22"/>
        </w:rPr>
        <w:t>We conducted a retrospective, cohort study examining the incidence of cardiovascular disease (CVD%) mortality among long-term female breast cancer survivors. The data was obtained from the Surveillance, Epidemiology, and End Results (SEER%) database. We limited our population to women diagnosed with a first primary, invasive breast cancer (localized, regional, or distant stage%) who survived 60 months or more (5+ years%) post-diagnosis. We evaluated patients across key demographic, socioeconomic, and clinical categories, including age at diagnosis, median household income, race and ethnicity (Non-Hispanic White, Non-Hispanic Black, Hispanic, Asian/Pacific Islander, and American Indian/Alaska Native%), geographic location (urban/metropolitan vs rural/nonmetropolitan%), and cancer stage. Patients with unknown, unstaged, or missing data for a respective variable of interest were excluded from that specific analysis. Information regarding survival time and cause of death was obtained through the SEER cause-specific death classification variables.</w:t>
      </w:r>
    </w:p>
    <w:p>
      <w:pPr>
        <w:pStyle w:val="BodyText"/>
        <w:bidi w:val="0"/>
        <w:jc w:val="start"/>
        <w:rPr>
          <w:rFonts w:ascii="Liberation Serif" w:hAnsi="Liberation Serif"/>
          <w:sz w:val="22"/>
          <w:szCs w:val="22"/>
        </w:rPr>
      </w:pPr>
      <w:r>
        <w:rPr>
          <w:sz w:val="22"/>
          <w:szCs w:val="22"/>
        </w:rPr>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color w:val="auto"/>
          <w:sz w:val="22"/>
          <w:szCs w:val="22"/>
        </w:rPr>
        <w:t>Treatment Analysis</w:t>
      </w:r>
    </w:p>
    <w:p>
      <w:pPr>
        <w:pStyle w:val="BodyText"/>
        <w:bidi w:val="0"/>
        <w:jc w:val="start"/>
        <w:rPr>
          <w:rFonts w:ascii="Liberation Serif" w:hAnsi="Liberation Serif"/>
          <w:sz w:val="22"/>
          <w:szCs w:val="22"/>
        </w:rPr>
      </w:pPr>
      <w:r>
        <w:rPr>
          <w:sz w:val="22"/>
          <w:szCs w:val="22"/>
        </w:rPr>
        <w:t xml:space="preserve">We classified women according to their primary breast cancer treatment, </w:t>
      </w:r>
      <w:r>
        <w:rPr>
          <w:b/>
          <w:sz w:val="22"/>
          <w:szCs w:val="22"/>
        </w:rPr>
        <w:t>surgery only</w:t>
      </w:r>
      <w:r>
        <w:rPr>
          <w:sz w:val="22"/>
          <w:szCs w:val="22"/>
        </w:rPr>
        <w:t xml:space="preserve"> (women who received surgical resection but no or unknown history of chemotherapy or radiotherapy%), </w:t>
      </w:r>
      <w:r>
        <w:rPr>
          <w:b/>
          <w:sz w:val="22"/>
          <w:szCs w:val="22"/>
        </w:rPr>
        <w:t>chemotherapy alone</w:t>
      </w:r>
      <w:r>
        <w:rPr>
          <w:sz w:val="22"/>
          <w:szCs w:val="22"/>
        </w:rPr>
        <w:t xml:space="preserve"> (women who received chemotherapy, with or without surgery, but had no or unknown history of radiotherapy%), </w:t>
      </w:r>
      <w:r>
        <w:rPr>
          <w:b/>
          <w:sz w:val="22"/>
          <w:szCs w:val="22"/>
        </w:rPr>
        <w:t>chemotherapy plus radiotherapy</w:t>
      </w:r>
      <w:r>
        <w:rPr>
          <w:sz w:val="22"/>
          <w:szCs w:val="22"/>
        </w:rPr>
        <w:t xml:space="preserve"> (women who received both chemotherapy and radiotherapy, with or without surgery%), and </w:t>
      </w:r>
      <w:r>
        <w:rPr>
          <w:b/>
          <w:sz w:val="22"/>
          <w:szCs w:val="22"/>
        </w:rPr>
        <w:t>radiotherapy alone</w:t>
      </w:r>
      <w:r>
        <w:rPr>
          <w:sz w:val="22"/>
          <w:szCs w:val="22"/>
        </w:rPr>
        <w:t xml:space="preserve"> (women who received radiotherapy, with or without surgery, but had no or unknown history of chemotherapy%). Patients who received no active treatment, or those with unknown treatment statuses, were excluded from the treatment analysis. Furthermore, to evaluate the potential anatomical cardiotoxicity of radiation therapy, we conducted a targeted subgroup analysis strictly restricted to the radiation-exposed cohort (combining the 'radiotherapy alone' and 'chemotherapy plus radiotherapy' groups%), stratified by the laterality of the primary tumor (left-sided vs right-sided%).</w:t>
      </w:r>
    </w:p>
    <w:p>
      <w:pPr>
        <w:pStyle w:val="normal1"/>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sz w:val="24"/>
          <w:szCs w:val="24"/>
        </w:rPr>
      </w:r>
    </w:p>
    <w:p>
      <w:pPr>
        <w:pStyle w:val="Heading3"/>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i w:val="false"/>
          <w:caps w:val="false"/>
          <w:smallCaps w:val="false"/>
          <w:color w:val="auto"/>
          <w:spacing w:val="0"/>
          <w:sz w:val="22"/>
          <w:szCs w:val="22"/>
        </w:rPr>
        <w:t>Statistical Analysis</w:t>
      </w:r>
    </w:p>
    <w:p>
      <w:pPr>
        <w:pStyle w:val="BodyText"/>
        <w:bidi w:val="0"/>
        <w:jc w:val="start"/>
        <w:rPr/>
      </w:pPr>
      <w:r>
        <w:rPr>
          <w:sz w:val="22"/>
          <w:szCs w:val="22"/>
        </w:rPr>
        <w:t xml:space="preserve">To quantify the absolute risk of Cardiovascular Disease (CVD%) mortality, we conducted a competing risks analysis using the Aalen-Johansen estimator to calculate cumulative incidence. All non-CVD related deaths, including breast cancer-specific mortality and other non-cancer causes, were strictly treated as competing events. Cumulative incidence were extracted at 10, 15, and 20 years post-survivorship (i.e., 60, 120, and 180 months from the 5-year survivorship mark%). To ensure statistical stability and prevent tail-end artifacting, final incidence estimates and their corresponding 95% confidence intervals (CIs%) were dynamically truncated when the number of at-risk individuals dropped below 100. All unadjusted incidence analyses and visualizations were conducted using Python 3.13.12 (using the </w:t>
      </w:r>
      <w:r>
        <w:rPr>
          <w:rStyle w:val="SourceText"/>
          <w:sz w:val="22"/>
          <w:szCs w:val="22"/>
        </w:rPr>
        <w:t>lifelines</w:t>
      </w:r>
      <w:r>
        <w:rPr>
          <w:sz w:val="22"/>
          <w:szCs w:val="22"/>
        </w:rPr>
        <w:t xml:space="preserve"> package%).</w:t>
      </w:r>
    </w:p>
    <w:p>
      <w:pPr>
        <w:pStyle w:val="BodyText"/>
        <w:bidi w:val="0"/>
        <w:jc w:val="start"/>
        <w:rPr/>
      </w:pPr>
      <w:r>
        <w:rPr>
          <w:sz w:val="22"/>
          <w:szCs w:val="22"/>
        </w:rPr>
        <w:t xml:space="preserve">To evaluate the independent mathematical effect of demographic, socioeconomic, and clinical variables on CVD mortality while accounting for competing risks, we constructed Fine-Gray proportional subdistribution hazard models. This approach generated Subdistribution Hazard Ratios (sHRs%) and 95% CIs. Reference groups were established for each univariable model (e.g., Non-Hispanic White for race, surgery only for treatment, etc%). Furthermore, to evaluate anatomical cardiotoxicity, a targeted laterality analysis (left-sided versus right-sided tumors%) was conducted strictly within the radiation-exposed cohort. Competing risk hazard modeling was performed using Rstudio version 4.3.3 (using the </w:t>
      </w:r>
      <w:r>
        <w:rPr>
          <w:rStyle w:val="SourceText"/>
          <w:sz w:val="22"/>
          <w:szCs w:val="22"/>
        </w:rPr>
        <w:t>survival</w:t>
      </w:r>
      <w:r>
        <w:rPr>
          <w:sz w:val="22"/>
          <w:szCs w:val="22"/>
        </w:rPr>
        <w:t xml:space="preserve"> package%).</w:t>
      </w:r>
    </w:p>
    <w:p>
      <w:pPr>
        <w:pStyle w:val="normal1"/>
        <w:widowControl/>
        <w:shd w:val="clear" w:fill="auto"/>
        <w:spacing w:lineRule="auto" w:line="331" w:before="0" w:after="0"/>
        <w:ind w:hanging="0" w:start="0" w:end="0"/>
        <w:jc w:val="start"/>
        <w:rPr>
          <w:rFonts w:ascii="Liberation Serif" w:hAnsi="Liberation Serif"/>
          <w:b/>
          <w:bCs/>
          <w:sz w:val="24"/>
          <w:szCs w:val="24"/>
        </w:rPr>
      </w:pPr>
      <w:r>
        <w:rPr>
          <w:rFonts w:ascii="Liberation Serif" w:hAnsi="Liberation Serif"/>
          <w:b/>
          <w:bCs/>
          <w:sz w:val="24"/>
          <w:szCs w:val="24"/>
        </w:rPr>
      </w:r>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Google Sans Text">
    <w:altName w:val="sans-serif"/>
    <w:charset w:val="01" w:characterSet="utf-8"/>
    <w:family w:val="roman"/>
    <w:pitch w:val="variable"/>
  </w:font>
  <w:font w:name="Google Sans">
    <w:altName w:val="sans-serif"/>
    <w:charset w:val="01" w:characterSet="utf-8"/>
    <w:family w:val="roman"/>
    <w:pitch w:val="variable"/>
  </w:font>
  <w:font w:name="Google Sans">
    <w:altName w:val="sans-serif"/>
    <w:charset w:val="01" w:characterSet="utf-8"/>
    <w:family w:val="swiss"/>
    <w:pitch w:val="variable"/>
  </w:font>
</w:fonts>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character" w:styleId="DefaultParagraphFont">
    <w:name w:val="Default Paragraph Font"/>
    <w:qFormat/>
    <w:rPr/>
  </w:style>
  <w:style w:type="character" w:styleId="Strong">
    <w:name w:val="Strong"/>
    <w:basedOn w:val="DefaultParagraphFont"/>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ableContents">
    <w:name w:val="Table Contents"/>
    <w:basedOn w:val="normal1"/>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2755</TotalTime>
  <Application>LibreOffice/26.2.3.2$Linux_X86_64 LibreOffice_project/d4d5ed47b6084125f28d269a5650105d54dde034</Application>
  <AppVersion>15.0000</AppVersion>
  <Pages>16</Pages>
  <Words>2233</Words>
  <Characters>13562</Characters>
  <CharactersWithSpaces>15287</CharactersWithSpaces>
  <Paragraphs>575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2026-05-29T23:15:22Z</dcterms:created>
  <dc:creator/>
  <dc:description/>
  <dc:language>en-US</dc:language>
  <cp:lastModifiedBy/>
  <dcterms:modified xsi:type="dcterms:W3CDTF">2026-06-03T17:42:34Z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file>