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keepNext w:val="false"/>
        <w:keepLines w:val="false"/>
        <w:pageBreakBefore w:val="false"/>
        <w:widowControl/>
        <w:shd w:val="clear" w:fill="auto"/>
        <w:spacing w:lineRule="auto" w:line="276" w:before="0" w:after="0"/>
        <w:ind w:hanging="0" w:start="0" w:end="0"/>
        <w:jc w:val="start"/>
        <w:rPr/>
      </w:pPr>
      <w:r>
        <w:rPr>
          <w:rFonts w:eastAsia="Liberation Serif" w:cs="Liberation Serif" w:ascii="Liberation Serif" w:hAnsi="Liberation Serif"/>
          <w:b/>
          <w:bCs/>
          <w:i w:val="false"/>
          <w:iCs w:val="false"/>
          <w:caps w:val="false"/>
          <w:smallCaps w:val="false"/>
          <w:strike w:val="false"/>
          <w:dstrike w:val="false"/>
          <w:color w:val="000000"/>
          <w:position w:val="0"/>
          <w:sz w:val="22"/>
          <w:sz w:val="22"/>
          <w:szCs w:val="22"/>
          <w:u w:val="none"/>
          <w:shd w:fill="auto" w:val="clear"/>
          <w:vertAlign w:val="baseline"/>
        </w:rPr>
        <w:t xml:space="preserve">SUBJECT: </w:t>
      </w:r>
      <w:bookmarkStart w:id="0" w:name="docs-internal-guid-fd9720c9-7fff-8e5d-80"/>
      <w:bookmarkEnd w:id="0"/>
      <w:r>
        <w:rPr>
          <w:rFonts w:eastAsia="Liberation Serif" w:cs="Liberation Serif" w:ascii="Liberation Serif" w:hAnsi="Liberation Serif"/>
          <w:b w:val="false"/>
          <w:bCs w:val="false"/>
          <w:i w:val="false"/>
          <w:iCs w:val="false"/>
          <w:caps w:val="false"/>
          <w:smallCaps w:val="false"/>
          <w:strike w:val="false"/>
          <w:dstrike w:val="false"/>
          <w:color w:val="000000"/>
          <w:position w:val="0"/>
          <w:sz w:val="22"/>
          <w:sz w:val="22"/>
          <w:szCs w:val="22"/>
          <w:highlight w:val="white"/>
          <w:u w:val="none"/>
          <w:effect w:val="none"/>
          <w:shd w:fill="auto" w:val="clear"/>
          <w:vertAlign w:val="baseline"/>
        </w:rPr>
        <w:t>Disparities in Cardiovascular Mortality Among Long-Term Ovarian Cancer Survivors: A Competing Risk Analysis.</w:t>
        <w:br/>
        <w:br/>
      </w:r>
      <w:r>
        <w:rPr>
          <w:rFonts w:eastAsia="Liberation Serif" w:cs="Liberation Serif" w:ascii="Liberation Serif" w:hAnsi="Liberation Serif"/>
          <w:b/>
          <w:bCs/>
          <w:i w:val="false"/>
          <w:iCs w:val="false"/>
          <w:caps w:val="false"/>
          <w:smallCaps w:val="false"/>
          <w:strike w:val="false"/>
          <w:dstrike w:val="false"/>
          <w:color w:val="000000"/>
          <w:position w:val="0"/>
          <w:sz w:val="22"/>
          <w:sz w:val="22"/>
          <w:szCs w:val="22"/>
          <w:u w:val="none"/>
          <w:shd w:fill="auto" w:val="clear"/>
          <w:vertAlign w:val="baseline"/>
        </w:rPr>
        <w:t xml:space="preserve">DATASET: </w:t>
        <w:tab/>
      </w:r>
      <w:r>
        <w:rPr>
          <w:rFonts w:eastAsia="Liberation Serif" w:cs="Liberation Serif" w:ascii="Liberation Serif" w:hAnsi="Liberation Serif"/>
          <w:b w:val="false"/>
          <w:bCs w:val="false"/>
          <w:i w:val="false"/>
          <w:iCs w:val="false"/>
          <w:caps w:val="false"/>
          <w:smallCaps w:val="false"/>
          <w:strike w:val="false"/>
          <w:dstrike w:val="false"/>
          <w:color w:val="000000"/>
          <w:position w:val="0"/>
          <w:sz w:val="22"/>
          <w:sz w:val="22"/>
          <w:szCs w:val="22"/>
          <w:u w:val="none"/>
          <w:shd w:fill="auto" w:val="clear"/>
          <w:vertAlign w:val="baseline"/>
        </w:rPr>
        <w:t>SEER Registry (2000-2016) | N = 38,148</w:t>
        <w:br/>
        <w:br/>
      </w:r>
      <w:r>
        <w:rPr>
          <w:rFonts w:eastAsia="Liberation Serif" w:cs="Liberation Serif" w:ascii="Liberation Serif" w:hAnsi="Liberation Serif"/>
          <w:b/>
          <w:bCs/>
          <w:i w:val="false"/>
          <w:iCs w:val="false"/>
          <w:caps w:val="false"/>
          <w:smallCaps w:val="false"/>
          <w:strike w:val="false"/>
          <w:dstrike w:val="false"/>
          <w:color w:val="000000"/>
          <w:position w:val="0"/>
          <w:sz w:val="22"/>
          <w:sz w:val="22"/>
          <w:szCs w:val="22"/>
          <w:u w:val="none"/>
          <w:shd w:fill="auto" w:val="clear"/>
          <w:vertAlign w:val="baseline"/>
        </w:rPr>
        <w:t xml:space="preserve">Study details: </w:t>
      </w:r>
      <w:r>
        <w:rPr>
          <w:rFonts w:eastAsia="Liberation Serif" w:cs="Liberation Serif" w:ascii="Liberation Serif" w:hAnsi="Liberation Serif"/>
          <w:b w:val="false"/>
          <w:bCs w:val="false"/>
          <w:i w:val="false"/>
          <w:iCs w:val="false"/>
          <w:caps w:val="false"/>
          <w:smallCaps w:val="false"/>
          <w:strike w:val="false"/>
          <w:dstrike w:val="false"/>
          <w:color w:val="000000"/>
          <w:position w:val="0"/>
          <w:sz w:val="22"/>
          <w:sz w:val="22"/>
          <w:szCs w:val="22"/>
          <w:u w:val="none"/>
          <w:shd w:fill="auto" w:val="clear"/>
          <w:vertAlign w:val="baseline"/>
        </w:rPr>
        <w:t xml:space="preserve">This study used data from SEER records of patients diagnosed with cancer between 2000 and 2016, aged ≥ 20 years. The sample size for this study period was 6,412,621 patients. However, the study was focused on </w:t>
      </w:r>
      <w:r>
        <w:rPr>
          <w:rFonts w:eastAsia="Liberation Serif" w:cs="Liberation Serif" w:ascii="Liberation Serif" w:hAnsi="Liberation Serif"/>
          <w:color w:val="auto"/>
        </w:rPr>
        <w:t>long-term</w:t>
      </w:r>
      <w:r>
        <w:rPr>
          <w:rFonts w:eastAsia="Liberation Serif" w:cs="Liberation Serif" w:ascii="Liberation Serif" w:hAnsi="Liberation Serif"/>
          <w:b w:val="false"/>
          <w:bCs w:val="false"/>
          <w:i w:val="false"/>
          <w:iCs w:val="false"/>
          <w:caps w:val="false"/>
          <w:smallCaps w:val="false"/>
          <w:strike w:val="false"/>
          <w:dstrike w:val="false"/>
          <w:color w:val="000000"/>
          <w:position w:val="0"/>
          <w:sz w:val="22"/>
          <w:sz w:val="22"/>
          <w:szCs w:val="22"/>
          <w:u w:val="none"/>
          <w:shd w:fill="auto" w:val="clear"/>
          <w:vertAlign w:val="baseline"/>
        </w:rPr>
        <w:t xml:space="preserve"> ovarian cancer survivors and of our total sample size, only 38,148 patients were </w:t>
      </w:r>
      <w:r>
        <w:rPr>
          <w:rFonts w:eastAsia="Liberation Serif" w:cs="Liberation Serif" w:ascii="Liberation Serif" w:hAnsi="Liberation Serif"/>
          <w:color w:val="auto"/>
        </w:rPr>
        <w:t>long-term</w:t>
      </w:r>
      <w:r>
        <w:rPr>
          <w:rFonts w:eastAsia="Liberation Serif" w:cs="Liberation Serif" w:ascii="Liberation Serif" w:hAnsi="Liberation Serif"/>
          <w:b w:val="false"/>
          <w:bCs w:val="false"/>
          <w:i w:val="false"/>
          <w:iCs w:val="false"/>
          <w:caps w:val="false"/>
          <w:smallCaps w:val="false"/>
          <w:strike w:val="false"/>
          <w:dstrike w:val="false"/>
          <w:color w:val="000000"/>
          <w:position w:val="0"/>
          <w:sz w:val="22"/>
          <w:sz w:val="22"/>
          <w:szCs w:val="22"/>
          <w:u w:val="none"/>
          <w:shd w:fill="auto" w:val="clear"/>
          <w:vertAlign w:val="baseline"/>
        </w:rPr>
        <w:t xml:space="preserve"> survivors. The inclusion criteria for </w:t>
      </w:r>
      <w:r>
        <w:rPr>
          <w:rFonts w:eastAsia="Liberation Serif" w:cs="Liberation Serif" w:ascii="Liberation Serif" w:hAnsi="Liberation Serif"/>
          <w:color w:val="auto"/>
        </w:rPr>
        <w:t>long-term</w:t>
      </w:r>
      <w:r>
        <w:rPr>
          <w:rFonts w:eastAsia="Liberation Serif" w:cs="Liberation Serif" w:ascii="Liberation Serif" w:hAnsi="Liberation Serif"/>
          <w:b w:val="false"/>
          <w:bCs w:val="false"/>
          <w:i w:val="false"/>
          <w:iCs w:val="false"/>
          <w:caps w:val="false"/>
          <w:smallCaps w:val="false"/>
          <w:strike w:val="false"/>
          <w:dstrike w:val="false"/>
          <w:color w:val="000000"/>
          <w:position w:val="0"/>
          <w:sz w:val="22"/>
          <w:sz w:val="22"/>
          <w:szCs w:val="22"/>
          <w:u w:val="none"/>
          <w:shd w:fill="auto" w:val="clear"/>
          <w:vertAlign w:val="baseline"/>
        </w:rPr>
        <w:t xml:space="preserve"> survivors </w:t>
      </w:r>
      <w:r>
        <w:rPr>
          <w:rFonts w:eastAsia="Liberation Serif" w:cs="Liberation Serif" w:ascii="Liberation Serif" w:hAnsi="Liberation Serif"/>
          <w:color w:val="auto"/>
        </w:rPr>
        <w:t>were</w:t>
      </w:r>
      <w:r>
        <w:rPr>
          <w:rFonts w:eastAsia="Liberation Serif" w:cs="Liberation Serif" w:ascii="Liberation Serif" w:hAnsi="Liberation Serif"/>
          <w:b w:val="false"/>
          <w:bCs w:val="false"/>
          <w:i w:val="false"/>
          <w:iCs w:val="false"/>
          <w:caps w:val="false"/>
          <w:smallCaps w:val="false"/>
          <w:strike w:val="false"/>
          <w:dstrike w:val="false"/>
          <w:color w:val="000000"/>
          <w:position w:val="0"/>
          <w:sz w:val="22"/>
          <w:sz w:val="22"/>
          <w:szCs w:val="22"/>
          <w:u w:val="none"/>
          <w:shd w:fill="auto" w:val="clear"/>
          <w:vertAlign w:val="baseline"/>
        </w:rPr>
        <w:t xml:space="preserve"> patients who </w:t>
      </w:r>
      <w:r>
        <w:rPr>
          <w:rFonts w:eastAsia="Liberation Serif" w:cs="Liberation Serif" w:ascii="Liberation Serif" w:hAnsi="Liberation Serif"/>
          <w:color w:val="auto"/>
        </w:rPr>
        <w:t>had</w:t>
      </w:r>
      <w:r>
        <w:rPr>
          <w:rFonts w:eastAsia="Liberation Serif" w:cs="Liberation Serif" w:ascii="Liberation Serif" w:hAnsi="Liberation Serif"/>
          <w:b w:val="false"/>
          <w:bCs w:val="false"/>
          <w:i w:val="false"/>
          <w:iCs w:val="false"/>
          <w:caps w:val="false"/>
          <w:smallCaps w:val="false"/>
          <w:strike w:val="false"/>
          <w:dstrike w:val="false"/>
          <w:color w:val="000000"/>
          <w:position w:val="0"/>
          <w:sz w:val="22"/>
          <w:sz w:val="22"/>
          <w:szCs w:val="22"/>
          <w:u w:val="none"/>
          <w:shd w:fill="auto" w:val="clear"/>
          <w:vertAlign w:val="baseline"/>
        </w:rPr>
        <w:t xml:space="preserve"> survived ≥ 60 months (5+ years%). Table 1 shows the demographic and clinical characteristics of these </w:t>
      </w:r>
      <w:r>
        <w:rPr>
          <w:rFonts w:eastAsia="Liberation Serif" w:cs="Liberation Serif" w:ascii="Liberation Serif" w:hAnsi="Liberation Serif"/>
          <w:color w:val="auto"/>
        </w:rPr>
        <w:t>long-term</w:t>
      </w:r>
      <w:r>
        <w:rPr>
          <w:rFonts w:eastAsia="Liberation Serif" w:cs="Liberation Serif" w:ascii="Liberation Serif" w:hAnsi="Liberation Serif"/>
          <w:b w:val="false"/>
          <w:bCs w:val="false"/>
          <w:i w:val="false"/>
          <w:iCs w:val="false"/>
          <w:caps w:val="false"/>
          <w:smallCaps w:val="false"/>
          <w:strike w:val="false"/>
          <w:dstrike w:val="false"/>
          <w:color w:val="000000"/>
          <w:position w:val="0"/>
          <w:sz w:val="22"/>
          <w:sz w:val="22"/>
          <w:szCs w:val="22"/>
          <w:u w:val="none"/>
          <w:shd w:fill="auto" w:val="clear"/>
          <w:vertAlign w:val="baseline"/>
        </w:rPr>
        <w:t xml:space="preserve"> survivors.</w:t>
        <w:br/>
      </w:r>
    </w:p>
    <w:p>
      <w:pPr>
        <w:pStyle w:val="Heading1"/>
        <w:spacing w:lineRule="auto" w:line="240" w:before="0" w:after="0"/>
        <w:rPr>
          <w:rFonts w:ascii="Arial" w:hAnsi="Arial" w:eastAsia="Arial" w:cs="Arial"/>
          <w:b w:val="false"/>
          <w:bCs w:val="false"/>
          <w:i w:val="false"/>
          <w:i w:val="false"/>
          <w:iCs w:val="false"/>
          <w:caps w:val="false"/>
          <w:smallCaps w:val="false"/>
          <w:strike w:val="false"/>
          <w:dstrike w:val="false"/>
          <w:color w:val="000000"/>
          <w:sz w:val="22"/>
          <w:szCs w:val="22"/>
          <w:u w:val="none"/>
          <w:shd w:fill="auto" w:val="clear"/>
        </w:rPr>
      </w:pPr>
      <w:r>
        <w:rPr>
          <w:rFonts w:eastAsia="Liberation Serif" w:cs="Liberation Serif" w:ascii="Liberation Serif" w:hAnsi="Liberation Serif"/>
          <w:color w:val="auto"/>
          <w:sz w:val="22"/>
          <w:szCs w:val="22"/>
        </w:rPr>
        <w:t xml:space="preserve">Table 1: </w:t>
      </w:r>
      <w:r>
        <w:rPr>
          <w:rFonts w:eastAsia="Arial" w:cs="Arial" w:ascii="Liberation Serif" w:hAnsi="Liberation Serif"/>
          <w:b w:val="false"/>
          <w:bCs w:val="false"/>
          <w:i w:val="false"/>
          <w:iCs w:val="false"/>
          <w:caps w:val="false"/>
          <w:smallCaps w:val="false"/>
          <w:strike w:val="false"/>
          <w:dstrike w:val="false"/>
          <w:color w:val="000000"/>
          <w:spacing w:val="0"/>
          <w:sz w:val="22"/>
          <w:szCs w:val="22"/>
          <w:u w:val="none"/>
          <w:shd w:fill="auto" w:val="clear"/>
        </w:rPr>
        <w:t>Overall Demographic and Clinical Characteristics of Long-term Ovarian Cancer Survivors (5+ years) (Grouped by Treatment Type)</w:t>
      </w:r>
    </w:p>
    <w:tbl>
      <w:tblPr>
        <w:tblW w:w="9638" w:type="dxa"/>
        <w:jc w:val="start"/>
        <w:tblInd w:w="0" w:type="dxa"/>
        <w:tblLayout w:type="fixed"/>
        <w:tblCellMar>
          <w:top w:w="0" w:type="dxa"/>
          <w:start w:w="0" w:type="dxa"/>
          <w:bottom w:w="0" w:type="dxa"/>
          <w:end w:w="0" w:type="dxa"/>
        </w:tblCellMar>
      </w:tblPr>
      <w:tblGrid>
        <w:gridCol w:w="2173"/>
        <w:gridCol w:w="1209"/>
        <w:gridCol w:w="1191"/>
        <w:gridCol w:w="2172"/>
        <w:gridCol w:w="1930"/>
        <w:gridCol w:w="962"/>
      </w:tblGrid>
      <w:tr>
        <w:trPr/>
        <w:tc>
          <w:tcPr>
            <w:tcW w:w="2173"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000000"/>
                <w:sz w:val="16"/>
                <w:szCs w:val="16"/>
                <w:u w:val="none"/>
              </w:rPr>
              <w:t>Characteristic</w:t>
            </w:r>
          </w:p>
        </w:tc>
        <w:tc>
          <w:tcPr>
            <w:tcW w:w="1209"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000000"/>
                <w:sz w:val="16"/>
                <w:szCs w:val="16"/>
                <w:u w:val="none"/>
              </w:rPr>
              <w:t>Overall Cohort (n = 38,148)</w:t>
            </w:r>
          </w:p>
        </w:tc>
        <w:tc>
          <w:tcPr>
            <w:tcW w:w="1191"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000000"/>
                <w:sz w:val="16"/>
                <w:szCs w:val="16"/>
                <w:u w:val="none"/>
              </w:rPr>
              <w:t>Surgery Only (n = 12,212)</w:t>
            </w:r>
          </w:p>
        </w:tc>
        <w:tc>
          <w:tcPr>
            <w:tcW w:w="2172"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000000"/>
                <w:sz w:val="16"/>
                <w:szCs w:val="16"/>
                <w:u w:val="none"/>
              </w:rPr>
              <w:t>Surgery + Chemotherapy (n = 24,106)</w:t>
            </w:r>
          </w:p>
        </w:tc>
        <w:tc>
          <w:tcPr>
            <w:tcW w:w="1930"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000000"/>
                <w:sz w:val="16"/>
                <w:szCs w:val="16"/>
                <w:u w:val="none"/>
              </w:rPr>
              <w:t>Chemotherapy Alone (n = 750)</w:t>
            </w:r>
          </w:p>
        </w:tc>
        <w:tc>
          <w:tcPr>
            <w:tcW w:w="962"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000000"/>
                <w:sz w:val="16"/>
                <w:szCs w:val="16"/>
                <w:u w:val="none"/>
              </w:rPr>
              <w:t>P-value</w:t>
            </w:r>
          </w:p>
        </w:tc>
      </w:tr>
      <w:tr>
        <w:trPr>
          <w:trHeight w:val="547" w:hRule="exact"/>
        </w:trPr>
        <w:tc>
          <w:tcPr>
            <w:tcW w:w="2173"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bCs/>
                <w:i w:val="false"/>
                <w:iCs w:val="false"/>
                <w:strike w:val="false"/>
                <w:dstrike w:val="false"/>
                <w:outline w:val="false"/>
                <w:shadow w:val="false"/>
                <w:color w:val="000000"/>
                <w:sz w:val="16"/>
                <w:szCs w:val="16"/>
                <w:u w:val="none"/>
              </w:rPr>
              <w:t>Age at Diagnosis,</w:t>
            </w:r>
            <w:r>
              <w:rPr>
                <w:rFonts w:ascii="Liberation Serif" w:hAnsi="Liberation Serif"/>
                <w:b w:val="false"/>
                <w:bCs w:val="false"/>
                <w:i w:val="false"/>
                <w:iCs w:val="false"/>
                <w:strike w:val="false"/>
                <w:dstrike w:val="false"/>
                <w:outline w:val="false"/>
                <w:shadow w:val="false"/>
                <w:color w:val="000000"/>
                <w:sz w:val="16"/>
                <w:szCs w:val="16"/>
                <w:u w:val="none"/>
              </w:rPr>
              <w:t xml:space="preserve"> mean (SD)</w:t>
            </w:r>
          </w:p>
        </w:tc>
        <w:tc>
          <w:tcPr>
            <w:tcW w:w="1209"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54.0y (13.8y)</w:t>
            </w:r>
          </w:p>
        </w:tc>
        <w:tc>
          <w:tcPr>
            <w:tcW w:w="1191"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52.0 (15.0y)</w:t>
            </w:r>
          </w:p>
        </w:tc>
        <w:tc>
          <w:tcPr>
            <w:tcW w:w="217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54.6y (12.9y)</w:t>
            </w:r>
          </w:p>
        </w:tc>
        <w:tc>
          <w:tcPr>
            <w:tcW w:w="1930"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62.2y (13.9y)</w:t>
            </w:r>
          </w:p>
        </w:tc>
        <w:tc>
          <w:tcPr>
            <w:tcW w:w="96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&lt;0.001</w:t>
            </w:r>
          </w:p>
        </w:tc>
      </w:tr>
      <w:tr>
        <w:trPr>
          <w:trHeight w:val="547" w:hRule="exact"/>
        </w:trPr>
        <w:tc>
          <w:tcPr>
            <w:tcW w:w="8675" w:type="dxa"/>
            <w:gridSpan w:val="5"/>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bCs/>
                <w:i w:val="false"/>
                <w:iCs w:val="false"/>
                <w:strike w:val="false"/>
                <w:dstrike w:val="false"/>
                <w:outline w:val="false"/>
                <w:shadow w:val="false"/>
                <w:color w:val="000000"/>
                <w:sz w:val="16"/>
                <w:szCs w:val="16"/>
                <w:u w:val="none"/>
              </w:rPr>
              <w:t xml:space="preserve">Age Group, </w:t>
            </w:r>
            <w:r>
              <w:rPr>
                <w:rFonts w:ascii="Liberation Serif" w:hAnsi="Liberation Serif"/>
                <w:b w:val="false"/>
                <w:bCs w:val="false"/>
                <w:i w:val="false"/>
                <w:iCs w:val="false"/>
                <w:strike w:val="false"/>
                <w:dstrike w:val="false"/>
                <w:outline w:val="false"/>
                <w:shadow w:val="false"/>
                <w:color w:val="000000"/>
                <w:sz w:val="16"/>
                <w:szCs w:val="16"/>
                <w:u w:val="none"/>
              </w:rPr>
              <w:t>n (%)</w:t>
            </w:r>
          </w:p>
        </w:tc>
        <w:tc>
          <w:tcPr>
            <w:tcW w:w="96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&lt;0.001</w:t>
            </w:r>
          </w:p>
        </w:tc>
      </w:tr>
      <w:tr>
        <w:trPr/>
        <w:tc>
          <w:tcPr>
            <w:tcW w:w="2173"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20 - 39 years</w:t>
            </w:r>
          </w:p>
        </w:tc>
        <w:tc>
          <w:tcPr>
            <w:tcW w:w="1209"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4,401 (11.5%)</w:t>
            </w:r>
          </w:p>
        </w:tc>
        <w:tc>
          <w:tcPr>
            <w:tcW w:w="1191"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2,063 (16.9%)</w:t>
            </w:r>
          </w:p>
        </w:tc>
        <w:tc>
          <w:tcPr>
            <w:tcW w:w="217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2,157 (8.9%)</w:t>
            </w:r>
          </w:p>
        </w:tc>
        <w:tc>
          <w:tcPr>
            <w:tcW w:w="1930"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39 (5.2%)</w:t>
            </w:r>
          </w:p>
        </w:tc>
        <w:tc>
          <w:tcPr>
            <w:tcW w:w="962" w:type="dxa"/>
            <w:tcBorders/>
            <w:vAlign w:val="center"/>
          </w:tcPr>
          <w:p>
            <w:pPr>
              <w:pStyle w:val="TableContents"/>
              <w:spacing w:before="0" w:after="20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r>
          </w:p>
        </w:tc>
      </w:tr>
      <w:tr>
        <w:trPr/>
        <w:tc>
          <w:tcPr>
            <w:tcW w:w="2173"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40 - 59 years</w:t>
            </w:r>
          </w:p>
        </w:tc>
        <w:tc>
          <w:tcPr>
            <w:tcW w:w="1209"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18,403 (48.2%)</w:t>
            </w:r>
          </w:p>
        </w:tc>
        <w:tc>
          <w:tcPr>
            <w:tcW w:w="1191"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5,914 (48.4%)</w:t>
            </w:r>
          </w:p>
        </w:tc>
        <w:tc>
          <w:tcPr>
            <w:tcW w:w="217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11,826 (49.1%)</w:t>
            </w:r>
          </w:p>
        </w:tc>
        <w:tc>
          <w:tcPr>
            <w:tcW w:w="1930"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218 (29.1%)</w:t>
            </w:r>
          </w:p>
        </w:tc>
        <w:tc>
          <w:tcPr>
            <w:tcW w:w="962" w:type="dxa"/>
            <w:tcBorders/>
            <w:vAlign w:val="center"/>
          </w:tcPr>
          <w:p>
            <w:pPr>
              <w:pStyle w:val="TableContents"/>
              <w:spacing w:before="0" w:after="20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r>
          </w:p>
        </w:tc>
      </w:tr>
      <w:tr>
        <w:trPr/>
        <w:tc>
          <w:tcPr>
            <w:tcW w:w="2173"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60 - 79 years</w:t>
            </w:r>
          </w:p>
        </w:tc>
        <w:tc>
          <w:tcPr>
            <w:tcW w:w="1209"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13,811 (36.2%)</w:t>
            </w:r>
          </w:p>
        </w:tc>
        <w:tc>
          <w:tcPr>
            <w:tcW w:w="1191"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3,643 (29.8%)</w:t>
            </w:r>
          </w:p>
        </w:tc>
        <w:tc>
          <w:tcPr>
            <w:tcW w:w="217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9,397 (39.0%)</w:t>
            </w:r>
          </w:p>
        </w:tc>
        <w:tc>
          <w:tcPr>
            <w:tcW w:w="1930"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396 (52.8%)</w:t>
            </w:r>
          </w:p>
        </w:tc>
        <w:tc>
          <w:tcPr>
            <w:tcW w:w="962" w:type="dxa"/>
            <w:tcBorders/>
            <w:vAlign w:val="center"/>
          </w:tcPr>
          <w:p>
            <w:pPr>
              <w:pStyle w:val="TableContents"/>
              <w:spacing w:before="0" w:after="20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r>
          </w:p>
        </w:tc>
      </w:tr>
      <w:tr>
        <w:trPr/>
        <w:tc>
          <w:tcPr>
            <w:tcW w:w="2173"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80+ years</w:t>
            </w:r>
          </w:p>
        </w:tc>
        <w:tc>
          <w:tcPr>
            <w:tcW w:w="1209"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1,533 (4.0%)</w:t>
            </w:r>
          </w:p>
        </w:tc>
        <w:tc>
          <w:tcPr>
            <w:tcW w:w="1191"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592 (4.8%)</w:t>
            </w:r>
          </w:p>
        </w:tc>
        <w:tc>
          <w:tcPr>
            <w:tcW w:w="217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726 (3.0%)</w:t>
            </w:r>
          </w:p>
        </w:tc>
        <w:tc>
          <w:tcPr>
            <w:tcW w:w="1930"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97 (12.9%)</w:t>
            </w:r>
          </w:p>
        </w:tc>
        <w:tc>
          <w:tcPr>
            <w:tcW w:w="962" w:type="dxa"/>
            <w:tcBorders/>
            <w:vAlign w:val="center"/>
          </w:tcPr>
          <w:p>
            <w:pPr>
              <w:pStyle w:val="TableContents"/>
              <w:spacing w:before="0" w:after="20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r>
          </w:p>
        </w:tc>
      </w:tr>
      <w:tr>
        <w:trPr>
          <w:trHeight w:val="547" w:hRule="exact"/>
        </w:trPr>
        <w:tc>
          <w:tcPr>
            <w:tcW w:w="8675" w:type="dxa"/>
            <w:gridSpan w:val="5"/>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bCs/>
                <w:i w:val="false"/>
                <w:iCs w:val="false"/>
                <w:strike w:val="false"/>
                <w:dstrike w:val="false"/>
                <w:outline w:val="false"/>
                <w:shadow w:val="false"/>
                <w:color w:val="000000"/>
                <w:sz w:val="16"/>
                <w:szCs w:val="16"/>
                <w:u w:val="none"/>
              </w:rPr>
              <w:t xml:space="preserve">Race/Ethnicity, </w:t>
            </w:r>
            <w:r>
              <w:rPr>
                <w:rFonts w:ascii="Liberation Serif" w:hAnsi="Liberation Serif"/>
                <w:b w:val="false"/>
                <w:bCs w:val="false"/>
                <w:i w:val="false"/>
                <w:iCs w:val="false"/>
                <w:strike w:val="false"/>
                <w:dstrike w:val="false"/>
                <w:outline w:val="false"/>
                <w:shadow w:val="false"/>
                <w:color w:val="000000"/>
                <w:sz w:val="16"/>
                <w:szCs w:val="16"/>
                <w:u w:val="none"/>
              </w:rPr>
              <w:t>n (%)</w:t>
            </w:r>
          </w:p>
        </w:tc>
        <w:tc>
          <w:tcPr>
            <w:tcW w:w="96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&lt;0.001</w:t>
            </w:r>
          </w:p>
        </w:tc>
      </w:tr>
      <w:tr>
        <w:trPr/>
        <w:tc>
          <w:tcPr>
            <w:tcW w:w="2173"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Non-Hispanic White</w:t>
            </w:r>
          </w:p>
        </w:tc>
        <w:tc>
          <w:tcPr>
            <w:tcW w:w="1209"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26,821 (70.3%)</w:t>
            </w:r>
          </w:p>
        </w:tc>
        <w:tc>
          <w:tcPr>
            <w:tcW w:w="1191"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8,317 (68.1%)</w:t>
            </w:r>
          </w:p>
        </w:tc>
        <w:tc>
          <w:tcPr>
            <w:tcW w:w="217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17,299 (71.8%)</w:t>
            </w:r>
          </w:p>
        </w:tc>
        <w:tc>
          <w:tcPr>
            <w:tcW w:w="1930"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512 (68.3%)</w:t>
            </w:r>
          </w:p>
        </w:tc>
        <w:tc>
          <w:tcPr>
            <w:tcW w:w="962" w:type="dxa"/>
            <w:tcBorders/>
            <w:vAlign w:val="center"/>
          </w:tcPr>
          <w:p>
            <w:pPr>
              <w:pStyle w:val="TableContents"/>
              <w:spacing w:before="0" w:after="20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r>
          </w:p>
        </w:tc>
      </w:tr>
      <w:tr>
        <w:trPr/>
        <w:tc>
          <w:tcPr>
            <w:tcW w:w="2173"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Non-Hispanic Black</w:t>
            </w:r>
          </w:p>
        </w:tc>
        <w:tc>
          <w:tcPr>
            <w:tcW w:w="1209"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2,285 (6.0%)</w:t>
            </w:r>
          </w:p>
        </w:tc>
        <w:tc>
          <w:tcPr>
            <w:tcW w:w="1191"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844 (6.9%)</w:t>
            </w:r>
          </w:p>
        </w:tc>
        <w:tc>
          <w:tcPr>
            <w:tcW w:w="217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1,216 (5.0%)</w:t>
            </w:r>
          </w:p>
        </w:tc>
        <w:tc>
          <w:tcPr>
            <w:tcW w:w="1930"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85 (11.3%)</w:t>
            </w:r>
          </w:p>
        </w:tc>
        <w:tc>
          <w:tcPr>
            <w:tcW w:w="962" w:type="dxa"/>
            <w:tcBorders/>
            <w:vAlign w:val="center"/>
          </w:tcPr>
          <w:p>
            <w:pPr>
              <w:pStyle w:val="TableContents"/>
              <w:spacing w:before="0" w:after="20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r>
          </w:p>
        </w:tc>
      </w:tr>
      <w:tr>
        <w:trPr/>
        <w:tc>
          <w:tcPr>
            <w:tcW w:w="2173"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 xml:space="preserve">Hispanic </w:t>
            </w:r>
            <w:r>
              <w:rPr>
                <w:rFonts w:ascii="Liberation Serif" w:hAnsi="Liberation Serif"/>
                <w:b w:val="false"/>
                <w:bCs w:val="false"/>
                <w:i w:val="false"/>
                <w:iCs w:val="false"/>
                <w:strike w:val="false"/>
                <w:dstrike w:val="false"/>
                <w:outline w:val="false"/>
                <w:shadow w:val="false"/>
                <w:color w:val="auto"/>
                <w:sz w:val="16"/>
                <w:szCs w:val="16"/>
                <w:u w:val="none"/>
              </w:rPr>
              <w:t>(All Races)</w:t>
            </w:r>
          </w:p>
        </w:tc>
        <w:tc>
          <w:tcPr>
            <w:tcW w:w="1209"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5,048 (13.2%)</w:t>
            </w:r>
          </w:p>
        </w:tc>
        <w:tc>
          <w:tcPr>
            <w:tcW w:w="1191"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1,726 (14.1%)</w:t>
            </w:r>
          </w:p>
        </w:tc>
        <w:tc>
          <w:tcPr>
            <w:tcW w:w="217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3,071 (12.7%)</w:t>
            </w:r>
          </w:p>
        </w:tc>
        <w:tc>
          <w:tcPr>
            <w:tcW w:w="1930"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96 (12.8%)</w:t>
            </w:r>
          </w:p>
        </w:tc>
        <w:tc>
          <w:tcPr>
            <w:tcW w:w="962" w:type="dxa"/>
            <w:tcBorders/>
            <w:vAlign w:val="center"/>
          </w:tcPr>
          <w:p>
            <w:pPr>
              <w:pStyle w:val="TableContents"/>
              <w:spacing w:before="0" w:after="20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r>
          </w:p>
        </w:tc>
      </w:tr>
      <w:tr>
        <w:trPr/>
        <w:tc>
          <w:tcPr>
            <w:tcW w:w="2173"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Asian / Pacific Islander</w:t>
            </w:r>
          </w:p>
        </w:tc>
        <w:tc>
          <w:tcPr>
            <w:tcW w:w="1209"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3,652 (9.6%)</w:t>
            </w:r>
          </w:p>
        </w:tc>
        <w:tc>
          <w:tcPr>
            <w:tcW w:w="1191"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1,198 (9.8%)</w:t>
            </w:r>
          </w:p>
        </w:tc>
        <w:tc>
          <w:tcPr>
            <w:tcW w:w="217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2,333 (9.7%)</w:t>
            </w:r>
          </w:p>
        </w:tc>
        <w:tc>
          <w:tcPr>
            <w:tcW w:w="1930"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45 (6.0%)</w:t>
            </w:r>
          </w:p>
        </w:tc>
        <w:tc>
          <w:tcPr>
            <w:tcW w:w="962" w:type="dxa"/>
            <w:tcBorders/>
            <w:vAlign w:val="center"/>
          </w:tcPr>
          <w:p>
            <w:pPr>
              <w:pStyle w:val="TableContents"/>
              <w:spacing w:before="0" w:after="20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r>
          </w:p>
        </w:tc>
      </w:tr>
      <w:tr>
        <w:trPr/>
        <w:tc>
          <w:tcPr>
            <w:tcW w:w="2173"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American Indian / Alaska Native</w:t>
            </w:r>
          </w:p>
        </w:tc>
        <w:tc>
          <w:tcPr>
            <w:tcW w:w="1209"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237 (0.6%)</w:t>
            </w:r>
          </w:p>
        </w:tc>
        <w:tc>
          <w:tcPr>
            <w:tcW w:w="1191"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72 (0.6%)</w:t>
            </w:r>
          </w:p>
        </w:tc>
        <w:tc>
          <w:tcPr>
            <w:tcW w:w="217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148 (0.6%)</w:t>
            </w:r>
          </w:p>
        </w:tc>
        <w:tc>
          <w:tcPr>
            <w:tcW w:w="1930"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9 (1.2%)</w:t>
            </w:r>
          </w:p>
        </w:tc>
        <w:tc>
          <w:tcPr>
            <w:tcW w:w="962" w:type="dxa"/>
            <w:tcBorders/>
            <w:vAlign w:val="center"/>
          </w:tcPr>
          <w:p>
            <w:pPr>
              <w:pStyle w:val="TableContents"/>
              <w:spacing w:before="0" w:after="20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r>
          </w:p>
        </w:tc>
      </w:tr>
      <w:tr>
        <w:trPr/>
        <w:tc>
          <w:tcPr>
            <w:tcW w:w="2173"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Other/Unknown</w:t>
            </w:r>
          </w:p>
        </w:tc>
        <w:tc>
          <w:tcPr>
            <w:tcW w:w="1209"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105 (0.3%)</w:t>
            </w:r>
          </w:p>
        </w:tc>
        <w:tc>
          <w:tcPr>
            <w:tcW w:w="1191"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55 (0.5%)</w:t>
            </w:r>
          </w:p>
        </w:tc>
        <w:tc>
          <w:tcPr>
            <w:tcW w:w="217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39 (0.2%)</w:t>
            </w:r>
          </w:p>
        </w:tc>
        <w:tc>
          <w:tcPr>
            <w:tcW w:w="1930"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3 (0.4%)</w:t>
            </w:r>
          </w:p>
        </w:tc>
        <w:tc>
          <w:tcPr>
            <w:tcW w:w="962" w:type="dxa"/>
            <w:tcBorders/>
            <w:vAlign w:val="center"/>
          </w:tcPr>
          <w:p>
            <w:pPr>
              <w:pStyle w:val="TableContents"/>
              <w:spacing w:before="0" w:after="20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r>
          </w:p>
        </w:tc>
      </w:tr>
      <w:tr>
        <w:trPr>
          <w:trHeight w:val="547" w:hRule="exact"/>
        </w:trPr>
        <w:tc>
          <w:tcPr>
            <w:tcW w:w="8675" w:type="dxa"/>
            <w:gridSpan w:val="5"/>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bCs/>
                <w:i w:val="false"/>
                <w:iCs w:val="false"/>
                <w:strike w:val="false"/>
                <w:dstrike w:val="false"/>
                <w:outline w:val="false"/>
                <w:shadow w:val="false"/>
                <w:color w:val="000000"/>
                <w:sz w:val="16"/>
                <w:szCs w:val="16"/>
                <w:u w:val="none"/>
              </w:rPr>
              <w:t xml:space="preserve">Median Household Income, </w:t>
            </w:r>
            <w:r>
              <w:rPr>
                <w:rFonts w:ascii="Liberation Serif" w:hAnsi="Liberation Serif"/>
                <w:b w:val="false"/>
                <w:bCs w:val="false"/>
                <w:i w:val="false"/>
                <w:iCs w:val="false"/>
                <w:strike w:val="false"/>
                <w:dstrike w:val="false"/>
                <w:outline w:val="false"/>
                <w:shadow w:val="false"/>
                <w:color w:val="000000"/>
                <w:sz w:val="16"/>
                <w:szCs w:val="16"/>
                <w:u w:val="none"/>
              </w:rPr>
              <w:t>n (%)</w:t>
            </w:r>
          </w:p>
        </w:tc>
        <w:tc>
          <w:tcPr>
            <w:tcW w:w="96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0.001’</w:t>
            </w:r>
          </w:p>
        </w:tc>
      </w:tr>
      <w:tr>
        <w:trPr/>
        <w:tc>
          <w:tcPr>
            <w:tcW w:w="2173"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&lt; $60,000</w:t>
            </w:r>
          </w:p>
        </w:tc>
        <w:tc>
          <w:tcPr>
            <w:tcW w:w="1209"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3,872 (10.1%)</w:t>
            </w:r>
          </w:p>
        </w:tc>
        <w:tc>
          <w:tcPr>
            <w:tcW w:w="1191"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1,243 (10.2%)</w:t>
            </w:r>
          </w:p>
        </w:tc>
        <w:tc>
          <w:tcPr>
            <w:tcW w:w="217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2,348 (9.7%)</w:t>
            </w:r>
          </w:p>
        </w:tc>
        <w:tc>
          <w:tcPr>
            <w:tcW w:w="1930"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98 (13.1%)</w:t>
            </w:r>
          </w:p>
        </w:tc>
        <w:tc>
          <w:tcPr>
            <w:tcW w:w="962" w:type="dxa"/>
            <w:tcBorders/>
            <w:vAlign w:val="center"/>
          </w:tcPr>
          <w:p>
            <w:pPr>
              <w:pStyle w:val="TableContents"/>
              <w:spacing w:before="0" w:after="20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r>
          </w:p>
        </w:tc>
      </w:tr>
      <w:tr>
        <w:trPr/>
        <w:tc>
          <w:tcPr>
            <w:tcW w:w="2173"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$60,000 - $99,999</w:t>
            </w:r>
          </w:p>
        </w:tc>
        <w:tc>
          <w:tcPr>
            <w:tcW w:w="1209"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25,664 (67.3%)</w:t>
            </w:r>
          </w:p>
        </w:tc>
        <w:tc>
          <w:tcPr>
            <w:tcW w:w="1191"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8,212 (67.2%)</w:t>
            </w:r>
          </w:p>
        </w:tc>
        <w:tc>
          <w:tcPr>
            <w:tcW w:w="217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16,260 (67.5%)</w:t>
            </w:r>
          </w:p>
        </w:tc>
        <w:tc>
          <w:tcPr>
            <w:tcW w:w="1930"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506 (67.5%)</w:t>
            </w:r>
          </w:p>
        </w:tc>
        <w:tc>
          <w:tcPr>
            <w:tcW w:w="962" w:type="dxa"/>
            <w:tcBorders/>
            <w:vAlign w:val="center"/>
          </w:tcPr>
          <w:p>
            <w:pPr>
              <w:pStyle w:val="TableContents"/>
              <w:spacing w:before="0" w:after="20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r>
          </w:p>
        </w:tc>
      </w:tr>
      <w:tr>
        <w:trPr/>
        <w:tc>
          <w:tcPr>
            <w:tcW w:w="2173"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$100,000+</w:t>
            </w:r>
          </w:p>
        </w:tc>
        <w:tc>
          <w:tcPr>
            <w:tcW w:w="1209"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8,606 (22.6%)</w:t>
            </w:r>
          </w:p>
        </w:tc>
        <w:tc>
          <w:tcPr>
            <w:tcW w:w="1191"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2,757 (22.6%)</w:t>
            </w:r>
          </w:p>
        </w:tc>
        <w:tc>
          <w:tcPr>
            <w:tcW w:w="217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5,493 (22.8%)</w:t>
            </w:r>
          </w:p>
        </w:tc>
        <w:tc>
          <w:tcPr>
            <w:tcW w:w="1930"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145 (19.3%)</w:t>
            </w:r>
          </w:p>
        </w:tc>
        <w:tc>
          <w:tcPr>
            <w:tcW w:w="962" w:type="dxa"/>
            <w:tcBorders/>
            <w:vAlign w:val="center"/>
          </w:tcPr>
          <w:p>
            <w:pPr>
              <w:pStyle w:val="TableContents"/>
              <w:spacing w:before="0" w:after="20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r>
          </w:p>
        </w:tc>
      </w:tr>
      <w:tr>
        <w:trPr/>
        <w:tc>
          <w:tcPr>
            <w:tcW w:w="2173"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Unknown/Missing</w:t>
            </w:r>
          </w:p>
        </w:tc>
        <w:tc>
          <w:tcPr>
            <w:tcW w:w="1209"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6 (0.0%)</w:t>
            </w:r>
          </w:p>
        </w:tc>
        <w:tc>
          <w:tcPr>
            <w:tcW w:w="1191"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0 (0.0%)</w:t>
            </w:r>
          </w:p>
        </w:tc>
        <w:tc>
          <w:tcPr>
            <w:tcW w:w="217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5 (0.0%)</w:t>
            </w:r>
          </w:p>
        </w:tc>
        <w:tc>
          <w:tcPr>
            <w:tcW w:w="1930"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1 (0.1%)</w:t>
            </w:r>
          </w:p>
        </w:tc>
        <w:tc>
          <w:tcPr>
            <w:tcW w:w="962" w:type="dxa"/>
            <w:tcBorders/>
            <w:vAlign w:val="center"/>
          </w:tcPr>
          <w:p>
            <w:pPr>
              <w:pStyle w:val="TableContents"/>
              <w:spacing w:before="0" w:after="20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r>
          </w:p>
        </w:tc>
      </w:tr>
      <w:tr>
        <w:trPr>
          <w:trHeight w:val="547" w:hRule="exact"/>
        </w:trPr>
        <w:tc>
          <w:tcPr>
            <w:tcW w:w="8675" w:type="dxa"/>
            <w:gridSpan w:val="5"/>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bCs/>
                <w:i w:val="false"/>
                <w:iCs w:val="false"/>
                <w:strike w:val="false"/>
                <w:dstrike w:val="false"/>
                <w:outline w:val="false"/>
                <w:shadow w:val="false"/>
                <w:color w:val="000000"/>
                <w:sz w:val="16"/>
                <w:szCs w:val="16"/>
                <w:u w:val="none"/>
              </w:rPr>
              <w:t xml:space="preserve">Geography (Rural/Urban), </w:t>
            </w:r>
            <w:r>
              <w:rPr>
                <w:rFonts w:ascii="Liberation Serif" w:hAnsi="Liberation Serif"/>
                <w:b w:val="false"/>
                <w:bCs w:val="false"/>
                <w:i w:val="false"/>
                <w:iCs w:val="false"/>
                <w:strike w:val="false"/>
                <w:dstrike w:val="false"/>
                <w:outline w:val="false"/>
                <w:shadow w:val="false"/>
                <w:color w:val="000000"/>
                <w:sz w:val="16"/>
                <w:szCs w:val="16"/>
                <w:u w:val="none"/>
              </w:rPr>
              <w:t>n (%)</w:t>
            </w:r>
          </w:p>
        </w:tc>
        <w:tc>
          <w:tcPr>
            <w:tcW w:w="96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0.527’</w:t>
            </w:r>
          </w:p>
        </w:tc>
      </w:tr>
      <w:tr>
        <w:trPr/>
        <w:tc>
          <w:tcPr>
            <w:tcW w:w="2173"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Urban (Metropolitan)</w:t>
            </w:r>
          </w:p>
        </w:tc>
        <w:tc>
          <w:tcPr>
            <w:tcW w:w="1209"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34,226 (89.7%)</w:t>
            </w:r>
          </w:p>
        </w:tc>
        <w:tc>
          <w:tcPr>
            <w:tcW w:w="1191"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10,967 (89.8%)</w:t>
            </w:r>
          </w:p>
        </w:tc>
        <w:tc>
          <w:tcPr>
            <w:tcW w:w="217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21,671 (89.9%)</w:t>
            </w:r>
          </w:p>
        </w:tc>
        <w:tc>
          <w:tcPr>
            <w:tcW w:w="1930"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673 (89.7%)</w:t>
            </w:r>
          </w:p>
        </w:tc>
        <w:tc>
          <w:tcPr>
            <w:tcW w:w="962" w:type="dxa"/>
            <w:tcBorders/>
            <w:vAlign w:val="center"/>
          </w:tcPr>
          <w:p>
            <w:pPr>
              <w:pStyle w:val="TableContents"/>
              <w:spacing w:before="0" w:after="20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r>
          </w:p>
        </w:tc>
      </w:tr>
      <w:tr>
        <w:trPr/>
        <w:tc>
          <w:tcPr>
            <w:tcW w:w="2173"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Rural (Nonmetropolitan)</w:t>
            </w:r>
          </w:p>
        </w:tc>
        <w:tc>
          <w:tcPr>
            <w:tcW w:w="1209"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3,889 (10.2%)</w:t>
            </w:r>
          </w:p>
        </w:tc>
        <w:tc>
          <w:tcPr>
            <w:tcW w:w="1191"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1,239 (10.1%)</w:t>
            </w:r>
          </w:p>
        </w:tc>
        <w:tc>
          <w:tcPr>
            <w:tcW w:w="217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2,410 (10.0%)</w:t>
            </w:r>
          </w:p>
        </w:tc>
        <w:tc>
          <w:tcPr>
            <w:tcW w:w="1930"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76 (10.1%)</w:t>
            </w:r>
          </w:p>
        </w:tc>
        <w:tc>
          <w:tcPr>
            <w:tcW w:w="962" w:type="dxa"/>
            <w:tcBorders/>
            <w:vAlign w:val="center"/>
          </w:tcPr>
          <w:p>
            <w:pPr>
              <w:pStyle w:val="TableContents"/>
              <w:spacing w:before="0" w:after="20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r>
          </w:p>
        </w:tc>
      </w:tr>
      <w:tr>
        <w:trPr/>
        <w:tc>
          <w:tcPr>
            <w:tcW w:w="2173"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Unknown/Missing</w:t>
            </w:r>
          </w:p>
        </w:tc>
        <w:tc>
          <w:tcPr>
            <w:tcW w:w="1209"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33 (0.1%)</w:t>
            </w:r>
          </w:p>
        </w:tc>
        <w:tc>
          <w:tcPr>
            <w:tcW w:w="1191"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6 (0.0%)</w:t>
            </w:r>
          </w:p>
        </w:tc>
        <w:tc>
          <w:tcPr>
            <w:tcW w:w="217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25 (0.1%)</w:t>
            </w:r>
          </w:p>
        </w:tc>
        <w:tc>
          <w:tcPr>
            <w:tcW w:w="1930"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1 (0.1%)</w:t>
            </w:r>
          </w:p>
        </w:tc>
        <w:tc>
          <w:tcPr>
            <w:tcW w:w="962" w:type="dxa"/>
            <w:tcBorders/>
            <w:vAlign w:val="center"/>
          </w:tcPr>
          <w:p>
            <w:pPr>
              <w:pStyle w:val="TableContents"/>
              <w:spacing w:before="0" w:after="20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r>
          </w:p>
        </w:tc>
      </w:tr>
      <w:tr>
        <w:trPr>
          <w:trHeight w:val="547" w:hRule="exact"/>
        </w:trPr>
        <w:tc>
          <w:tcPr>
            <w:tcW w:w="8675" w:type="dxa"/>
            <w:gridSpan w:val="5"/>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bCs/>
                <w:i w:val="false"/>
                <w:iCs w:val="false"/>
                <w:strike w:val="false"/>
                <w:dstrike w:val="false"/>
                <w:outline w:val="false"/>
                <w:shadow w:val="false"/>
                <w:color w:val="000000"/>
                <w:sz w:val="16"/>
                <w:szCs w:val="16"/>
                <w:u w:val="none"/>
              </w:rPr>
              <w:t xml:space="preserve">Cancer Stage, </w:t>
            </w:r>
            <w:r>
              <w:rPr>
                <w:rFonts w:ascii="Liberation Serif" w:hAnsi="Liberation Serif"/>
                <w:b w:val="false"/>
                <w:bCs w:val="false"/>
                <w:i w:val="false"/>
                <w:iCs w:val="false"/>
                <w:strike w:val="false"/>
                <w:dstrike w:val="false"/>
                <w:outline w:val="false"/>
                <w:shadow w:val="false"/>
                <w:color w:val="000000"/>
                <w:sz w:val="16"/>
                <w:szCs w:val="16"/>
                <w:u w:val="none"/>
              </w:rPr>
              <w:t>n (%)</w:t>
            </w:r>
          </w:p>
        </w:tc>
        <w:tc>
          <w:tcPr>
            <w:tcW w:w="96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&lt;0.001</w:t>
            </w:r>
          </w:p>
        </w:tc>
      </w:tr>
      <w:tr>
        <w:trPr/>
        <w:tc>
          <w:tcPr>
            <w:tcW w:w="2173"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Localized</w:t>
            </w:r>
          </w:p>
        </w:tc>
        <w:tc>
          <w:tcPr>
            <w:tcW w:w="1209"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11,086 (29.1%)</w:t>
            </w:r>
          </w:p>
        </w:tc>
        <w:tc>
          <w:tcPr>
            <w:tcW w:w="1191"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7,063 (57.8%)</w:t>
            </w:r>
          </w:p>
        </w:tc>
        <w:tc>
          <w:tcPr>
            <w:tcW w:w="217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3,905 (16.2%)</w:t>
            </w:r>
          </w:p>
        </w:tc>
        <w:tc>
          <w:tcPr>
            <w:tcW w:w="1930"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19 (2.5%)</w:t>
            </w:r>
          </w:p>
        </w:tc>
        <w:tc>
          <w:tcPr>
            <w:tcW w:w="962" w:type="dxa"/>
            <w:tcBorders/>
            <w:vAlign w:val="center"/>
          </w:tcPr>
          <w:p>
            <w:pPr>
              <w:pStyle w:val="TableContents"/>
              <w:spacing w:before="0" w:after="20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r>
          </w:p>
        </w:tc>
      </w:tr>
      <w:tr>
        <w:trPr/>
        <w:tc>
          <w:tcPr>
            <w:tcW w:w="2173"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Regional</w:t>
            </w:r>
          </w:p>
        </w:tc>
        <w:tc>
          <w:tcPr>
            <w:tcW w:w="1209"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11,478 (30.1%)</w:t>
            </w:r>
          </w:p>
        </w:tc>
        <w:tc>
          <w:tcPr>
            <w:tcW w:w="1191"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3,121 (25.6%)</w:t>
            </w:r>
          </w:p>
        </w:tc>
        <w:tc>
          <w:tcPr>
            <w:tcW w:w="217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8,191 (34.0%)</w:t>
            </w:r>
          </w:p>
        </w:tc>
        <w:tc>
          <w:tcPr>
            <w:tcW w:w="1930"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87 (11.6%)</w:t>
            </w:r>
          </w:p>
        </w:tc>
        <w:tc>
          <w:tcPr>
            <w:tcW w:w="962" w:type="dxa"/>
            <w:tcBorders/>
            <w:vAlign w:val="center"/>
          </w:tcPr>
          <w:p>
            <w:pPr>
              <w:pStyle w:val="TableContents"/>
              <w:spacing w:before="0" w:after="20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r>
          </w:p>
        </w:tc>
      </w:tr>
      <w:tr>
        <w:trPr/>
        <w:tc>
          <w:tcPr>
            <w:tcW w:w="2173"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Distant</w:t>
            </w:r>
          </w:p>
        </w:tc>
        <w:tc>
          <w:tcPr>
            <w:tcW w:w="1209"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14,107 (37.0%)</w:t>
            </w:r>
          </w:p>
        </w:tc>
        <w:tc>
          <w:tcPr>
            <w:tcW w:w="1191"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1,639 (13.4%)</w:t>
            </w:r>
          </w:p>
        </w:tc>
        <w:tc>
          <w:tcPr>
            <w:tcW w:w="217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11,677 (48.4%)</w:t>
            </w:r>
          </w:p>
        </w:tc>
        <w:tc>
          <w:tcPr>
            <w:tcW w:w="1930"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554 (73.9%)</w:t>
            </w:r>
          </w:p>
        </w:tc>
        <w:tc>
          <w:tcPr>
            <w:tcW w:w="962" w:type="dxa"/>
            <w:tcBorders/>
            <w:vAlign w:val="center"/>
          </w:tcPr>
          <w:p>
            <w:pPr>
              <w:pStyle w:val="TableContents"/>
              <w:spacing w:before="0" w:after="20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r>
          </w:p>
        </w:tc>
      </w:tr>
      <w:tr>
        <w:trPr/>
        <w:tc>
          <w:tcPr>
            <w:tcW w:w="2173"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Unknown/unstaged</w:t>
            </w:r>
          </w:p>
        </w:tc>
        <w:tc>
          <w:tcPr>
            <w:tcW w:w="1209"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1,477 (3.9%)</w:t>
            </w:r>
          </w:p>
        </w:tc>
        <w:tc>
          <w:tcPr>
            <w:tcW w:w="1191"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389 (3.2%)</w:t>
            </w:r>
          </w:p>
        </w:tc>
        <w:tc>
          <w:tcPr>
            <w:tcW w:w="2172"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333 (1.4%)</w:t>
            </w:r>
          </w:p>
        </w:tc>
        <w:tc>
          <w:tcPr>
            <w:tcW w:w="1930"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90 (12.0%)</w:t>
            </w:r>
          </w:p>
        </w:tc>
        <w:tc>
          <w:tcPr>
            <w:tcW w:w="962" w:type="dxa"/>
            <w:tcBorders>
              <w:bottom w:val="single" w:sz="6" w:space="0" w:color="000000"/>
            </w:tcBorders>
            <w:vAlign w:val="center"/>
          </w:tcPr>
          <w:p>
            <w:pPr>
              <w:pStyle w:val="TableContents"/>
              <w:spacing w:before="0" w:after="200"/>
              <w:jc w:val="start"/>
              <w:rPr>
                <w:rFonts w:ascii="Liberation Serif" w:hAnsi="Liberation Serif"/>
                <w:b w:val="false"/>
                <w:bCs w:val="false"/>
                <w:i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r>
          </w:p>
        </w:tc>
      </w:tr>
    </w:tbl>
    <w:p>
      <w:pPr>
        <w:pStyle w:val="normal1"/>
        <w:spacing w:lineRule="auto" w:line="240" w:before="480" w:after="0"/>
        <w:rPr>
          <w:rFonts w:ascii="Arial" w:hAnsi="Arial" w:eastAsia="Arial" w:cs="Arial"/>
          <w:b w:val="false"/>
          <w:bCs w:val="false"/>
          <w:i w:val="false"/>
          <w:i w:val="false"/>
          <w:iCs w:val="false"/>
          <w:caps w:val="false"/>
          <w:smallCaps w:val="false"/>
          <w:strike w:val="false"/>
          <w:dstrike w:val="false"/>
          <w:color w:val="000000"/>
          <w:sz w:val="22"/>
          <w:szCs w:val="22"/>
          <w:u w:val="none"/>
          <w:shd w:fill="auto" w:val="clear"/>
        </w:rPr>
      </w:pPr>
      <w:r>
        <w:rPr>
          <w:rFonts w:eastAsia="Liberation Serif" w:cs="Liberation Serif" w:ascii="Liberation Serif" w:hAnsi="Liberation Serif"/>
          <w:b/>
          <w:bCs/>
          <w:i w:val="false"/>
          <w:iCs w:val="false"/>
          <w:caps w:val="false"/>
          <w:smallCaps w:val="false"/>
          <w:strike w:val="false"/>
          <w:dstrike w:val="false"/>
          <w:color w:val="000000"/>
          <w:sz w:val="22"/>
          <w:szCs w:val="22"/>
          <w:u w:val="none"/>
          <w:shd w:fill="auto" w:val="clear"/>
        </w:rPr>
        <w:t>y years, SD standard deviation</w:t>
      </w:r>
    </w:p>
    <w:p>
      <w:pPr>
        <w:pStyle w:val="normal1"/>
        <w:spacing w:lineRule="auto" w:line="331" w:before="0" w:after="0"/>
        <w:ind w:hanging="0" w:start="0" w:end="0"/>
        <w:rPr>
          <w:rFonts w:ascii="Liberation Serif" w:hAnsi="Liberation Serif" w:eastAsia="Liberation Serif" w:cs="Liberation Serif"/>
          <w:color w:val="000000"/>
          <w:sz w:val="22"/>
          <w:szCs w:val="22"/>
        </w:rPr>
      </w:pPr>
      <w:r>
        <w:rPr>
          <w:rFonts w:eastAsia="Liberation Serif" w:cs="Liberation Serif" w:ascii="Liberation Serif" w:hAnsi="Liberation Serif"/>
          <w:color w:val="000000"/>
          <w:sz w:val="22"/>
          <w:szCs w:val="22"/>
        </w:rPr>
      </w:r>
    </w:p>
    <w:p>
      <w:pPr>
        <w:pStyle w:val="normal1"/>
        <w:widowControl/>
        <w:shd w:val="clear" w:fill="auto"/>
        <w:tabs>
          <w:tab w:val="left" w:pos="709" w:leader="none"/>
        </w:tabs>
        <w:spacing w:lineRule="auto" w:line="276" w:before="0" w:after="120"/>
        <w:ind w:hanging="0" w:start="0" w:end="0"/>
        <w:jc w:val="start"/>
        <w:rPr>
          <w:rFonts w:ascii="Liberation Serif" w:hAnsi="Liberation Serif"/>
          <w:color w:val="auto"/>
        </w:rPr>
      </w:pPr>
      <w:r>
        <w:rPr>
          <w:rFonts w:eastAsia="Liberation Serif" w:cs="Liberation Serif" w:ascii="Liberation Serif" w:hAnsi="Liberation Serif"/>
          <w:b w:val="false"/>
          <w:bCs w:val="false"/>
          <w:i w:val="false"/>
          <w:caps w:val="false"/>
          <w:smallCaps w:val="false"/>
          <w:color w:val="auto"/>
          <w:spacing w:val="0"/>
          <w:sz w:val="22"/>
          <w:szCs w:val="22"/>
        </w:rPr>
        <w:t>Statistical comparisons (p-values) are restricted to women who received standard-of-care primary treatment modalities. The Overall column includes 1,080 additional patients who were excluded from the comparative subgroups due to receiving no active treatment or having missing therapeutic data. Continuous variables (Age at Diagnosis) are presented as Mean (SD), calculated using one-way analysis of variance (ANOVA). Categorical variables presented as absolute counts n, and percentages (%) were calculated using the Pearson’s Chi-square test.</w:t>
      </w:r>
    </w:p>
    <w:p>
      <w:pPr>
        <w:pStyle w:val="Heading1"/>
        <w:spacing w:lineRule="auto" w:line="240" w:before="480" w:after="0"/>
        <w:rPr>
          <w:rFonts w:ascii="Arial" w:hAnsi="Arial" w:eastAsia="Arial" w:cs="Arial"/>
          <w:b w:val="false"/>
          <w:bCs w:val="false"/>
          <w:i w:val="false"/>
          <w:i w:val="false"/>
          <w:iCs w:val="false"/>
          <w:caps w:val="false"/>
          <w:smallCaps w:val="false"/>
          <w:strike w:val="false"/>
          <w:dstrike w:val="false"/>
          <w:color w:val="000000"/>
          <w:sz w:val="22"/>
          <w:szCs w:val="22"/>
          <w:u w:val="none"/>
          <w:shd w:fill="auto" w:val="clear"/>
        </w:rPr>
      </w:pPr>
      <w:r>
        <w:rPr/>
      </w:r>
    </w:p>
    <w:p>
      <w:pPr>
        <w:pStyle w:val="Heading1"/>
        <w:spacing w:lineRule="auto" w:line="240" w:before="480" w:after="0"/>
        <w:rPr>
          <w:rFonts w:ascii="Arial" w:hAnsi="Arial" w:eastAsia="Arial" w:cs="Arial"/>
          <w:b w:val="false"/>
          <w:bCs w:val="false"/>
          <w:i w:val="false"/>
          <w:i w:val="false"/>
          <w:iCs w:val="false"/>
          <w:caps w:val="false"/>
          <w:smallCaps w:val="false"/>
          <w:strike w:val="false"/>
          <w:dstrike w:val="false"/>
          <w:color w:val="000000"/>
          <w:sz w:val="22"/>
          <w:szCs w:val="22"/>
          <w:u w:val="none"/>
          <w:shd w:fill="auto" w:val="clear"/>
        </w:rPr>
      </w:pPr>
      <w:r>
        <w:rPr>
          <w:rFonts w:eastAsia="Liberation Serif" w:cs="Liberation Serif" w:ascii="Liberation Serif" w:hAnsi="Liberation Serif"/>
          <w:color w:val="auto"/>
          <w:sz w:val="22"/>
          <w:szCs w:val="22"/>
        </w:rPr>
        <w:t xml:space="preserve">Table 1: </w:t>
      </w:r>
      <w:r>
        <w:rPr>
          <w:rFonts w:eastAsia="Arial" w:cs="Arial" w:ascii="Liberation Serif" w:hAnsi="Liberation Serif"/>
          <w:b w:val="false"/>
          <w:bCs w:val="false"/>
          <w:i w:val="false"/>
          <w:iCs w:val="false"/>
          <w:caps w:val="false"/>
          <w:smallCaps w:val="false"/>
          <w:strike w:val="false"/>
          <w:dstrike w:val="false"/>
          <w:color w:val="000000"/>
          <w:spacing w:val="0"/>
          <w:sz w:val="22"/>
          <w:szCs w:val="22"/>
          <w:u w:val="none"/>
          <w:shd w:fill="auto" w:val="clear"/>
        </w:rPr>
        <w:t>Overall characteristics of 5+ years female breast cancer survivors, (Grouped by Laterality%)</w:t>
      </w:r>
    </w:p>
    <w:tbl>
      <w:tblPr>
        <w:tblW w:w="9619" w:type="dxa"/>
        <w:jc w:val="start"/>
        <w:tblInd w:w="-35" w:type="dxa"/>
        <w:tblLayout w:type="fixed"/>
        <w:tblCellMar>
          <w:top w:w="0" w:type="dxa"/>
          <w:start w:w="0" w:type="dxa"/>
          <w:bottom w:w="0" w:type="dxa"/>
          <w:end w:w="0" w:type="dxa"/>
        </w:tblCellMar>
      </w:tblPr>
      <w:tblGrid>
        <w:gridCol w:w="3482"/>
        <w:gridCol w:w="1643"/>
        <w:gridCol w:w="1918"/>
        <w:gridCol w:w="2042"/>
        <w:gridCol w:w="534"/>
      </w:tblGrid>
      <w:tr>
        <w:trPr>
          <w:tblHeader w:val="true"/>
          <w:trHeight w:val="558" w:hRule="atLeast"/>
          <w:cantSplit w:val="true"/>
        </w:trPr>
        <w:tc>
          <w:tcPr>
            <w:tcW w:w="3482"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1643"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1918"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2042"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534"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r>
      <w:tr>
        <w:trPr>
          <w:trHeight w:val="558" w:hRule="atLeast"/>
          <w:cantSplit w:val="true"/>
        </w:trPr>
        <w:tc>
          <w:tcPr>
            <w:tcW w:w="348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1643"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1918"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204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534"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r>
      <w:tr>
        <w:trPr>
          <w:trHeight w:val="558" w:hRule="atLeast"/>
          <w:cantSplit w:val="true"/>
        </w:trPr>
        <w:tc>
          <w:tcPr>
            <w:tcW w:w="9085" w:type="dxa"/>
            <w:gridSpan w:val="4"/>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534"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r>
      <w:tr>
        <w:trPr>
          <w:trHeight w:val="403" w:hRule="exact"/>
          <w:cantSplit w:val="true"/>
        </w:trPr>
        <w:tc>
          <w:tcPr>
            <w:tcW w:w="348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1643"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1918"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204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534" w:type="dxa"/>
            <w:tcBorders/>
            <w:vAlign w:val="center"/>
          </w:tcPr>
          <w:p>
            <w:pPr>
              <w:pStyle w:val="TableContents"/>
              <w:spacing w:before="0" w:after="20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rHeight w:val="403" w:hRule="exact"/>
          <w:cantSplit w:val="true"/>
        </w:trPr>
        <w:tc>
          <w:tcPr>
            <w:tcW w:w="348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1643"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1918"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204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534" w:type="dxa"/>
            <w:tcBorders/>
            <w:vAlign w:val="center"/>
          </w:tcPr>
          <w:p>
            <w:pPr>
              <w:pStyle w:val="TableContents"/>
              <w:spacing w:before="0" w:after="20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rHeight w:val="403" w:hRule="exact"/>
          <w:cantSplit w:val="true"/>
        </w:trPr>
        <w:tc>
          <w:tcPr>
            <w:tcW w:w="348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1643"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1918"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204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534" w:type="dxa"/>
            <w:tcBorders/>
            <w:vAlign w:val="center"/>
          </w:tcPr>
          <w:p>
            <w:pPr>
              <w:pStyle w:val="TableContents"/>
              <w:spacing w:before="0" w:after="20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rHeight w:val="403" w:hRule="exact"/>
          <w:cantSplit w:val="true"/>
        </w:trPr>
        <w:tc>
          <w:tcPr>
            <w:tcW w:w="348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1643"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1918"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204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534" w:type="dxa"/>
            <w:tcBorders/>
            <w:vAlign w:val="center"/>
          </w:tcPr>
          <w:p>
            <w:pPr>
              <w:pStyle w:val="TableContents"/>
              <w:spacing w:before="0" w:after="20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rHeight w:val="558" w:hRule="atLeast"/>
          <w:cantSplit w:val="true"/>
        </w:trPr>
        <w:tc>
          <w:tcPr>
            <w:tcW w:w="9085" w:type="dxa"/>
            <w:gridSpan w:val="4"/>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534"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r>
      <w:tr>
        <w:trPr>
          <w:trHeight w:val="403" w:hRule="exact"/>
          <w:cantSplit w:val="true"/>
        </w:trPr>
        <w:tc>
          <w:tcPr>
            <w:tcW w:w="348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1643"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1918"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204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534" w:type="dxa"/>
            <w:tcBorders/>
            <w:vAlign w:val="center"/>
          </w:tcPr>
          <w:p>
            <w:pPr>
              <w:pStyle w:val="TableContents"/>
              <w:spacing w:before="0" w:after="20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rHeight w:val="403" w:hRule="exact"/>
          <w:cantSplit w:val="true"/>
        </w:trPr>
        <w:tc>
          <w:tcPr>
            <w:tcW w:w="348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1643"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1918"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204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534" w:type="dxa"/>
            <w:tcBorders/>
            <w:vAlign w:val="center"/>
          </w:tcPr>
          <w:p>
            <w:pPr>
              <w:pStyle w:val="TableContents"/>
              <w:spacing w:before="0" w:after="20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rHeight w:val="403" w:hRule="exact"/>
          <w:cantSplit w:val="true"/>
        </w:trPr>
        <w:tc>
          <w:tcPr>
            <w:tcW w:w="348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1643"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1918"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204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534" w:type="dxa"/>
            <w:tcBorders/>
            <w:vAlign w:val="center"/>
          </w:tcPr>
          <w:p>
            <w:pPr>
              <w:pStyle w:val="TableContents"/>
              <w:spacing w:before="0" w:after="20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rHeight w:val="403" w:hRule="exact"/>
          <w:cantSplit w:val="true"/>
        </w:trPr>
        <w:tc>
          <w:tcPr>
            <w:tcW w:w="348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1643"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1918"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204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534" w:type="dxa"/>
            <w:tcBorders/>
            <w:vAlign w:val="center"/>
          </w:tcPr>
          <w:p>
            <w:pPr>
              <w:pStyle w:val="TableContents"/>
              <w:spacing w:before="0" w:after="20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rHeight w:val="403" w:hRule="exact"/>
          <w:cantSplit w:val="true"/>
        </w:trPr>
        <w:tc>
          <w:tcPr>
            <w:tcW w:w="348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1643"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1918"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204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534" w:type="dxa"/>
            <w:tcBorders/>
            <w:vAlign w:val="center"/>
          </w:tcPr>
          <w:p>
            <w:pPr>
              <w:pStyle w:val="TableContents"/>
              <w:spacing w:before="0" w:after="20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rHeight w:val="403" w:hRule="exact"/>
          <w:cantSplit w:val="true"/>
        </w:trPr>
        <w:tc>
          <w:tcPr>
            <w:tcW w:w="348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1643"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1918"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204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534" w:type="dxa"/>
            <w:tcBorders/>
            <w:vAlign w:val="center"/>
          </w:tcPr>
          <w:p>
            <w:pPr>
              <w:pStyle w:val="TableContents"/>
              <w:spacing w:before="0" w:after="20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rHeight w:val="558" w:hRule="atLeast"/>
          <w:cantSplit w:val="true"/>
        </w:trPr>
        <w:tc>
          <w:tcPr>
            <w:tcW w:w="9085" w:type="dxa"/>
            <w:gridSpan w:val="4"/>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534"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r>
      <w:tr>
        <w:trPr>
          <w:trHeight w:val="403" w:hRule="exact"/>
          <w:cantSplit w:val="true"/>
        </w:trPr>
        <w:tc>
          <w:tcPr>
            <w:tcW w:w="348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1643"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1918"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204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534" w:type="dxa"/>
            <w:tcBorders/>
            <w:vAlign w:val="center"/>
          </w:tcPr>
          <w:p>
            <w:pPr>
              <w:pStyle w:val="TableContents"/>
              <w:spacing w:before="0" w:after="20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rHeight w:val="403" w:hRule="exact"/>
          <w:cantSplit w:val="true"/>
        </w:trPr>
        <w:tc>
          <w:tcPr>
            <w:tcW w:w="348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1643"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1918"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204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534" w:type="dxa"/>
            <w:tcBorders/>
            <w:vAlign w:val="center"/>
          </w:tcPr>
          <w:p>
            <w:pPr>
              <w:pStyle w:val="TableContents"/>
              <w:spacing w:before="0" w:after="20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rHeight w:val="99" w:hRule="exact"/>
          <w:cantSplit w:val="true"/>
        </w:trPr>
        <w:tc>
          <w:tcPr>
            <w:tcW w:w="348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1643"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1918"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204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534" w:type="dxa"/>
            <w:tcBorders/>
            <w:vAlign w:val="center"/>
          </w:tcPr>
          <w:p>
            <w:pPr>
              <w:pStyle w:val="TableContents"/>
              <w:spacing w:before="0" w:after="20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rHeight w:val="403" w:hRule="exact"/>
          <w:cantSplit w:val="true"/>
        </w:trPr>
        <w:tc>
          <w:tcPr>
            <w:tcW w:w="348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1643"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1918"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204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534" w:type="dxa"/>
            <w:tcBorders/>
            <w:vAlign w:val="center"/>
          </w:tcPr>
          <w:p>
            <w:pPr>
              <w:pStyle w:val="TableContents"/>
              <w:spacing w:before="0" w:after="20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rHeight w:val="558" w:hRule="atLeast"/>
          <w:cantSplit w:val="true"/>
        </w:trPr>
        <w:tc>
          <w:tcPr>
            <w:tcW w:w="9085" w:type="dxa"/>
            <w:gridSpan w:val="4"/>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534"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r>
      <w:tr>
        <w:trPr>
          <w:trHeight w:val="403" w:hRule="exact"/>
          <w:cantSplit w:val="true"/>
        </w:trPr>
        <w:tc>
          <w:tcPr>
            <w:tcW w:w="348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1643"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1918"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204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534" w:type="dxa"/>
            <w:tcBorders/>
            <w:vAlign w:val="center"/>
          </w:tcPr>
          <w:p>
            <w:pPr>
              <w:pStyle w:val="TableContents"/>
              <w:spacing w:before="0" w:after="20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rHeight w:val="403" w:hRule="exact"/>
          <w:cantSplit w:val="true"/>
        </w:trPr>
        <w:tc>
          <w:tcPr>
            <w:tcW w:w="348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1643"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1918"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204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534" w:type="dxa"/>
            <w:tcBorders/>
            <w:vAlign w:val="center"/>
          </w:tcPr>
          <w:p>
            <w:pPr>
              <w:pStyle w:val="TableContents"/>
              <w:spacing w:before="0" w:after="20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rHeight w:val="403" w:hRule="exact"/>
          <w:cantSplit w:val="true"/>
        </w:trPr>
        <w:tc>
          <w:tcPr>
            <w:tcW w:w="348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1643"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1918"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204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534" w:type="dxa"/>
            <w:tcBorders/>
            <w:vAlign w:val="center"/>
          </w:tcPr>
          <w:p>
            <w:pPr>
              <w:pStyle w:val="TableContents"/>
              <w:spacing w:before="0" w:after="20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rHeight w:val="558" w:hRule="atLeast"/>
          <w:cantSplit w:val="true"/>
        </w:trPr>
        <w:tc>
          <w:tcPr>
            <w:tcW w:w="9085" w:type="dxa"/>
            <w:gridSpan w:val="4"/>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534"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r>
      <w:tr>
        <w:trPr>
          <w:trHeight w:val="403" w:hRule="exact"/>
          <w:cantSplit w:val="true"/>
        </w:trPr>
        <w:tc>
          <w:tcPr>
            <w:tcW w:w="348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1643"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1918"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204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534" w:type="dxa"/>
            <w:tcBorders/>
            <w:vAlign w:val="center"/>
          </w:tcPr>
          <w:p>
            <w:pPr>
              <w:pStyle w:val="TableContents"/>
              <w:spacing w:before="0" w:after="20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rHeight w:val="403" w:hRule="exact"/>
          <w:cantSplit w:val="true"/>
        </w:trPr>
        <w:tc>
          <w:tcPr>
            <w:tcW w:w="348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1643"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1918"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204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534" w:type="dxa"/>
            <w:tcBorders/>
            <w:vAlign w:val="center"/>
          </w:tcPr>
          <w:p>
            <w:pPr>
              <w:pStyle w:val="TableContents"/>
              <w:spacing w:before="0" w:after="20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rHeight w:val="403" w:hRule="exact"/>
          <w:cantSplit w:val="true"/>
        </w:trPr>
        <w:tc>
          <w:tcPr>
            <w:tcW w:w="348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1643"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1918"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204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534" w:type="dxa"/>
            <w:tcBorders/>
            <w:vAlign w:val="center"/>
          </w:tcPr>
          <w:p>
            <w:pPr>
              <w:pStyle w:val="TableContents"/>
              <w:spacing w:before="0" w:after="20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rHeight w:val="403" w:hRule="exact"/>
          <w:cantSplit w:val="true"/>
        </w:trPr>
        <w:tc>
          <w:tcPr>
            <w:tcW w:w="348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1643"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1918"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204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534" w:type="dxa"/>
            <w:tcBorders/>
            <w:vAlign w:val="center"/>
          </w:tcPr>
          <w:p>
            <w:pPr>
              <w:pStyle w:val="TableContents"/>
              <w:spacing w:before="0" w:after="20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rHeight w:val="558" w:hRule="atLeast"/>
          <w:cantSplit w:val="true"/>
        </w:trPr>
        <w:tc>
          <w:tcPr>
            <w:tcW w:w="9085" w:type="dxa"/>
            <w:gridSpan w:val="4"/>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534"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r>
      <w:tr>
        <w:trPr>
          <w:trHeight w:val="403" w:hRule="exact"/>
          <w:cantSplit w:val="true"/>
        </w:trPr>
        <w:tc>
          <w:tcPr>
            <w:tcW w:w="348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1643"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1918"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204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534" w:type="dxa"/>
            <w:tcBorders/>
            <w:vAlign w:val="center"/>
          </w:tcPr>
          <w:p>
            <w:pPr>
              <w:pStyle w:val="TableContents"/>
              <w:spacing w:before="0" w:after="20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rHeight w:val="403" w:hRule="exact"/>
          <w:cantSplit w:val="true"/>
        </w:trPr>
        <w:tc>
          <w:tcPr>
            <w:tcW w:w="348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1643"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1918"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204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534" w:type="dxa"/>
            <w:tcBorders/>
            <w:vAlign w:val="center"/>
          </w:tcPr>
          <w:p>
            <w:pPr>
              <w:pStyle w:val="TableContents"/>
              <w:spacing w:before="0" w:after="20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rHeight w:val="403" w:hRule="exact"/>
          <w:cantSplit w:val="true"/>
        </w:trPr>
        <w:tc>
          <w:tcPr>
            <w:tcW w:w="348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1643"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1918"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204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534" w:type="dxa"/>
            <w:tcBorders/>
            <w:vAlign w:val="center"/>
          </w:tcPr>
          <w:p>
            <w:pPr>
              <w:pStyle w:val="TableContents"/>
              <w:spacing w:before="0" w:after="20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rHeight w:val="558" w:hRule="atLeast"/>
          <w:cantSplit w:val="true"/>
        </w:trPr>
        <w:tc>
          <w:tcPr>
            <w:tcW w:w="9085" w:type="dxa"/>
            <w:gridSpan w:val="4"/>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534"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r>
      <w:tr>
        <w:trPr>
          <w:trHeight w:val="403" w:hRule="exact"/>
          <w:cantSplit w:val="true"/>
        </w:trPr>
        <w:tc>
          <w:tcPr>
            <w:tcW w:w="348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1643"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1918"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204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534" w:type="dxa"/>
            <w:tcBorders/>
            <w:vAlign w:val="center"/>
          </w:tcPr>
          <w:p>
            <w:pPr>
              <w:pStyle w:val="TableContents"/>
              <w:spacing w:before="0" w:after="20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rHeight w:val="403" w:hRule="exact"/>
          <w:cantSplit w:val="true"/>
        </w:trPr>
        <w:tc>
          <w:tcPr>
            <w:tcW w:w="348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1643"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1918"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204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534" w:type="dxa"/>
            <w:tcBorders/>
            <w:vAlign w:val="center"/>
          </w:tcPr>
          <w:p>
            <w:pPr>
              <w:pStyle w:val="TableContents"/>
              <w:spacing w:before="0" w:after="20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rHeight w:val="558" w:hRule="atLeast"/>
          <w:cantSplit w:val="true"/>
        </w:trPr>
        <w:tc>
          <w:tcPr>
            <w:tcW w:w="9085" w:type="dxa"/>
            <w:gridSpan w:val="4"/>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534"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r>
      <w:tr>
        <w:trPr>
          <w:trHeight w:val="403" w:hRule="exact"/>
          <w:cantSplit w:val="true"/>
        </w:trPr>
        <w:tc>
          <w:tcPr>
            <w:tcW w:w="348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1643"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1918"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204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534" w:type="dxa"/>
            <w:tcBorders/>
            <w:vAlign w:val="center"/>
          </w:tcPr>
          <w:p>
            <w:pPr>
              <w:pStyle w:val="TableContents"/>
              <w:spacing w:before="0" w:after="20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rHeight w:val="403" w:hRule="exact"/>
          <w:cantSplit w:val="true"/>
        </w:trPr>
        <w:tc>
          <w:tcPr>
            <w:tcW w:w="3482"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1643"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1918"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204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
          </w:p>
        </w:tc>
        <w:tc>
          <w:tcPr>
            <w:tcW w:w="534" w:type="dxa"/>
            <w:tcBorders/>
            <w:vAlign w:val="center"/>
          </w:tcPr>
          <w:p>
            <w:pPr>
              <w:pStyle w:val="TableContents"/>
              <w:spacing w:before="0" w:after="20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bl>
    <w:p>
      <w:pPr>
        <w:pStyle w:val="normal1"/>
        <w:spacing w:lineRule="auto" w:line="240" w:before="480" w:after="0"/>
        <w:rPr>
          <w:rFonts w:ascii="Arial" w:hAnsi="Arial" w:eastAsia="Arial" w:cs="Arial"/>
          <w:b w:val="false"/>
          <w:bCs w:val="false"/>
          <w:i w:val="false"/>
          <w:i w:val="false"/>
          <w:iCs w:val="false"/>
          <w:caps w:val="false"/>
          <w:smallCaps w:val="false"/>
          <w:strike w:val="false"/>
          <w:dstrike w:val="false"/>
          <w:color w:val="000000"/>
          <w:sz w:val="22"/>
          <w:szCs w:val="22"/>
          <w:u w:val="none"/>
          <w:shd w:fill="auto" w:val="clear"/>
        </w:rPr>
      </w:pPr>
      <w:r>
        <w:rPr/>
      </w:r>
    </w:p>
    <w:p>
      <w:pPr>
        <w:pStyle w:val="normal1"/>
        <w:keepNext w:val="false"/>
        <w:keepLines w:val="false"/>
        <w:pageBreakBefore w:val="false"/>
        <w:widowControl/>
        <w:shd w:val="clear" w:fill="auto"/>
        <w:spacing w:lineRule="auto" w:line="276" w:before="0" w:after="0"/>
        <w:ind w:hanging="0" w:start="0" w:end="0"/>
        <w:jc w:val="start"/>
        <w:rPr>
          <w:rFonts w:ascii="Cambria" w:hAnsi="Cambria" w:eastAsia="Cambria" w:cs="Cambria"/>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mbria" w:cs="Cambria"/>
          <w:b w:val="false"/>
          <w:bCs w:val="false"/>
          <w:i w:val="false"/>
          <w:iCs w:val="false"/>
          <w:caps w:val="false"/>
          <w:smallCaps w:val="false"/>
          <w:strike w:val="false"/>
          <w:dstrike w:val="false"/>
          <w:color w:val="000000"/>
          <w:position w:val="0"/>
          <w:sz w:val="22"/>
          <w:sz w:val="22"/>
          <w:szCs w:val="22"/>
          <w:u w:val="none"/>
          <w:shd w:fill="auto" w:val="clear"/>
          <w:vertAlign w:val="baseline"/>
        </w:rPr>
      </w:r>
    </w:p>
    <w:p>
      <w:pPr>
        <w:pStyle w:val="normal1"/>
        <w:keepNext w:val="false"/>
        <w:keepLines w:val="false"/>
        <w:pageBreakBefore w:val="false"/>
        <w:widowControl/>
        <w:shd w:val="clear" w:fill="auto"/>
        <w:spacing w:lineRule="auto" w:line="276" w:before="0" w:after="120"/>
        <w:ind w:hanging="0" w:start="0" w:end="0"/>
        <w:jc w:val="start"/>
        <w:rPr>
          <w:rFonts w:ascii="Liberation Serif" w:hAnsi="Liberation Serif" w:eastAsia="Liberation Serif" w:cs="Liberation Serif"/>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Liberation Serif" w:cs="Liberation Serif" w:ascii="Liberation Serif" w:hAnsi="Liberation Serif"/>
          <w:b w:val="false"/>
          <w:bCs w:val="false"/>
          <w:i w:val="false"/>
          <w:iCs w:val="false"/>
          <w:caps w:val="false"/>
          <w:smallCaps w:val="false"/>
          <w:strike w:val="false"/>
          <w:dstrike w:val="false"/>
          <w:color w:val="000000"/>
          <w:position w:val="0"/>
          <w:sz w:val="22"/>
          <w:sz w:val="22"/>
          <w:szCs w:val="22"/>
          <w:u w:val="none"/>
          <w:shd w:fill="auto" w:val="clear"/>
          <w:vertAlign w:val="baseline"/>
        </w:rPr>
        <w:br/>
      </w:r>
      <w:r>
        <w:br w:type="page"/>
      </w:r>
    </w:p>
    <w:p>
      <w:pPr>
        <w:pStyle w:val="normal1"/>
        <w:widowControl/>
        <w:shd w:val="clear" w:fill="auto"/>
        <w:spacing w:lineRule="auto" w:line="276" w:before="0" w:after="300"/>
        <w:ind w:hanging="0" w:start="0" w:end="0"/>
        <w:jc w:val="start"/>
        <w:rPr>
          <w:b/>
          <w:bCs/>
        </w:rPr>
      </w:pPr>
      <w:r>
        <w:rPr>
          <w:rFonts w:eastAsia="Liberation Serif" w:cs="Liberation Serif" w:ascii="Liberation Serif" w:hAnsi="Liberation Serif"/>
          <w:b/>
          <w:bCs/>
          <w:i w:val="false"/>
          <w:iCs w:val="false"/>
          <w:caps w:val="false"/>
          <w:smallCaps w:val="false"/>
          <w:strike w:val="false"/>
          <w:dstrike w:val="false"/>
          <w:color w:val="000000"/>
          <w:position w:val="0"/>
          <w:sz w:val="22"/>
          <w:sz w:val="22"/>
          <w:szCs w:val="22"/>
          <w:u w:val="none"/>
          <w:shd w:fill="auto" w:val="clear"/>
          <w:vertAlign w:val="baseline"/>
        </w:rPr>
        <w:t>1. Overall Cumulative Incidence of Cardiovascular Mortality at 215 Months Among Long-Term Female Breast Cancer Survivors</w:t>
      </w:r>
    </w:p>
    <w:p>
      <w:pPr>
        <w:pStyle w:val="normal1"/>
        <w:keepNext w:val="false"/>
        <w:keepLines w:val="false"/>
        <w:widowControl/>
        <w:shd w:val="clear" w:fill="auto"/>
        <w:spacing w:lineRule="auto" w:line="331" w:before="0" w:after="0"/>
        <w:ind w:hanging="0" w:start="0" w:end="0"/>
        <w:jc w:val="start"/>
        <w:rPr>
          <w:rFonts w:ascii="Liberation Serif" w:hAnsi="Liberation Serif" w:eastAsia="Liberation Serif" w:cs="Liberation Serif"/>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120130" cy="367157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6120130" cy="3671570"/>
                    </a:xfrm>
                    <a:prstGeom prst="rect">
                      <a:avLst/>
                    </a:prstGeom>
                  </pic:spPr>
                </pic:pic>
              </a:graphicData>
            </a:graphic>
          </wp:anchor>
        </w:drawing>
      </w:r>
      <w:r>
        <w:rPr>
          <w:rFonts w:eastAsia="Liberation Serif" w:cs="Liberation Serif" w:ascii="Liberation Serif" w:hAnsi="Liberation Serif"/>
          <w:b/>
          <w:bCs/>
          <w:color w:val="auto"/>
        </w:rPr>
        <w:t xml:space="preserve">Figure 1: </w:t>
      </w:r>
      <w:r>
        <w:rPr>
          <w:rFonts w:eastAsia="Liberation Serif" w:cs="Liberation Serif" w:ascii="Liberation Serif" w:hAnsi="Liberation Serif"/>
          <w:color w:val="auto"/>
        </w:rPr>
        <w:t>Overall Cumulative Incidence of Cardiovascular Death in Long-Term Female Breast Cancer Survivors</w:t>
      </w:r>
    </w:p>
    <w:p>
      <w:pPr>
        <w:pStyle w:val="normal1"/>
        <w:widowControl/>
        <w:shd w:val="clear" w:fill="auto"/>
        <w:spacing w:lineRule="auto" w:line="331" w:before="0" w:after="0"/>
        <w:ind w:hanging="0" w:start="0" w:end="0"/>
        <w:jc w:val="start"/>
        <w:rPr>
          <w:rFonts w:ascii="Liberation Serif" w:hAnsi="Liberation Serif" w:eastAsia="Liberation Serif" w:cs="Liberation Serif"/>
        </w:rPr>
      </w:pPr>
      <w:r>
        <w:rPr>
          <w:rFonts w:eastAsia="Liberation Serif" w:cs="Liberation Serif" w:ascii="Liberation Serif" w:hAnsi="Liberation Serif"/>
          <w:color w:val="auto"/>
        </w:rPr>
        <w:t>Overall Sample Size: 747,789</w:t>
      </w:r>
    </w:p>
    <w:p>
      <w:pPr>
        <w:pStyle w:val="normal1"/>
        <w:widowControl/>
        <w:shd w:val="clear" w:fill="auto"/>
        <w:spacing w:lineRule="auto" w:line="331" w:before="0" w:after="0"/>
        <w:ind w:hanging="0" w:start="0" w:end="0"/>
        <w:jc w:val="start"/>
        <w:rPr>
          <w:rFonts w:ascii="Liberation Serif" w:hAnsi="Liberation Serif" w:eastAsia="Liberation Serif" w:cs="Liberation Serif"/>
        </w:rPr>
      </w:pPr>
      <w:r>
        <w:rPr>
          <w:rFonts w:eastAsia="Liberation Serif" w:cs="Liberation Serif" w:ascii="Liberation Serif" w:hAnsi="Liberation Serif"/>
          <w:color w:val="auto"/>
        </w:rPr>
        <w:t>Censored / Alive (Event 0%): 540,876</w:t>
      </w:r>
    </w:p>
    <w:p>
      <w:pPr>
        <w:pStyle w:val="normal1"/>
        <w:widowControl/>
        <w:shd w:val="clear" w:fill="auto"/>
        <w:spacing w:lineRule="auto" w:line="331" w:before="0" w:after="0"/>
        <w:ind w:hanging="0" w:start="0" w:end="0"/>
        <w:jc w:val="start"/>
        <w:rPr>
          <w:rFonts w:ascii="Liberation Serif" w:hAnsi="Liberation Serif" w:eastAsia="Liberation Serif" w:cs="Liberation Serif"/>
        </w:rPr>
      </w:pPr>
      <w:r>
        <w:rPr>
          <w:rFonts w:eastAsia="Liberation Serif" w:cs="Liberation Serif" w:ascii="Liberation Serif" w:hAnsi="Liberation Serif"/>
          <w:color w:val="auto"/>
        </w:rPr>
        <w:t>CV Deaths (Event 1%): 35,070</w:t>
      </w:r>
    </w:p>
    <w:p>
      <w:pPr>
        <w:pStyle w:val="normal1"/>
        <w:widowControl/>
        <w:shd w:val="clear" w:fill="auto"/>
        <w:spacing w:lineRule="auto" w:line="331" w:before="0" w:after="0"/>
        <w:ind w:hanging="0" w:start="0" w:end="0"/>
        <w:jc w:val="start"/>
        <w:rPr>
          <w:rFonts w:ascii="Liberation Serif" w:hAnsi="Liberation Serif" w:eastAsia="Liberation Serif" w:cs="Liberation Serif"/>
        </w:rPr>
      </w:pPr>
      <w:r>
        <w:rPr>
          <w:rFonts w:eastAsia="Liberation Serif" w:cs="Liberation Serif" w:ascii="Liberation Serif" w:hAnsi="Liberation Serif"/>
          <w:color w:val="auto"/>
        </w:rPr>
        <w:t>Cancer Deaths (Event 2%): 88,024</w:t>
      </w:r>
    </w:p>
    <w:p>
      <w:pPr>
        <w:pStyle w:val="normal1"/>
        <w:widowControl/>
        <w:shd w:val="clear" w:fill="auto"/>
        <w:spacing w:lineRule="auto" w:line="331" w:before="0" w:after="0"/>
        <w:ind w:hanging="0" w:start="0" w:end="0"/>
        <w:jc w:val="start"/>
        <w:rPr>
          <w:rFonts w:ascii="Liberation Serif" w:hAnsi="Liberation Serif" w:eastAsia="Liberation Serif" w:cs="Liberation Serif"/>
        </w:rPr>
      </w:pPr>
      <w:r>
        <w:rPr>
          <w:rFonts w:eastAsia="Liberation Serif" w:cs="Liberation Serif" w:ascii="Liberation Serif" w:hAnsi="Liberation Serif"/>
          <w:color w:val="auto"/>
        </w:rPr>
        <w:t>Other Non-Cancer Deaths (Event 3%): 83,819</w:t>
      </w:r>
    </w:p>
    <w:p>
      <w:pPr>
        <w:pStyle w:val="normal1"/>
        <w:widowControl/>
        <w:shd w:val="clear" w:fill="auto"/>
        <w:spacing w:lineRule="auto" w:line="331" w:before="0" w:after="0"/>
        <w:ind w:hanging="0" w:start="0" w:end="0"/>
        <w:jc w:val="start"/>
        <w:rPr>
          <w:rFonts w:ascii="Liberation Serif" w:hAnsi="Liberation Serif" w:eastAsia="Liberation Serif" w:cs="Liberation Serif"/>
        </w:rPr>
      </w:pPr>
      <w:r>
        <w:rPr>
          <w:rFonts w:eastAsia="Liberation Serif" w:cs="Liberation Serif" w:ascii="Liberation Serif" w:hAnsi="Liberation Serif"/>
        </w:rPr>
      </w:r>
    </w:p>
    <w:p>
      <w:pPr>
        <w:pStyle w:val="normal1"/>
        <w:widowControl/>
        <w:shd w:val="clear" w:fill="auto"/>
        <w:spacing w:lineRule="auto" w:line="331" w:before="0" w:after="0"/>
        <w:ind w:hanging="0" w:start="0" w:end="0"/>
        <w:jc w:val="start"/>
        <w:rPr>
          <w:rFonts w:ascii="Liberation Serif" w:hAnsi="Liberation Serif" w:eastAsia="Liberation Serif" w:cs="Liberation Serif"/>
        </w:rPr>
      </w:pPr>
      <w:r>
        <w:rPr>
          <w:rFonts w:eastAsia="Liberation Serif" w:cs="Liberation Serif" w:ascii="Liberation Serif" w:hAnsi="Liberation Serif"/>
          <w:color w:val="auto"/>
        </w:rPr>
        <w:t>Cumulative Incidence at Year 10 (60 months post-milestone%): 2.64%</w:t>
      </w:r>
    </w:p>
    <w:p>
      <w:pPr>
        <w:pStyle w:val="normal1"/>
        <w:widowControl/>
        <w:shd w:val="clear" w:fill="auto"/>
        <w:spacing w:lineRule="auto" w:line="331" w:before="0" w:after="0"/>
        <w:ind w:hanging="0" w:start="0" w:end="0"/>
        <w:jc w:val="start"/>
        <w:rPr>
          <w:rFonts w:ascii="Liberation Serif" w:hAnsi="Liberation Serif" w:eastAsia="Liberation Serif" w:cs="Liberation Serif"/>
        </w:rPr>
      </w:pPr>
      <w:r>
        <w:rPr>
          <w:rFonts w:eastAsia="Liberation Serif" w:cs="Liberation Serif" w:ascii="Liberation Serif" w:hAnsi="Liberation Serif"/>
          <w:color w:val="auto"/>
        </w:rPr>
        <w:t>Cumulative Incidence at Year 15 (120 months post-milestone%): 5.35%</w:t>
      </w:r>
    </w:p>
    <w:p>
      <w:pPr>
        <w:pStyle w:val="normal1"/>
        <w:widowControl/>
        <w:shd w:val="clear" w:fill="auto"/>
        <w:spacing w:lineRule="auto" w:line="331" w:before="0" w:after="0"/>
        <w:ind w:hanging="0" w:start="0" w:end="0"/>
        <w:jc w:val="start"/>
        <w:rPr>
          <w:rFonts w:ascii="Liberation Serif" w:hAnsi="Liberation Serif" w:eastAsia="Liberation Serif" w:cs="Liberation Serif"/>
        </w:rPr>
      </w:pPr>
      <w:r>
        <w:rPr>
          <w:rFonts w:eastAsia="Liberation Serif" w:cs="Liberation Serif" w:ascii="Liberation Serif" w:hAnsi="Liberation Serif"/>
          <w:color w:val="auto"/>
        </w:rPr>
        <w:t>Cumulative Incidence at Year 20 (180 months post-milestone%): 8.03%</w:t>
      </w:r>
    </w:p>
    <w:tbl>
      <w:tblPr>
        <w:tblW w:w="8372" w:type="dxa"/>
        <w:jc w:val="start"/>
        <w:tblInd w:w="0" w:type="dxa"/>
        <w:tblLayout w:type="fixed"/>
        <w:tblCellMar>
          <w:top w:w="0" w:type="dxa"/>
          <w:start w:w="0" w:type="dxa"/>
          <w:bottom w:w="0" w:type="dxa"/>
          <w:end w:w="0" w:type="dxa"/>
        </w:tblCellMar>
      </w:tblPr>
      <w:tblGrid>
        <w:gridCol w:w="2303"/>
        <w:gridCol w:w="3728"/>
        <w:gridCol w:w="2341"/>
      </w:tblGrid>
      <w:tr>
        <w:trPr/>
        <w:tc>
          <w:tcPr>
            <w:tcW w:w="2303"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2"/>
                <w:szCs w:val="22"/>
                <w:u w:val="none"/>
              </w:rPr>
              <w:t>Cohort</w:t>
            </w:r>
          </w:p>
        </w:tc>
        <w:tc>
          <w:tcPr>
            <w:tcW w:w="3728"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2"/>
                <w:szCs w:val="22"/>
                <w:u w:val="none"/>
              </w:rPr>
              <w:t>Cumulative Incidence (95% CI%)</w:t>
            </w:r>
          </w:p>
        </w:tc>
        <w:tc>
          <w:tcPr>
            <w:tcW w:w="2341"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2"/>
                <w:szCs w:val="22"/>
                <w:u w:val="none"/>
              </w:rPr>
              <w:t>Standard Error</w:t>
            </w:r>
          </w:p>
        </w:tc>
      </w:tr>
      <w:tr>
        <w:trPr>
          <w:trHeight w:val="320" w:hRule="atLeast"/>
        </w:trPr>
        <w:tc>
          <w:tcPr>
            <w:tcW w:w="2303" w:type="dxa"/>
            <w:tcBorders>
              <w:bottom w:val="single" w:sz="6" w:space="0" w:color="000000"/>
            </w:tcBorders>
            <w:vAlign w:val="center"/>
          </w:tcPr>
          <w:p>
            <w:pPr>
              <w:pStyle w:val="TableContents"/>
              <w:spacing w:lineRule="auto" w:line="271" w:before="0" w:after="120"/>
              <w:ind w:hanging="0" w:start="0" w:end="0"/>
              <w:jc w:val="start"/>
              <w:rPr>
                <w:rFonts w:ascii="Liberation Serif" w:hAnsi="Liberation Serif"/>
                <w:b w:val="false"/>
                <w:bCs w:val="false"/>
                <w:i w:val="false"/>
                <w:i w:val="false"/>
                <w:iCs w:val="false"/>
                <w:strike w:val="false"/>
                <w:dstrike w:val="false"/>
                <w:outline w:val="false"/>
                <w:shadow w:val="false"/>
                <w:color w:val="000000"/>
                <w:sz w:val="22"/>
                <w:szCs w:val="22"/>
                <w:u w:val="none"/>
              </w:rPr>
            </w:pPr>
            <w:r>
              <w:rPr>
                <w:rFonts w:ascii="Liberation Serif" w:hAnsi="Liberation Serif"/>
                <w:b w:val="false"/>
                <w:bCs w:val="false"/>
                <w:i w:val="false"/>
                <w:iCs w:val="false"/>
                <w:strike w:val="false"/>
                <w:dstrike w:val="false"/>
                <w:outline w:val="false"/>
                <w:shadow w:val="false"/>
                <w:color w:val="auto"/>
                <w:sz w:val="22"/>
                <w:szCs w:val="22"/>
                <w:u w:val="none"/>
              </w:rPr>
              <w:t>Overall (n=747,789%)</w:t>
            </w:r>
          </w:p>
        </w:tc>
        <w:tc>
          <w:tcPr>
            <w:tcW w:w="3728" w:type="dxa"/>
            <w:tcBorders>
              <w:bottom w:val="single" w:sz="6" w:space="0" w:color="000000"/>
            </w:tcBorders>
            <w:vAlign w:val="center"/>
          </w:tcPr>
          <w:p>
            <w:pPr>
              <w:pStyle w:val="TableContents"/>
              <w:spacing w:lineRule="auto" w:line="271" w:before="0" w:after="120"/>
              <w:ind w:hanging="0" w:start="0" w:end="0"/>
              <w:jc w:val="start"/>
              <w:rPr>
                <w:rFonts w:ascii="Liberation Serif" w:hAnsi="Liberation Serif"/>
                <w:b w:val="false"/>
                <w:bCs w:val="false"/>
                <w:i w:val="false"/>
                <w:i w:val="false"/>
                <w:iCs w:val="false"/>
                <w:strike w:val="false"/>
                <w:dstrike w:val="false"/>
                <w:outline w:val="false"/>
                <w:shadow w:val="false"/>
                <w:color w:val="000000"/>
                <w:sz w:val="22"/>
                <w:szCs w:val="22"/>
                <w:u w:val="none"/>
              </w:rPr>
            </w:pPr>
            <w:r>
              <w:rPr>
                <w:rFonts w:ascii="Liberation Serif" w:hAnsi="Liberation Serif"/>
                <w:b w:val="false"/>
                <w:bCs w:val="false"/>
                <w:i w:val="false"/>
                <w:iCs w:val="false"/>
                <w:strike w:val="false"/>
                <w:dstrike w:val="false"/>
                <w:outline w:val="false"/>
                <w:shadow w:val="false"/>
                <w:color w:val="auto"/>
                <w:sz w:val="22"/>
                <w:szCs w:val="22"/>
                <w:u w:val="none"/>
              </w:rPr>
              <w:t>9.63% (9.43%–9.82%%)</w:t>
            </w:r>
          </w:p>
        </w:tc>
        <w:tc>
          <w:tcPr>
            <w:tcW w:w="2341" w:type="dxa"/>
            <w:tcBorders>
              <w:bottom w:val="single" w:sz="6" w:space="0" w:color="000000"/>
            </w:tcBorders>
            <w:vAlign w:val="center"/>
          </w:tcPr>
          <w:p>
            <w:pPr>
              <w:pStyle w:val="TableContents"/>
              <w:spacing w:lineRule="auto" w:line="271" w:before="0" w:after="120"/>
              <w:ind w:hanging="0" w:start="0" w:end="0"/>
              <w:jc w:val="start"/>
              <w:rPr>
                <w:rFonts w:ascii="Liberation Serif" w:hAnsi="Liberation Serif"/>
                <w:b w:val="false"/>
                <w:bCs w:val="false"/>
                <w:i w:val="false"/>
                <w:i w:val="false"/>
                <w:iCs w:val="false"/>
                <w:strike w:val="false"/>
                <w:dstrike w:val="false"/>
                <w:outline w:val="false"/>
                <w:shadow w:val="false"/>
                <w:color w:val="000000"/>
                <w:sz w:val="22"/>
                <w:szCs w:val="22"/>
                <w:u w:val="none"/>
              </w:rPr>
            </w:pPr>
            <w:r>
              <w:rPr>
                <w:rFonts w:ascii="Liberation Serif" w:hAnsi="Liberation Serif"/>
                <w:b w:val="false"/>
                <w:bCs w:val="false"/>
                <w:i w:val="false"/>
                <w:iCs w:val="false"/>
                <w:strike w:val="false"/>
                <w:dstrike w:val="false"/>
                <w:outline w:val="false"/>
                <w:shadow w:val="false"/>
                <w:color w:val="auto"/>
                <w:sz w:val="22"/>
                <w:szCs w:val="22"/>
                <w:u w:val="none"/>
              </w:rPr>
              <w:t>0.001</w:t>
            </w:r>
          </w:p>
        </w:tc>
      </w:tr>
    </w:tbl>
    <w:p>
      <w:pPr>
        <w:pStyle w:val="Normal"/>
        <w:widowControl/>
        <w:shd w:val="clear" w:fill="auto"/>
        <w:bidi w:val="0"/>
        <w:spacing w:lineRule="auto" w:line="331" w:before="0" w:after="0"/>
        <w:ind w:hanging="0" w:start="0" w:end="0"/>
        <w:jc w:val="start"/>
        <w:rPr>
          <w:rFonts w:ascii="Liberation Serif" w:hAnsi="Liberation Serif" w:eastAsia="Liberation Serif" w:cs="Liberation Serif"/>
        </w:rPr>
      </w:pPr>
      <w:r>
        <w:rPr>
          <w:rFonts w:eastAsia="Liberation Serif" w:cs="Liberation Serif"/>
        </w:rPr>
      </w:r>
      <w:r>
        <w:br w:type="page"/>
      </w:r>
    </w:p>
    <w:p>
      <w:pPr>
        <w:pStyle w:val="BodyText"/>
        <w:bidi w:val="0"/>
        <w:spacing w:lineRule="auto" w:line="271" w:before="0" w:after="120"/>
        <w:ind w:hanging="0" w:start="0" w:end="0"/>
        <w:jc w:val="start"/>
        <w:rPr>
          <w:sz w:val="22"/>
          <w:szCs w:val="22"/>
        </w:rPr>
      </w:pPr>
      <w:r>
        <w:rPr>
          <w:b/>
          <w:color w:val="auto"/>
          <w:sz w:val="22"/>
          <w:szCs w:val="22"/>
        </w:rPr>
        <w:t xml:space="preserve">2. </w:t>
      </w:r>
      <w:r>
        <w:rPr>
          <w:rFonts w:eastAsia="Liberation Serif" w:cs="Liberation Serif"/>
          <w:b/>
          <w:bCs/>
          <w:i w:val="false"/>
          <w:iCs w:val="false"/>
          <w:caps w:val="false"/>
          <w:smallCaps w:val="false"/>
          <w:strike w:val="false"/>
          <w:dstrike w:val="false"/>
          <w:color w:val="000000"/>
          <w:position w:val="0"/>
          <w:sz w:val="22"/>
          <w:sz w:val="22"/>
          <w:szCs w:val="22"/>
          <w:u w:val="none"/>
          <w:shd w:fill="auto" w:val="clear"/>
          <w:vertAlign w:val="baseline"/>
        </w:rPr>
        <w:t>Cumulative Incidence of Cardiovascular Mortality Among Long-Term</w:t>
      </w:r>
      <w:r>
        <w:rPr>
          <w:rFonts w:eastAsia="Liberation Serif" w:cs="Liberation Serif"/>
          <w:b/>
          <w:bCs/>
          <w:i w:val="false"/>
          <w:iCs w:val="false"/>
          <w:caps w:val="false"/>
          <w:smallCaps w:val="false"/>
          <w:strike w:val="false"/>
          <w:dstrike w:val="false"/>
          <w:color w:val="000000"/>
          <w:position w:val="0"/>
          <w:sz w:val="22"/>
          <w:sz w:val="22"/>
          <w:szCs w:val="22"/>
          <w:u w:val="none"/>
          <w:shd w:fill="auto" w:val="clear"/>
          <w:vertAlign w:val="baseline"/>
        </w:rPr>
        <w:t xml:space="preserve"> Ovarian</w:t>
      </w:r>
      <w:r>
        <w:rPr>
          <w:rFonts w:eastAsia="Liberation Serif" w:cs="Liberation Serif"/>
          <w:b/>
          <w:bCs/>
          <w:i w:val="false"/>
          <w:iCs w:val="false"/>
          <w:caps w:val="false"/>
          <w:smallCaps w:val="false"/>
          <w:strike w:val="false"/>
          <w:dstrike w:val="false"/>
          <w:color w:val="000000"/>
          <w:position w:val="0"/>
          <w:sz w:val="22"/>
          <w:sz w:val="22"/>
          <w:szCs w:val="22"/>
          <w:u w:val="none"/>
          <w:shd w:fill="auto" w:val="clear"/>
          <w:vertAlign w:val="baseline"/>
        </w:rPr>
        <w:t xml:space="preserve"> Cancer Survivors</w:t>
      </w:r>
      <w:r>
        <w:rPr>
          <w:rFonts w:eastAsia="Liberation Serif" w:cs="Liberation Serif"/>
          <w:b/>
          <w:i w:val="false"/>
          <w:iCs w:val="false"/>
          <w:caps w:val="false"/>
          <w:smallCaps w:val="false"/>
          <w:strike w:val="false"/>
          <w:dstrike w:val="false"/>
          <w:color w:val="000000"/>
          <w:position w:val="0"/>
          <w:sz w:val="22"/>
          <w:sz w:val="22"/>
          <w:szCs w:val="22"/>
          <w:u w:val="none"/>
          <w:shd w:fill="auto" w:val="clear"/>
          <w:vertAlign w:val="baseline"/>
        </w:rPr>
        <w:t>, by Age at Diagnosis</w:t>
      </w:r>
    </w:p>
    <w:p>
      <w:pPr>
        <w:pStyle w:val="BodyText"/>
        <w:bidi w:val="0"/>
        <w:spacing w:lineRule="auto" w:line="271" w:before="0" w:after="120"/>
        <w:ind w:hanging="0" w:start="0" w:end="0"/>
        <w:jc w:val="start"/>
        <w:rPr>
          <w:rFonts w:ascii="Google Sans Text;sans-serif" w:hAnsi="Google Sans Text;sans-serif"/>
          <w:color w:val="auto"/>
        </w:rPr>
      </w:pPr>
      <w: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6120130" cy="3671570"/>
            <wp:effectExtent l="0" t="0" r="0" b="0"/>
            <wp:wrapSquare wrapText="largest"/>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tretch>
                      <a:fillRect/>
                    </a:stretch>
                  </pic:blipFill>
                  <pic:spPr bwMode="auto">
                    <a:xfrm>
                      <a:off x="0" y="0"/>
                      <a:ext cx="6120130" cy="3671570"/>
                    </a:xfrm>
                    <a:prstGeom prst="rect">
                      <a:avLst/>
                    </a:prstGeom>
                  </pic:spPr>
                </pic:pic>
              </a:graphicData>
            </a:graphic>
          </wp:anchor>
        </w:drawing>
      </w:r>
      <w:r>
        <w:rPr>
          <w:b/>
          <w:color w:val="auto"/>
        </w:rPr>
        <w:t xml:space="preserve">Figure 2: </w:t>
      </w:r>
      <w:r>
        <w:rPr>
          <w:rFonts w:eastAsia="Liberation Serif" w:cs="Liberation Serif"/>
          <w:b w:val="false"/>
          <w:bCs w:val="false"/>
          <w:color w:val="auto"/>
        </w:rPr>
        <w:t>Cumulative Incidence of Cardiovascular Death by Age at Diagnosis</w:t>
      </w:r>
    </w:p>
    <w:p>
      <w:pPr>
        <w:pStyle w:val="BodyText"/>
        <w:bidi w:val="0"/>
        <w:spacing w:lineRule="auto" w:line="271" w:before="0" w:after="120"/>
        <w:ind w:hanging="0" w:start="0" w:end="0"/>
        <w:jc w:val="start"/>
        <w:rPr>
          <w:rFonts w:ascii="Google Sans Text;sans-serif" w:hAnsi="Google Sans Text;sans-serif"/>
          <w:color w:val="auto"/>
        </w:rPr>
      </w:pPr>
      <w:r>
        <w:rPr/>
      </w:r>
    </w:p>
    <w:p>
      <w:pPr>
        <w:pStyle w:val="BodyText"/>
        <w:bidi w:val="0"/>
        <w:spacing w:lineRule="auto" w:line="271" w:before="0" w:after="120"/>
        <w:ind w:hanging="0" w:start="0" w:end="0"/>
        <w:jc w:val="start"/>
        <w:rPr>
          <w:rFonts w:ascii="Google Sans Text;sans-serif" w:hAnsi="Google Sans Text;sans-serif"/>
          <w:color w:val="auto"/>
        </w:rPr>
      </w:pPr>
      <w:r>
        <w:rPr>
          <w:rFonts w:eastAsia="Liberation Serif" w:cs="Liberation Serif"/>
          <w:b/>
          <w:bCs/>
          <w:i w:val="false"/>
          <w:iCs w:val="false"/>
          <w:caps w:val="false"/>
          <w:smallCaps w:val="false"/>
          <w:strike w:val="false"/>
          <w:dstrike w:val="false"/>
          <w:color w:val="000000"/>
          <w:position w:val="0"/>
          <w:sz w:val="22"/>
          <w:sz w:val="22"/>
          <w:szCs w:val="22"/>
          <w:u w:val="none"/>
          <w:shd w:fill="auto" w:val="clear"/>
          <w:vertAlign w:val="baseline"/>
        </w:rPr>
        <w:t xml:space="preserve">Table 2: </w:t>
      </w:r>
      <w:r>
        <w:rPr>
          <w:rFonts w:eastAsia="Liberation Serif" w:cs="Liberation Serif"/>
          <w:b w:val="false"/>
          <w:bCs w:val="false"/>
          <w:i w:val="false"/>
          <w:iCs w:val="false"/>
          <w:caps w:val="false"/>
          <w:smallCaps w:val="false"/>
          <w:strike w:val="false"/>
          <w:dstrike w:val="false"/>
          <w:color w:val="000000"/>
          <w:position w:val="0"/>
          <w:sz w:val="22"/>
          <w:sz w:val="22"/>
          <w:szCs w:val="22"/>
          <w:u w:val="none"/>
          <w:shd w:fill="auto" w:val="clear"/>
          <w:vertAlign w:val="baseline"/>
        </w:rPr>
        <w:t xml:space="preserve">Cumulative Incidence of Cardiovascular Mortality </w:t>
      </w:r>
      <w:r>
        <w:rPr>
          <w:rFonts w:eastAsia="Liberation Serif" w:cs="Liberation Serif"/>
          <w:b w:val="false"/>
          <w:bCs w:val="false"/>
          <w:i w:val="false"/>
          <w:iCs w:val="false"/>
          <w:caps w:val="false"/>
          <w:smallCaps w:val="false"/>
          <w:strike w:val="false"/>
          <w:dstrike w:val="false"/>
          <w:color w:val="000000"/>
          <w:position w:val="0"/>
          <w:sz w:val="22"/>
          <w:sz w:val="22"/>
          <w:szCs w:val="22"/>
          <w:u w:val="none"/>
          <w:shd w:fill="auto" w:val="clear"/>
          <w:vertAlign w:val="baseline"/>
        </w:rPr>
        <w:t>Among Long-term Ovarian Cancer Survivors,</w:t>
      </w:r>
      <w:r>
        <w:rPr>
          <w:rFonts w:eastAsia="Liberation Serif" w:cs="Liberation Serif"/>
          <w:b w:val="false"/>
          <w:bCs w:val="false"/>
          <w:i w:val="false"/>
          <w:iCs w:val="false"/>
          <w:caps w:val="false"/>
          <w:smallCaps w:val="false"/>
          <w:strike w:val="false"/>
          <w:dstrike w:val="false"/>
          <w:color w:val="000000"/>
          <w:position w:val="0"/>
          <w:sz w:val="22"/>
          <w:sz w:val="22"/>
          <w:szCs w:val="22"/>
          <w:u w:val="none"/>
          <w:shd w:fill="auto" w:val="clear"/>
          <w:vertAlign w:val="baseline"/>
        </w:rPr>
        <w:t xml:space="preserve"> by Age at Diagnosis</w:t>
      </w:r>
    </w:p>
    <w:tbl>
      <w:tblPr>
        <w:tblW w:w="9638" w:type="dxa"/>
        <w:jc w:val="start"/>
        <w:tblInd w:w="0" w:type="dxa"/>
        <w:tblLayout w:type="fixed"/>
        <w:tblCellMar>
          <w:top w:w="120" w:type="dxa"/>
          <w:start w:w="180" w:type="dxa"/>
          <w:bottom w:w="120" w:type="dxa"/>
          <w:end w:w="180" w:type="dxa"/>
        </w:tblCellMar>
      </w:tblPr>
      <w:tblGrid>
        <w:gridCol w:w="1351"/>
        <w:gridCol w:w="1041"/>
        <w:gridCol w:w="1231"/>
        <w:gridCol w:w="1258"/>
        <w:gridCol w:w="1258"/>
        <w:gridCol w:w="1521"/>
        <w:gridCol w:w="1978"/>
      </w:tblGrid>
      <w:tr>
        <w:trPr>
          <w:tblHeader w:val="true"/>
        </w:trPr>
        <w:tc>
          <w:tcPr>
            <w:tcW w:w="1351"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3" w:before="0" w:after="0"/>
              <w:ind w:hanging="0" w:start="0" w:end="0"/>
              <w:jc w:val="start"/>
              <w:rPr>
                <w:rFonts w:ascii="Cambria" w:hAnsi="Cambria"/>
                <w:b w:val="false"/>
                <w:bCs w:val="false"/>
                <w:i w:val="false"/>
                <w:i w:val="false"/>
                <w:iCs w:val="false"/>
                <w:strike w:val="false"/>
                <w:dstrike w:val="false"/>
                <w:outline w:val="false"/>
                <w:shadow w:val="false"/>
                <w:color w:val="auto"/>
                <w:sz w:val="22"/>
                <w:szCs w:val="24"/>
                <w:u w:val="none"/>
              </w:rPr>
            </w:pPr>
            <w:r>
              <w:rPr>
                <w:rStyle w:val="Strong"/>
                <w:rFonts w:ascii="Liberation Serif" w:hAnsi="Liberation Serif"/>
                <w:i w:val="false"/>
                <w:iCs w:val="false"/>
                <w:strike w:val="false"/>
                <w:dstrike w:val="false"/>
                <w:outline w:val="false"/>
                <w:shadow w:val="false"/>
                <w:color w:val="auto"/>
                <w:sz w:val="22"/>
                <w:szCs w:val="24"/>
                <w:u w:val="none"/>
              </w:rPr>
              <w:t>Age at Diagnosis</w:t>
            </w:r>
          </w:p>
        </w:tc>
        <w:tc>
          <w:tcPr>
            <w:tcW w:w="1041"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3" w:before="0" w:after="0"/>
              <w:ind w:hanging="0" w:start="0" w:end="0"/>
              <w:jc w:val="start"/>
              <w:rPr>
                <w:rFonts w:ascii="Cambria" w:hAnsi="Cambria"/>
                <w:b w:val="false"/>
                <w:bCs w:val="false"/>
                <w:i w:val="false"/>
                <w:i w:val="false"/>
                <w:iCs w:val="false"/>
                <w:strike w:val="false"/>
                <w:dstrike w:val="false"/>
                <w:outline w:val="false"/>
                <w:shadow w:val="false"/>
                <w:color w:val="auto"/>
                <w:sz w:val="22"/>
                <w:szCs w:val="24"/>
                <w:u w:val="none"/>
              </w:rPr>
            </w:pPr>
            <w:r>
              <w:rPr>
                <w:rStyle w:val="Strong"/>
                <w:rFonts w:ascii="Liberation Serif" w:hAnsi="Liberation Serif"/>
                <w:i w:val="false"/>
                <w:iCs w:val="false"/>
                <w:strike w:val="false"/>
                <w:dstrike w:val="false"/>
                <w:outline w:val="false"/>
                <w:shadow w:val="false"/>
                <w:color w:val="auto"/>
                <w:sz w:val="22"/>
                <w:szCs w:val="24"/>
                <w:u w:val="none"/>
              </w:rPr>
              <w:t>Cohort Size (N)</w:t>
            </w:r>
          </w:p>
        </w:tc>
        <w:tc>
          <w:tcPr>
            <w:tcW w:w="1231"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3" w:before="0" w:after="0"/>
              <w:ind w:hanging="0" w:start="0" w:end="0"/>
              <w:jc w:val="start"/>
              <w:rPr>
                <w:rFonts w:ascii="Cambria" w:hAnsi="Cambria"/>
                <w:b w:val="false"/>
                <w:bCs w:val="false"/>
                <w:i w:val="false"/>
                <w:i w:val="false"/>
                <w:iCs w:val="false"/>
                <w:strike w:val="false"/>
                <w:dstrike w:val="false"/>
                <w:outline w:val="false"/>
                <w:shadow w:val="false"/>
                <w:color w:val="auto"/>
                <w:sz w:val="22"/>
                <w:szCs w:val="24"/>
                <w:u w:val="none"/>
              </w:rPr>
            </w:pPr>
            <w:r>
              <w:rPr>
                <w:rStyle w:val="Strong"/>
                <w:rFonts w:ascii="Liberation Serif" w:hAnsi="Liberation Serif"/>
                <w:i w:val="false"/>
                <w:iCs w:val="false"/>
                <w:strike w:val="false"/>
                <w:dstrike w:val="false"/>
                <w:outline w:val="false"/>
                <w:shadow w:val="false"/>
                <w:color w:val="auto"/>
                <w:sz w:val="22"/>
                <w:szCs w:val="24"/>
                <w:u w:val="none"/>
              </w:rPr>
              <w:t>Year 10 (60 months)</w:t>
            </w:r>
          </w:p>
        </w:tc>
        <w:tc>
          <w:tcPr>
            <w:tcW w:w="1258"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3" w:before="0" w:after="0"/>
              <w:ind w:hanging="0" w:start="0" w:end="0"/>
              <w:jc w:val="start"/>
              <w:rPr>
                <w:rFonts w:ascii="Cambria" w:hAnsi="Cambria"/>
                <w:b w:val="false"/>
                <w:bCs w:val="false"/>
                <w:i w:val="false"/>
                <w:i w:val="false"/>
                <w:iCs w:val="false"/>
                <w:strike w:val="false"/>
                <w:dstrike w:val="false"/>
                <w:outline w:val="false"/>
                <w:shadow w:val="false"/>
                <w:color w:val="auto"/>
                <w:sz w:val="22"/>
                <w:szCs w:val="24"/>
                <w:u w:val="none"/>
              </w:rPr>
            </w:pPr>
            <w:r>
              <w:rPr>
                <w:rStyle w:val="Strong"/>
                <w:rFonts w:ascii="Liberation Serif" w:hAnsi="Liberation Serif"/>
                <w:i w:val="false"/>
                <w:iCs w:val="false"/>
                <w:strike w:val="false"/>
                <w:dstrike w:val="false"/>
                <w:outline w:val="false"/>
                <w:shadow w:val="false"/>
                <w:color w:val="auto"/>
                <w:sz w:val="22"/>
                <w:szCs w:val="24"/>
                <w:u w:val="none"/>
              </w:rPr>
              <w:t>Year 15 (120 months)</w:t>
            </w:r>
          </w:p>
        </w:tc>
        <w:tc>
          <w:tcPr>
            <w:tcW w:w="1258"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3" w:before="0" w:after="0"/>
              <w:ind w:hanging="0" w:start="0" w:end="0"/>
              <w:jc w:val="start"/>
              <w:rPr>
                <w:rFonts w:ascii="Cambria" w:hAnsi="Cambria"/>
                <w:b w:val="false"/>
                <w:bCs w:val="false"/>
                <w:i w:val="false"/>
                <w:i w:val="false"/>
                <w:iCs w:val="false"/>
                <w:strike w:val="false"/>
                <w:dstrike w:val="false"/>
                <w:outline w:val="false"/>
                <w:shadow w:val="false"/>
                <w:color w:val="auto"/>
                <w:sz w:val="22"/>
                <w:szCs w:val="24"/>
                <w:u w:val="none"/>
              </w:rPr>
            </w:pPr>
            <w:r>
              <w:rPr>
                <w:rStyle w:val="Strong"/>
                <w:rFonts w:ascii="Liberation Serif" w:hAnsi="Liberation Serif"/>
                <w:i w:val="false"/>
                <w:iCs w:val="false"/>
                <w:strike w:val="false"/>
                <w:dstrike w:val="false"/>
                <w:outline w:val="false"/>
                <w:shadow w:val="false"/>
                <w:color w:val="auto"/>
                <w:sz w:val="22"/>
                <w:szCs w:val="24"/>
                <w:u w:val="none"/>
              </w:rPr>
              <w:t>Year 20 (180 months)</w:t>
            </w:r>
          </w:p>
        </w:tc>
        <w:tc>
          <w:tcPr>
            <w:tcW w:w="1521"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3" w:before="0" w:after="0"/>
              <w:ind w:hanging="0" w:start="0" w:end="0"/>
              <w:jc w:val="start"/>
              <w:rPr>
                <w:rFonts w:ascii="Cambria" w:hAnsi="Cambria"/>
                <w:b w:val="false"/>
                <w:bCs w:val="false"/>
                <w:i w:val="false"/>
                <w:i w:val="false"/>
                <w:iCs w:val="false"/>
                <w:strike w:val="false"/>
                <w:dstrike w:val="false"/>
                <w:outline w:val="false"/>
                <w:shadow w:val="false"/>
                <w:color w:val="auto"/>
                <w:sz w:val="22"/>
                <w:szCs w:val="24"/>
                <w:u w:val="none"/>
              </w:rPr>
            </w:pPr>
            <w:r>
              <w:rPr>
                <w:rStyle w:val="Strong"/>
                <w:rFonts w:ascii="Liberation Serif" w:hAnsi="Liberation Serif"/>
                <w:i w:val="false"/>
                <w:iCs w:val="false"/>
                <w:strike w:val="false"/>
                <w:dstrike w:val="false"/>
                <w:outline w:val="false"/>
                <w:shadow w:val="false"/>
                <w:color w:val="auto"/>
                <w:sz w:val="22"/>
                <w:szCs w:val="24"/>
                <w:u w:val="none"/>
              </w:rPr>
              <w:t>Final Follow-up (Months)</w:t>
            </w:r>
          </w:p>
        </w:tc>
        <w:tc>
          <w:tcPr>
            <w:tcW w:w="1978"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3" w:before="0" w:after="0"/>
              <w:ind w:hanging="0" w:start="0" w:end="0"/>
              <w:jc w:val="start"/>
              <w:rPr>
                <w:rFonts w:ascii="Cambria" w:hAnsi="Cambria"/>
                <w:b w:val="false"/>
                <w:bCs w:val="false"/>
                <w:i w:val="false"/>
                <w:i w:val="false"/>
                <w:iCs w:val="false"/>
                <w:strike w:val="false"/>
                <w:dstrike w:val="false"/>
                <w:outline w:val="false"/>
                <w:shadow w:val="false"/>
                <w:color w:val="auto"/>
                <w:sz w:val="22"/>
                <w:szCs w:val="24"/>
                <w:u w:val="none"/>
              </w:rPr>
            </w:pPr>
            <w:r>
              <w:rPr>
                <w:rStyle w:val="Strong"/>
                <w:rFonts w:ascii="Liberation Serif" w:hAnsi="Liberation Serif"/>
                <w:i w:val="false"/>
                <w:iCs w:val="false"/>
                <w:strike w:val="false"/>
                <w:dstrike w:val="false"/>
                <w:outline w:val="false"/>
                <w:shadow w:val="false"/>
                <w:color w:val="auto"/>
                <w:sz w:val="22"/>
                <w:szCs w:val="24"/>
                <w:u w:val="none"/>
              </w:rPr>
              <w:t>Final Cumulative Incidence (95% CI)</w:t>
            </w:r>
          </w:p>
        </w:tc>
      </w:tr>
      <w:tr>
        <w:trPr/>
        <w:tc>
          <w:tcPr>
            <w:tcW w:w="1351"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3" w:before="0" w:after="140"/>
              <w:ind w:hanging="0" w:start="0" w:end="0"/>
              <w:jc w:val="start"/>
              <w:rPr>
                <w:rFonts w:ascii="Liberation Serif" w:hAnsi="Liberation Serif"/>
                <w:b/>
                <w:bCs w:val="false"/>
                <w:i w:val="false"/>
                <w:i w:val="false"/>
                <w:iCs w:val="false"/>
                <w:strike w:val="false"/>
                <w:dstrike w:val="false"/>
                <w:outline w:val="false"/>
                <w:shadow w:val="false"/>
                <w:color w:val="auto"/>
                <w:sz w:val="22"/>
                <w:szCs w:val="24"/>
                <w:u w:val="none"/>
              </w:rPr>
            </w:pPr>
            <w:r>
              <w:rPr>
                <w:rFonts w:ascii="Liberation Serif" w:hAnsi="Liberation Serif"/>
                <w:b/>
                <w:bCs w:val="false"/>
                <w:i w:val="false"/>
                <w:iCs w:val="false"/>
                <w:strike w:val="false"/>
                <w:dstrike w:val="false"/>
                <w:outline w:val="false"/>
                <w:shadow w:val="false"/>
                <w:color w:val="auto"/>
                <w:sz w:val="22"/>
                <w:szCs w:val="24"/>
                <w:u w:val="none"/>
              </w:rPr>
              <w:t>20 - 39 years</w:t>
            </w:r>
          </w:p>
        </w:tc>
        <w:tc>
          <w:tcPr>
            <w:tcW w:w="1041"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3" w:before="0" w:after="140"/>
              <w:ind w:hanging="0" w:start="0" w:end="0"/>
              <w:jc w:val="start"/>
              <w:rPr>
                <w:rFonts w:ascii="Liberation Serif" w:hAnsi="Liberation Serif"/>
                <w:b w:val="false"/>
                <w:bCs w:val="false"/>
                <w:i w:val="false"/>
                <w:i w:val="false"/>
                <w:iCs w:val="false"/>
                <w:strike w:val="false"/>
                <w:dstrike w:val="false"/>
                <w:outline w:val="false"/>
                <w:shadow w:val="false"/>
                <w:color w:val="auto"/>
                <w:sz w:val="22"/>
                <w:szCs w:val="24"/>
                <w:u w:val="none"/>
              </w:rPr>
            </w:pPr>
            <w:r>
              <w:rPr>
                <w:rFonts w:ascii="Liberation Serif" w:hAnsi="Liberation Serif"/>
                <w:b w:val="false"/>
                <w:bCs w:val="false"/>
                <w:i w:val="false"/>
                <w:iCs w:val="false"/>
                <w:strike w:val="false"/>
                <w:dstrike w:val="false"/>
                <w:outline w:val="false"/>
                <w:shadow w:val="false"/>
                <w:color w:val="auto"/>
                <w:sz w:val="22"/>
                <w:szCs w:val="24"/>
                <w:u w:val="none"/>
              </w:rPr>
              <w:t>4,401</w:t>
            </w:r>
          </w:p>
        </w:tc>
        <w:tc>
          <w:tcPr>
            <w:tcW w:w="1231"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3" w:before="0" w:after="140"/>
              <w:ind w:hanging="0" w:start="0" w:end="0"/>
              <w:jc w:val="start"/>
              <w:rPr>
                <w:rFonts w:ascii="Liberation Serif" w:hAnsi="Liberation Serif"/>
                <w:b w:val="false"/>
                <w:bCs w:val="false"/>
                <w:i w:val="false"/>
                <w:i w:val="false"/>
                <w:iCs w:val="false"/>
                <w:strike w:val="false"/>
                <w:dstrike w:val="false"/>
                <w:outline w:val="false"/>
                <w:shadow w:val="false"/>
                <w:color w:val="auto"/>
                <w:sz w:val="22"/>
                <w:szCs w:val="24"/>
                <w:u w:val="none"/>
              </w:rPr>
            </w:pPr>
            <w:r>
              <w:rPr>
                <w:rFonts w:ascii="Liberation Serif" w:hAnsi="Liberation Serif"/>
                <w:b w:val="false"/>
                <w:bCs w:val="false"/>
                <w:i w:val="false"/>
                <w:iCs w:val="false"/>
                <w:strike w:val="false"/>
                <w:dstrike w:val="false"/>
                <w:outline w:val="false"/>
                <w:shadow w:val="false"/>
                <w:color w:val="auto"/>
                <w:sz w:val="22"/>
                <w:szCs w:val="24"/>
                <w:u w:val="none"/>
              </w:rPr>
              <w:t>0.09%</w:t>
            </w:r>
          </w:p>
        </w:tc>
        <w:tc>
          <w:tcPr>
            <w:tcW w:w="1258"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3" w:before="0" w:after="140"/>
              <w:ind w:hanging="0" w:start="0" w:end="0"/>
              <w:jc w:val="start"/>
              <w:rPr>
                <w:rFonts w:ascii="Liberation Serif" w:hAnsi="Liberation Serif"/>
                <w:b w:val="false"/>
                <w:bCs w:val="false"/>
                <w:i w:val="false"/>
                <w:i w:val="false"/>
                <w:iCs w:val="false"/>
                <w:strike w:val="false"/>
                <w:dstrike w:val="false"/>
                <w:outline w:val="false"/>
                <w:shadow w:val="false"/>
                <w:color w:val="auto"/>
                <w:sz w:val="22"/>
                <w:szCs w:val="24"/>
                <w:u w:val="none"/>
              </w:rPr>
            </w:pPr>
            <w:r>
              <w:rPr>
                <w:rFonts w:ascii="Liberation Serif" w:hAnsi="Liberation Serif"/>
                <w:b w:val="false"/>
                <w:bCs w:val="false"/>
                <w:i w:val="false"/>
                <w:iCs w:val="false"/>
                <w:strike w:val="false"/>
                <w:dstrike w:val="false"/>
                <w:outline w:val="false"/>
                <w:shadow w:val="false"/>
                <w:color w:val="auto"/>
                <w:sz w:val="22"/>
                <w:szCs w:val="24"/>
                <w:u w:val="none"/>
              </w:rPr>
              <w:t>0.31%</w:t>
            </w:r>
          </w:p>
        </w:tc>
        <w:tc>
          <w:tcPr>
            <w:tcW w:w="1258"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3" w:before="0" w:after="140"/>
              <w:ind w:hanging="0" w:start="0" w:end="0"/>
              <w:jc w:val="start"/>
              <w:rPr>
                <w:rFonts w:ascii="Liberation Serif" w:hAnsi="Liberation Serif"/>
                <w:b w:val="false"/>
                <w:bCs w:val="false"/>
                <w:i w:val="false"/>
                <w:i w:val="false"/>
                <w:iCs w:val="false"/>
                <w:strike w:val="false"/>
                <w:dstrike w:val="false"/>
                <w:outline w:val="false"/>
                <w:shadow w:val="false"/>
                <w:color w:val="auto"/>
                <w:sz w:val="22"/>
                <w:szCs w:val="24"/>
                <w:u w:val="none"/>
              </w:rPr>
            </w:pPr>
            <w:r>
              <w:rPr>
                <w:rFonts w:ascii="Liberation Serif" w:hAnsi="Liberation Serif"/>
                <w:b w:val="false"/>
                <w:bCs w:val="false"/>
                <w:i w:val="false"/>
                <w:iCs w:val="false"/>
                <w:strike w:val="false"/>
                <w:dstrike w:val="false"/>
                <w:outline w:val="false"/>
                <w:shadow w:val="false"/>
                <w:color w:val="auto"/>
                <w:sz w:val="22"/>
                <w:szCs w:val="24"/>
                <w:u w:val="none"/>
              </w:rPr>
              <w:t>0.49%</w:t>
            </w:r>
          </w:p>
        </w:tc>
        <w:tc>
          <w:tcPr>
            <w:tcW w:w="1521"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3" w:before="0" w:after="140"/>
              <w:ind w:hanging="0" w:start="0" w:end="0"/>
              <w:jc w:val="start"/>
              <w:rPr>
                <w:rFonts w:ascii="Liberation Serif" w:hAnsi="Liberation Serif"/>
                <w:b w:val="false"/>
                <w:bCs w:val="false"/>
                <w:i w:val="false"/>
                <w:i w:val="false"/>
                <w:iCs w:val="false"/>
                <w:strike w:val="false"/>
                <w:dstrike w:val="false"/>
                <w:outline w:val="false"/>
                <w:shadow w:val="false"/>
                <w:color w:val="auto"/>
                <w:sz w:val="22"/>
                <w:szCs w:val="24"/>
                <w:u w:val="none"/>
              </w:rPr>
            </w:pPr>
            <w:r>
              <w:rPr>
                <w:rFonts w:ascii="Liberation Serif" w:hAnsi="Liberation Serif"/>
                <w:b w:val="false"/>
                <w:bCs w:val="false"/>
                <w:i w:val="false"/>
                <w:iCs w:val="false"/>
                <w:strike w:val="false"/>
                <w:dstrike w:val="false"/>
                <w:outline w:val="false"/>
                <w:shadow w:val="false"/>
                <w:color w:val="auto"/>
                <w:sz w:val="22"/>
                <w:szCs w:val="24"/>
                <w:u w:val="none"/>
              </w:rPr>
              <w:t>209.0</w:t>
            </w:r>
          </w:p>
        </w:tc>
        <w:tc>
          <w:tcPr>
            <w:tcW w:w="1978"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3" w:before="0" w:after="140"/>
              <w:ind w:hanging="0" w:start="0" w:end="0"/>
              <w:jc w:val="start"/>
              <w:rPr>
                <w:rFonts w:ascii="Liberation Serif" w:hAnsi="Liberation Serif"/>
                <w:b w:val="false"/>
                <w:bCs w:val="false"/>
                <w:i w:val="false"/>
                <w:i w:val="false"/>
                <w:iCs w:val="false"/>
                <w:strike w:val="false"/>
                <w:dstrike w:val="false"/>
                <w:outline w:val="false"/>
                <w:shadow w:val="false"/>
                <w:color w:val="auto"/>
                <w:sz w:val="22"/>
                <w:szCs w:val="24"/>
                <w:u w:val="none"/>
              </w:rPr>
            </w:pPr>
            <w:r>
              <w:rPr>
                <w:rFonts w:ascii="Liberation Serif" w:hAnsi="Liberation Serif"/>
                <w:b w:val="false"/>
                <w:bCs w:val="false"/>
                <w:i w:val="false"/>
                <w:iCs w:val="false"/>
                <w:strike w:val="false"/>
                <w:dstrike w:val="false"/>
                <w:outline w:val="false"/>
                <w:shadow w:val="false"/>
                <w:color w:val="auto"/>
                <w:sz w:val="22"/>
                <w:szCs w:val="24"/>
                <w:u w:val="none"/>
              </w:rPr>
              <w:t>0.84% (0.31 – 1.92%)</w:t>
            </w:r>
          </w:p>
        </w:tc>
      </w:tr>
      <w:tr>
        <w:trPr/>
        <w:tc>
          <w:tcPr>
            <w:tcW w:w="1351"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3" w:before="0" w:after="140"/>
              <w:ind w:hanging="0" w:start="0" w:end="0"/>
              <w:jc w:val="start"/>
              <w:rPr>
                <w:rFonts w:ascii="Liberation Serif" w:hAnsi="Liberation Serif"/>
                <w:b/>
                <w:bCs w:val="false"/>
                <w:i w:val="false"/>
                <w:i w:val="false"/>
                <w:iCs w:val="false"/>
                <w:strike w:val="false"/>
                <w:dstrike w:val="false"/>
                <w:outline w:val="false"/>
                <w:shadow w:val="false"/>
                <w:color w:val="auto"/>
                <w:sz w:val="22"/>
                <w:szCs w:val="24"/>
                <w:u w:val="none"/>
              </w:rPr>
            </w:pPr>
            <w:r>
              <w:rPr>
                <w:rFonts w:ascii="Liberation Serif" w:hAnsi="Liberation Serif"/>
                <w:b/>
                <w:bCs w:val="false"/>
                <w:i w:val="false"/>
                <w:iCs w:val="false"/>
                <w:strike w:val="false"/>
                <w:dstrike w:val="false"/>
                <w:outline w:val="false"/>
                <w:shadow w:val="false"/>
                <w:color w:val="auto"/>
                <w:sz w:val="22"/>
                <w:szCs w:val="24"/>
                <w:u w:val="none"/>
              </w:rPr>
              <w:t>40 - 59 years</w:t>
            </w:r>
          </w:p>
        </w:tc>
        <w:tc>
          <w:tcPr>
            <w:tcW w:w="1041"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3" w:before="0" w:after="140"/>
              <w:ind w:hanging="0" w:start="0" w:end="0"/>
              <w:jc w:val="start"/>
              <w:rPr>
                <w:rFonts w:ascii="Liberation Serif" w:hAnsi="Liberation Serif"/>
                <w:b w:val="false"/>
                <w:bCs w:val="false"/>
                <w:i w:val="false"/>
                <w:i w:val="false"/>
                <w:iCs w:val="false"/>
                <w:strike w:val="false"/>
                <w:dstrike w:val="false"/>
                <w:outline w:val="false"/>
                <w:shadow w:val="false"/>
                <w:color w:val="auto"/>
                <w:sz w:val="22"/>
                <w:szCs w:val="24"/>
                <w:u w:val="none"/>
              </w:rPr>
            </w:pPr>
            <w:r>
              <w:rPr>
                <w:rFonts w:ascii="Liberation Serif" w:hAnsi="Liberation Serif"/>
                <w:b w:val="false"/>
                <w:bCs w:val="false"/>
                <w:i w:val="false"/>
                <w:iCs w:val="false"/>
                <w:strike w:val="false"/>
                <w:dstrike w:val="false"/>
                <w:outline w:val="false"/>
                <w:shadow w:val="false"/>
                <w:color w:val="auto"/>
                <w:sz w:val="22"/>
                <w:szCs w:val="24"/>
                <w:u w:val="none"/>
              </w:rPr>
              <w:t>18,403</w:t>
            </w:r>
          </w:p>
        </w:tc>
        <w:tc>
          <w:tcPr>
            <w:tcW w:w="1231"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3" w:before="0" w:after="140"/>
              <w:ind w:hanging="0" w:start="0" w:end="0"/>
              <w:jc w:val="start"/>
              <w:rPr>
                <w:rFonts w:ascii="Liberation Serif" w:hAnsi="Liberation Serif"/>
                <w:b w:val="false"/>
                <w:bCs w:val="false"/>
                <w:i w:val="false"/>
                <w:i w:val="false"/>
                <w:iCs w:val="false"/>
                <w:strike w:val="false"/>
                <w:dstrike w:val="false"/>
                <w:outline w:val="false"/>
                <w:shadow w:val="false"/>
                <w:color w:val="auto"/>
                <w:sz w:val="22"/>
                <w:szCs w:val="24"/>
                <w:u w:val="none"/>
              </w:rPr>
            </w:pPr>
            <w:r>
              <w:rPr>
                <w:rFonts w:ascii="Liberation Serif" w:hAnsi="Liberation Serif"/>
                <w:b w:val="false"/>
                <w:bCs w:val="false"/>
                <w:i w:val="false"/>
                <w:iCs w:val="false"/>
                <w:strike w:val="false"/>
                <w:dstrike w:val="false"/>
                <w:outline w:val="false"/>
                <w:shadow w:val="false"/>
                <w:color w:val="auto"/>
                <w:sz w:val="22"/>
                <w:szCs w:val="24"/>
                <w:u w:val="none"/>
              </w:rPr>
              <w:t>0.44%</w:t>
            </w:r>
          </w:p>
        </w:tc>
        <w:tc>
          <w:tcPr>
            <w:tcW w:w="1258"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3" w:before="0" w:after="140"/>
              <w:ind w:hanging="0" w:start="0" w:end="0"/>
              <w:jc w:val="start"/>
              <w:rPr>
                <w:rFonts w:ascii="Liberation Serif" w:hAnsi="Liberation Serif"/>
                <w:b w:val="false"/>
                <w:bCs w:val="false"/>
                <w:i w:val="false"/>
                <w:i w:val="false"/>
                <w:iCs w:val="false"/>
                <w:strike w:val="false"/>
                <w:dstrike w:val="false"/>
                <w:outline w:val="false"/>
                <w:shadow w:val="false"/>
                <w:color w:val="auto"/>
                <w:sz w:val="22"/>
                <w:szCs w:val="24"/>
                <w:u w:val="none"/>
              </w:rPr>
            </w:pPr>
            <w:r>
              <w:rPr>
                <w:rFonts w:ascii="Liberation Serif" w:hAnsi="Liberation Serif"/>
                <w:b w:val="false"/>
                <w:bCs w:val="false"/>
                <w:i w:val="false"/>
                <w:iCs w:val="false"/>
                <w:strike w:val="false"/>
                <w:dstrike w:val="false"/>
                <w:outline w:val="false"/>
                <w:shadow w:val="false"/>
                <w:color w:val="auto"/>
                <w:sz w:val="22"/>
                <w:szCs w:val="24"/>
                <w:u w:val="none"/>
              </w:rPr>
              <w:t>1.06%</w:t>
            </w:r>
          </w:p>
        </w:tc>
        <w:tc>
          <w:tcPr>
            <w:tcW w:w="1258"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3" w:before="0" w:after="140"/>
              <w:ind w:hanging="0" w:start="0" w:end="0"/>
              <w:jc w:val="start"/>
              <w:rPr>
                <w:rFonts w:ascii="Liberation Serif" w:hAnsi="Liberation Serif"/>
                <w:b w:val="false"/>
                <w:bCs w:val="false"/>
                <w:i w:val="false"/>
                <w:i w:val="false"/>
                <w:iCs w:val="false"/>
                <w:strike w:val="false"/>
                <w:dstrike w:val="false"/>
                <w:outline w:val="false"/>
                <w:shadow w:val="false"/>
                <w:color w:val="auto"/>
                <w:sz w:val="22"/>
                <w:szCs w:val="24"/>
                <w:u w:val="none"/>
              </w:rPr>
            </w:pPr>
            <w:r>
              <w:rPr>
                <w:rFonts w:ascii="Liberation Serif" w:hAnsi="Liberation Serif"/>
                <w:b w:val="false"/>
                <w:bCs w:val="false"/>
                <w:i w:val="false"/>
                <w:iCs w:val="false"/>
                <w:strike w:val="false"/>
                <w:dstrike w:val="false"/>
                <w:outline w:val="false"/>
                <w:shadow w:val="false"/>
                <w:color w:val="auto"/>
                <w:sz w:val="22"/>
                <w:szCs w:val="24"/>
                <w:u w:val="none"/>
              </w:rPr>
              <w:t>1.98%</w:t>
            </w:r>
          </w:p>
        </w:tc>
        <w:tc>
          <w:tcPr>
            <w:tcW w:w="1521"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3" w:before="0" w:after="140"/>
              <w:ind w:hanging="0" w:start="0" w:end="0"/>
              <w:jc w:val="start"/>
              <w:rPr>
                <w:rFonts w:ascii="Liberation Serif" w:hAnsi="Liberation Serif"/>
                <w:b w:val="false"/>
                <w:bCs w:val="false"/>
                <w:i w:val="false"/>
                <w:i w:val="false"/>
                <w:iCs w:val="false"/>
                <w:strike w:val="false"/>
                <w:dstrike w:val="false"/>
                <w:outline w:val="false"/>
                <w:shadow w:val="false"/>
                <w:color w:val="auto"/>
                <w:sz w:val="22"/>
                <w:szCs w:val="24"/>
                <w:u w:val="none"/>
              </w:rPr>
            </w:pPr>
            <w:r>
              <w:rPr>
                <w:rFonts w:ascii="Liberation Serif" w:hAnsi="Liberation Serif"/>
                <w:b w:val="false"/>
                <w:bCs w:val="false"/>
                <w:i w:val="false"/>
                <w:iCs w:val="false"/>
                <w:strike w:val="false"/>
                <w:dstrike w:val="false"/>
                <w:outline w:val="false"/>
                <w:shadow w:val="false"/>
                <w:color w:val="auto"/>
                <w:sz w:val="22"/>
                <w:szCs w:val="24"/>
                <w:u w:val="none"/>
              </w:rPr>
              <w:t>213.0</w:t>
            </w:r>
          </w:p>
        </w:tc>
        <w:tc>
          <w:tcPr>
            <w:tcW w:w="1978"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3" w:before="0" w:after="140"/>
              <w:ind w:hanging="0" w:start="0" w:end="0"/>
              <w:jc w:val="start"/>
              <w:rPr>
                <w:rFonts w:ascii="Liberation Serif" w:hAnsi="Liberation Serif"/>
                <w:b w:val="false"/>
                <w:bCs w:val="false"/>
                <w:i w:val="false"/>
                <w:i w:val="false"/>
                <w:iCs w:val="false"/>
                <w:strike w:val="false"/>
                <w:dstrike w:val="false"/>
                <w:outline w:val="false"/>
                <w:shadow w:val="false"/>
                <w:color w:val="auto"/>
                <w:sz w:val="22"/>
                <w:szCs w:val="24"/>
                <w:u w:val="none"/>
              </w:rPr>
            </w:pPr>
            <w:r>
              <w:rPr>
                <w:rFonts w:ascii="Liberation Serif" w:hAnsi="Liberation Serif"/>
                <w:b w:val="false"/>
                <w:bCs w:val="false"/>
                <w:i w:val="false"/>
                <w:iCs w:val="false"/>
                <w:strike w:val="false"/>
                <w:dstrike w:val="false"/>
                <w:outline w:val="false"/>
                <w:shadow w:val="false"/>
                <w:color w:val="auto"/>
                <w:sz w:val="22"/>
                <w:szCs w:val="24"/>
                <w:u w:val="none"/>
              </w:rPr>
              <w:t>2.78% (2.17 – 3.50%)</w:t>
            </w:r>
          </w:p>
        </w:tc>
      </w:tr>
      <w:tr>
        <w:trPr/>
        <w:tc>
          <w:tcPr>
            <w:tcW w:w="1351"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3" w:before="0" w:after="140"/>
              <w:ind w:hanging="0" w:start="0" w:end="0"/>
              <w:jc w:val="start"/>
              <w:rPr>
                <w:rFonts w:ascii="Liberation Serif" w:hAnsi="Liberation Serif"/>
                <w:b/>
                <w:bCs w:val="false"/>
                <w:i w:val="false"/>
                <w:i w:val="false"/>
                <w:iCs w:val="false"/>
                <w:strike w:val="false"/>
                <w:dstrike w:val="false"/>
                <w:outline w:val="false"/>
                <w:shadow w:val="false"/>
                <w:color w:val="auto"/>
                <w:sz w:val="22"/>
                <w:szCs w:val="24"/>
                <w:u w:val="none"/>
              </w:rPr>
            </w:pPr>
            <w:r>
              <w:rPr>
                <w:rFonts w:ascii="Liberation Serif" w:hAnsi="Liberation Serif"/>
                <w:b/>
                <w:bCs w:val="false"/>
                <w:i w:val="false"/>
                <w:iCs w:val="false"/>
                <w:strike w:val="false"/>
                <w:dstrike w:val="false"/>
                <w:outline w:val="false"/>
                <w:shadow w:val="false"/>
                <w:color w:val="auto"/>
                <w:sz w:val="22"/>
                <w:szCs w:val="24"/>
                <w:u w:val="none"/>
              </w:rPr>
              <w:t>60 - 79 years</w:t>
            </w:r>
          </w:p>
        </w:tc>
        <w:tc>
          <w:tcPr>
            <w:tcW w:w="1041"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3" w:before="0" w:after="140"/>
              <w:ind w:hanging="0" w:start="0" w:end="0"/>
              <w:jc w:val="start"/>
              <w:rPr>
                <w:rFonts w:ascii="Liberation Serif" w:hAnsi="Liberation Serif"/>
                <w:b w:val="false"/>
                <w:bCs w:val="false"/>
                <w:i w:val="false"/>
                <w:i w:val="false"/>
                <w:iCs w:val="false"/>
                <w:strike w:val="false"/>
                <w:dstrike w:val="false"/>
                <w:outline w:val="false"/>
                <w:shadow w:val="false"/>
                <w:color w:val="auto"/>
                <w:sz w:val="22"/>
                <w:szCs w:val="24"/>
                <w:u w:val="none"/>
              </w:rPr>
            </w:pPr>
            <w:r>
              <w:rPr>
                <w:rFonts w:ascii="Liberation Serif" w:hAnsi="Liberation Serif"/>
                <w:b w:val="false"/>
                <w:bCs w:val="false"/>
                <w:i w:val="false"/>
                <w:iCs w:val="false"/>
                <w:strike w:val="false"/>
                <w:dstrike w:val="false"/>
                <w:outline w:val="false"/>
                <w:shadow w:val="false"/>
                <w:color w:val="auto"/>
                <w:sz w:val="22"/>
                <w:szCs w:val="24"/>
                <w:u w:val="none"/>
              </w:rPr>
              <w:t>13,811</w:t>
            </w:r>
          </w:p>
        </w:tc>
        <w:tc>
          <w:tcPr>
            <w:tcW w:w="1231"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3" w:before="0" w:after="140"/>
              <w:ind w:hanging="0" w:start="0" w:end="0"/>
              <w:jc w:val="start"/>
              <w:rPr>
                <w:rFonts w:ascii="Liberation Serif" w:hAnsi="Liberation Serif"/>
                <w:b w:val="false"/>
                <w:bCs w:val="false"/>
                <w:i w:val="false"/>
                <w:i w:val="false"/>
                <w:iCs w:val="false"/>
                <w:strike w:val="false"/>
                <w:dstrike w:val="false"/>
                <w:outline w:val="false"/>
                <w:shadow w:val="false"/>
                <w:color w:val="auto"/>
                <w:sz w:val="22"/>
                <w:szCs w:val="24"/>
                <w:u w:val="none"/>
              </w:rPr>
            </w:pPr>
            <w:r>
              <w:rPr>
                <w:rFonts w:ascii="Liberation Serif" w:hAnsi="Liberation Serif"/>
                <w:b w:val="false"/>
                <w:bCs w:val="false"/>
                <w:i w:val="false"/>
                <w:iCs w:val="false"/>
                <w:strike w:val="false"/>
                <w:dstrike w:val="false"/>
                <w:outline w:val="false"/>
                <w:shadow w:val="false"/>
                <w:color w:val="auto"/>
                <w:sz w:val="22"/>
                <w:szCs w:val="24"/>
                <w:u w:val="none"/>
              </w:rPr>
              <w:t>2.24%</w:t>
            </w:r>
          </w:p>
        </w:tc>
        <w:tc>
          <w:tcPr>
            <w:tcW w:w="1258"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3" w:before="0" w:after="140"/>
              <w:ind w:hanging="0" w:start="0" w:end="0"/>
              <w:jc w:val="start"/>
              <w:rPr>
                <w:rFonts w:ascii="Liberation Serif" w:hAnsi="Liberation Serif"/>
                <w:b w:val="false"/>
                <w:bCs w:val="false"/>
                <w:i w:val="false"/>
                <w:i w:val="false"/>
                <w:iCs w:val="false"/>
                <w:strike w:val="false"/>
                <w:dstrike w:val="false"/>
                <w:outline w:val="false"/>
                <w:shadow w:val="false"/>
                <w:color w:val="auto"/>
                <w:sz w:val="22"/>
                <w:szCs w:val="24"/>
                <w:u w:val="none"/>
              </w:rPr>
            </w:pPr>
            <w:r>
              <w:rPr>
                <w:rFonts w:ascii="Liberation Serif" w:hAnsi="Liberation Serif"/>
                <w:b w:val="false"/>
                <w:bCs w:val="false"/>
                <w:i w:val="false"/>
                <w:iCs w:val="false"/>
                <w:strike w:val="false"/>
                <w:dstrike w:val="false"/>
                <w:outline w:val="false"/>
                <w:shadow w:val="false"/>
                <w:color w:val="auto"/>
                <w:sz w:val="22"/>
                <w:szCs w:val="24"/>
                <w:u w:val="none"/>
              </w:rPr>
              <w:t>4.93%</w:t>
            </w:r>
          </w:p>
        </w:tc>
        <w:tc>
          <w:tcPr>
            <w:tcW w:w="1258"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3" w:before="0" w:after="140"/>
              <w:ind w:hanging="0" w:start="0" w:end="0"/>
              <w:jc w:val="start"/>
              <w:rPr>
                <w:rFonts w:ascii="Liberation Serif" w:hAnsi="Liberation Serif"/>
                <w:b w:val="false"/>
                <w:bCs w:val="false"/>
                <w:i w:val="false"/>
                <w:i w:val="false"/>
                <w:iCs w:val="false"/>
                <w:strike w:val="false"/>
                <w:dstrike w:val="false"/>
                <w:outline w:val="false"/>
                <w:shadow w:val="false"/>
                <w:color w:val="auto"/>
                <w:sz w:val="22"/>
                <w:szCs w:val="24"/>
                <w:u w:val="none"/>
              </w:rPr>
            </w:pPr>
            <w:r>
              <w:rPr>
                <w:rFonts w:ascii="Liberation Serif" w:hAnsi="Liberation Serif"/>
                <w:b w:val="false"/>
                <w:bCs w:val="false"/>
                <w:i w:val="false"/>
                <w:iCs w:val="false"/>
                <w:strike w:val="false"/>
                <w:dstrike w:val="false"/>
                <w:outline w:val="false"/>
                <w:shadow w:val="false"/>
                <w:color w:val="auto"/>
                <w:sz w:val="22"/>
                <w:szCs w:val="24"/>
                <w:u w:val="none"/>
              </w:rPr>
              <w:t>8.42%</w:t>
            </w:r>
          </w:p>
        </w:tc>
        <w:tc>
          <w:tcPr>
            <w:tcW w:w="1521"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3" w:before="0" w:after="140"/>
              <w:ind w:hanging="0" w:start="0" w:end="0"/>
              <w:jc w:val="start"/>
              <w:rPr>
                <w:rFonts w:ascii="Liberation Serif" w:hAnsi="Liberation Serif"/>
                <w:b w:val="false"/>
                <w:bCs w:val="false"/>
                <w:i w:val="false"/>
                <w:i w:val="false"/>
                <w:iCs w:val="false"/>
                <w:strike w:val="false"/>
                <w:dstrike w:val="false"/>
                <w:outline w:val="false"/>
                <w:shadow w:val="false"/>
                <w:color w:val="auto"/>
                <w:sz w:val="22"/>
                <w:szCs w:val="24"/>
                <w:u w:val="none"/>
              </w:rPr>
            </w:pPr>
            <w:r>
              <w:rPr>
                <w:rFonts w:ascii="Liberation Serif" w:hAnsi="Liberation Serif"/>
                <w:b w:val="false"/>
                <w:bCs w:val="false"/>
                <w:i w:val="false"/>
                <w:iCs w:val="false"/>
                <w:strike w:val="false"/>
                <w:dstrike w:val="false"/>
                <w:outline w:val="false"/>
                <w:shadow w:val="false"/>
                <w:color w:val="auto"/>
                <w:sz w:val="22"/>
                <w:szCs w:val="24"/>
                <w:u w:val="none"/>
              </w:rPr>
              <w:t>206.0</w:t>
            </w:r>
          </w:p>
        </w:tc>
        <w:tc>
          <w:tcPr>
            <w:tcW w:w="1978"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3" w:before="0" w:after="140"/>
              <w:ind w:hanging="0" w:start="0" w:end="0"/>
              <w:jc w:val="start"/>
              <w:rPr>
                <w:rFonts w:ascii="Liberation Serif" w:hAnsi="Liberation Serif"/>
                <w:b w:val="false"/>
                <w:bCs w:val="false"/>
                <w:i w:val="false"/>
                <w:i w:val="false"/>
                <w:iCs w:val="false"/>
                <w:strike w:val="false"/>
                <w:dstrike w:val="false"/>
                <w:outline w:val="false"/>
                <w:shadow w:val="false"/>
                <w:color w:val="auto"/>
                <w:sz w:val="22"/>
                <w:szCs w:val="24"/>
                <w:u w:val="none"/>
              </w:rPr>
            </w:pPr>
            <w:r>
              <w:rPr>
                <w:rFonts w:ascii="Liberation Serif" w:hAnsi="Liberation Serif"/>
                <w:b w:val="false"/>
                <w:bCs w:val="false"/>
                <w:i w:val="false"/>
                <w:iCs w:val="false"/>
                <w:strike w:val="false"/>
                <w:dstrike w:val="false"/>
                <w:outline w:val="false"/>
                <w:shadow w:val="false"/>
                <w:color w:val="auto"/>
                <w:sz w:val="22"/>
                <w:szCs w:val="24"/>
                <w:u w:val="none"/>
              </w:rPr>
              <w:t>9.67% (8.69 – 10.71%)</w:t>
            </w:r>
          </w:p>
        </w:tc>
      </w:tr>
      <w:tr>
        <w:trPr/>
        <w:tc>
          <w:tcPr>
            <w:tcW w:w="1351"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3" w:before="0" w:after="140"/>
              <w:ind w:hanging="0" w:start="0" w:end="0"/>
              <w:jc w:val="start"/>
              <w:rPr>
                <w:rFonts w:ascii="Liberation Serif" w:hAnsi="Liberation Serif"/>
                <w:b/>
                <w:bCs w:val="false"/>
                <w:i w:val="false"/>
                <w:i w:val="false"/>
                <w:iCs w:val="false"/>
                <w:strike w:val="false"/>
                <w:dstrike w:val="false"/>
                <w:outline w:val="false"/>
                <w:shadow w:val="false"/>
                <w:color w:val="auto"/>
                <w:sz w:val="22"/>
                <w:szCs w:val="24"/>
                <w:u w:val="none"/>
              </w:rPr>
            </w:pPr>
            <w:r>
              <w:rPr>
                <w:rFonts w:ascii="Liberation Serif" w:hAnsi="Liberation Serif"/>
                <w:b/>
                <w:bCs w:val="false"/>
                <w:i w:val="false"/>
                <w:iCs w:val="false"/>
                <w:strike w:val="false"/>
                <w:dstrike w:val="false"/>
                <w:outline w:val="false"/>
                <w:shadow w:val="false"/>
                <w:color w:val="auto"/>
                <w:sz w:val="22"/>
                <w:szCs w:val="24"/>
                <w:u w:val="none"/>
              </w:rPr>
              <w:t>80+ years</w:t>
            </w:r>
          </w:p>
        </w:tc>
        <w:tc>
          <w:tcPr>
            <w:tcW w:w="1041"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3" w:before="0" w:after="140"/>
              <w:ind w:hanging="0" w:start="0" w:end="0"/>
              <w:jc w:val="start"/>
              <w:rPr>
                <w:rFonts w:ascii="Liberation Serif" w:hAnsi="Liberation Serif"/>
                <w:b w:val="false"/>
                <w:bCs w:val="false"/>
                <w:i w:val="false"/>
                <w:i w:val="false"/>
                <w:iCs w:val="false"/>
                <w:strike w:val="false"/>
                <w:dstrike w:val="false"/>
                <w:outline w:val="false"/>
                <w:shadow w:val="false"/>
                <w:color w:val="auto"/>
                <w:sz w:val="22"/>
                <w:szCs w:val="24"/>
                <w:u w:val="none"/>
              </w:rPr>
            </w:pPr>
            <w:r>
              <w:rPr>
                <w:rFonts w:ascii="Liberation Serif" w:hAnsi="Liberation Serif"/>
                <w:b w:val="false"/>
                <w:bCs w:val="false"/>
                <w:i w:val="false"/>
                <w:iCs w:val="false"/>
                <w:strike w:val="false"/>
                <w:dstrike w:val="false"/>
                <w:outline w:val="false"/>
                <w:shadow w:val="false"/>
                <w:color w:val="auto"/>
                <w:sz w:val="22"/>
                <w:szCs w:val="24"/>
                <w:u w:val="none"/>
              </w:rPr>
              <w:t>1,533</w:t>
            </w:r>
          </w:p>
        </w:tc>
        <w:tc>
          <w:tcPr>
            <w:tcW w:w="1231"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3" w:before="0" w:after="140"/>
              <w:ind w:hanging="0" w:start="0" w:end="0"/>
              <w:jc w:val="start"/>
              <w:rPr>
                <w:rFonts w:ascii="Liberation Serif" w:hAnsi="Liberation Serif"/>
                <w:b w:val="false"/>
                <w:bCs w:val="false"/>
                <w:i w:val="false"/>
                <w:i w:val="false"/>
                <w:iCs w:val="false"/>
                <w:strike w:val="false"/>
                <w:dstrike w:val="false"/>
                <w:outline w:val="false"/>
                <w:shadow w:val="false"/>
                <w:color w:val="auto"/>
                <w:sz w:val="22"/>
                <w:szCs w:val="24"/>
                <w:u w:val="none"/>
              </w:rPr>
            </w:pPr>
            <w:r>
              <w:rPr>
                <w:rFonts w:ascii="Liberation Serif" w:hAnsi="Liberation Serif"/>
                <w:b w:val="false"/>
                <w:bCs w:val="false"/>
                <w:i w:val="false"/>
                <w:iCs w:val="false"/>
                <w:strike w:val="false"/>
                <w:dstrike w:val="false"/>
                <w:outline w:val="false"/>
                <w:shadow w:val="false"/>
                <w:color w:val="auto"/>
                <w:sz w:val="22"/>
                <w:szCs w:val="24"/>
                <w:u w:val="none"/>
              </w:rPr>
              <w:t>11.02%</w:t>
            </w:r>
          </w:p>
        </w:tc>
        <w:tc>
          <w:tcPr>
            <w:tcW w:w="1258"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3" w:before="0" w:after="140"/>
              <w:ind w:hanging="0" w:start="0" w:end="0"/>
              <w:jc w:val="start"/>
              <w:rPr>
                <w:rFonts w:ascii="Liberation Serif" w:hAnsi="Liberation Serif"/>
                <w:b w:val="false"/>
                <w:bCs w:val="false"/>
                <w:i w:val="false"/>
                <w:i w:val="false"/>
                <w:iCs w:val="false"/>
                <w:strike w:val="false"/>
                <w:dstrike w:val="false"/>
                <w:outline w:val="false"/>
                <w:shadow w:val="false"/>
                <w:color w:val="auto"/>
                <w:sz w:val="22"/>
                <w:szCs w:val="24"/>
                <w:u w:val="none"/>
              </w:rPr>
            </w:pPr>
            <w:r>
              <w:rPr>
                <w:rFonts w:ascii="Liberation Serif" w:hAnsi="Liberation Serif"/>
                <w:b w:val="false"/>
                <w:bCs w:val="false"/>
                <w:i w:val="false"/>
                <w:iCs w:val="false"/>
                <w:strike w:val="false"/>
                <w:dstrike w:val="false"/>
                <w:outline w:val="false"/>
                <w:shadow w:val="false"/>
                <w:color w:val="auto"/>
                <w:sz w:val="22"/>
                <w:szCs w:val="24"/>
                <w:u w:val="none"/>
              </w:rPr>
              <w:t>NR^b</w:t>
            </w:r>
          </w:p>
        </w:tc>
        <w:tc>
          <w:tcPr>
            <w:tcW w:w="1258"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3" w:before="0" w:after="140"/>
              <w:ind w:hanging="0" w:start="0" w:end="0"/>
              <w:jc w:val="start"/>
              <w:rPr>
                <w:rFonts w:ascii="Liberation Serif" w:hAnsi="Liberation Serif"/>
                <w:b w:val="false"/>
                <w:bCs w:val="false"/>
                <w:i w:val="false"/>
                <w:i w:val="false"/>
                <w:iCs w:val="false"/>
                <w:strike w:val="false"/>
                <w:dstrike w:val="false"/>
                <w:outline w:val="false"/>
                <w:shadow w:val="false"/>
                <w:color w:val="auto"/>
                <w:sz w:val="22"/>
                <w:szCs w:val="24"/>
                <w:u w:val="none"/>
              </w:rPr>
            </w:pPr>
            <w:r>
              <w:rPr>
                <w:rFonts w:ascii="Liberation Serif" w:hAnsi="Liberation Serif"/>
                <w:b w:val="false"/>
                <w:bCs w:val="false"/>
                <w:i w:val="false"/>
                <w:iCs w:val="false"/>
                <w:strike w:val="false"/>
                <w:dstrike w:val="false"/>
                <w:outline w:val="false"/>
                <w:shadow w:val="false"/>
                <w:color w:val="auto"/>
                <w:sz w:val="22"/>
                <w:szCs w:val="24"/>
                <w:u w:val="none"/>
              </w:rPr>
              <w:t>NR^b</w:t>
            </w:r>
          </w:p>
        </w:tc>
        <w:tc>
          <w:tcPr>
            <w:tcW w:w="1521"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3" w:before="0" w:after="140"/>
              <w:ind w:hanging="0" w:start="0" w:end="0"/>
              <w:jc w:val="start"/>
              <w:rPr>
                <w:rFonts w:ascii="Liberation Serif" w:hAnsi="Liberation Serif"/>
                <w:b w:val="false"/>
                <w:bCs w:val="false"/>
                <w:i w:val="false"/>
                <w:i w:val="false"/>
                <w:iCs w:val="false"/>
                <w:strike w:val="false"/>
                <w:dstrike w:val="false"/>
                <w:outline w:val="false"/>
                <w:shadow w:val="false"/>
                <w:color w:val="auto"/>
                <w:sz w:val="22"/>
                <w:szCs w:val="24"/>
                <w:u w:val="none"/>
              </w:rPr>
            </w:pPr>
            <w:r>
              <w:rPr>
                <w:rFonts w:ascii="Liberation Serif" w:hAnsi="Liberation Serif"/>
                <w:b w:val="false"/>
                <w:bCs w:val="false"/>
                <w:i w:val="false"/>
                <w:iCs w:val="false"/>
                <w:strike w:val="false"/>
                <w:dstrike w:val="false"/>
                <w:outline w:val="false"/>
                <w:shadow w:val="false"/>
                <w:color w:val="auto"/>
                <w:sz w:val="22"/>
                <w:szCs w:val="24"/>
                <w:u w:val="none"/>
              </w:rPr>
              <w:t>110.0</w:t>
            </w:r>
          </w:p>
        </w:tc>
        <w:tc>
          <w:tcPr>
            <w:tcW w:w="1978"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3" w:before="0" w:after="140"/>
              <w:ind w:hanging="0" w:start="0" w:end="0"/>
              <w:jc w:val="start"/>
              <w:rPr>
                <w:rFonts w:ascii="Liberation Serif" w:hAnsi="Liberation Serif"/>
                <w:b w:val="false"/>
                <w:bCs w:val="false"/>
                <w:i w:val="false"/>
                <w:i w:val="false"/>
                <w:iCs w:val="false"/>
                <w:strike w:val="false"/>
                <w:dstrike w:val="false"/>
                <w:outline w:val="false"/>
                <w:shadow w:val="false"/>
                <w:color w:val="auto"/>
                <w:sz w:val="22"/>
                <w:szCs w:val="24"/>
                <w:u w:val="none"/>
              </w:rPr>
            </w:pPr>
            <w:r>
              <w:rPr>
                <w:rFonts w:ascii="Liberation Serif" w:hAnsi="Liberation Serif"/>
                <w:b w:val="false"/>
                <w:bCs w:val="false"/>
                <w:i w:val="false"/>
                <w:iCs w:val="false"/>
                <w:strike w:val="false"/>
                <w:dstrike w:val="false"/>
                <w:outline w:val="false"/>
                <w:shadow w:val="false"/>
                <w:color w:val="auto"/>
                <w:sz w:val="22"/>
                <w:szCs w:val="24"/>
                <w:u w:val="none"/>
              </w:rPr>
              <w:t>16.41% (14.36 – 18.58%)</w:t>
            </w:r>
          </w:p>
        </w:tc>
      </w:tr>
    </w:tbl>
    <w:p>
      <w:pPr>
        <w:pStyle w:val="BodyText"/>
        <w:bidi w:val="0"/>
        <w:spacing w:lineRule="auto" w:line="271" w:before="0" w:after="120"/>
        <w:ind w:hanging="0" w:start="0" w:end="0"/>
        <w:jc w:val="start"/>
        <w:rPr>
          <w:rFonts w:ascii="Google Sans Text;sans-serif" w:hAnsi="Google Sans Text;sans-serif"/>
          <w:color w:val="auto"/>
        </w:rPr>
      </w:pPr>
      <w:r>
        <w:rPr>
          <w:rFonts w:ascii="Google Sans Text;sans-serif" w:hAnsi="Google Sans Text;sans-serif"/>
          <w:color w:val="auto"/>
        </w:rPr>
      </w:r>
    </w:p>
    <w:p>
      <w:pPr>
        <w:pStyle w:val="BodyText"/>
        <w:bidi w:val="0"/>
        <w:spacing w:lineRule="auto" w:line="271" w:before="0" w:after="120"/>
        <w:ind w:hanging="0" w:start="0" w:end="0"/>
        <w:jc w:val="start"/>
        <w:rPr>
          <w:rFonts w:ascii="Google Sans Text;sans-serif" w:hAnsi="Google Sans Text;sans-serif"/>
          <w:color w:val="auto"/>
        </w:rPr>
      </w:pPr>
      <w:r>
        <w:rPr>
          <w:rFonts w:ascii="Google Sans Text;sans-serif" w:hAnsi="Google Sans Text;sans-serif"/>
          <w:color w:val="auto"/>
        </w:rPr>
      </w:r>
    </w:p>
    <w:p>
      <w:pPr>
        <w:pStyle w:val="BodyText"/>
        <w:bidi w:val="0"/>
        <w:spacing w:lineRule="auto" w:line="271" w:before="0" w:after="120"/>
        <w:ind w:hanging="0" w:start="0" w:end="0"/>
        <w:jc w:val="start"/>
        <w:rPr>
          <w:rFonts w:ascii="Google Sans Text;sans-serif" w:hAnsi="Google Sans Text;sans-serif"/>
          <w:color w:val="auto"/>
        </w:rPr>
      </w:pPr>
      <w:r>
        <w:rPr/>
      </w:r>
    </w:p>
    <w:tbl>
      <w:tblPr>
        <w:tblW w:w="8589" w:type="dxa"/>
        <w:jc w:val="start"/>
        <w:tblInd w:w="0" w:type="dxa"/>
        <w:tblLayout w:type="fixed"/>
        <w:tblCellMar>
          <w:top w:w="28" w:type="dxa"/>
          <w:start w:w="28" w:type="dxa"/>
          <w:bottom w:w="28" w:type="dxa"/>
          <w:end w:w="28" w:type="dxa"/>
        </w:tblCellMar>
      </w:tblPr>
      <w:tblGrid>
        <w:gridCol w:w="1464"/>
        <w:gridCol w:w="2273"/>
        <w:gridCol w:w="2404"/>
        <w:gridCol w:w="2447"/>
      </w:tblGrid>
      <w:tr>
        <w:trPr>
          <w:tblHeader w:val="true"/>
        </w:trPr>
        <w:tc>
          <w:tcPr>
            <w:tcW w:w="146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0"/>
              <w:ind w:hanging="0" w:start="0" w:end="0"/>
              <w:rPr>
                <w:b w:val="false"/>
                <w:bCs w:val="false"/>
                <w:i w:val="false"/>
                <w:i w:val="false"/>
                <w:iCs w:val="false"/>
                <w:sz w:val="24"/>
                <w:szCs w:val="24"/>
              </w:rPr>
            </w:pPr>
            <w:r>
              <w:rPr>
                <w:rStyle w:val="Strong"/>
                <w:rFonts w:ascii="Liberation Serif" w:hAnsi="Liberation Serif"/>
                <w:iCs w:val="false"/>
                <w:color w:val="auto"/>
                <w:szCs w:val="24"/>
              </w:rPr>
              <w:t>Age Groups</w:t>
            </w:r>
          </w:p>
        </w:tc>
        <w:tc>
          <w:tcPr>
            <w:tcW w:w="2273"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0"/>
              <w:ind w:hanging="0" w:start="0" w:end="0"/>
              <w:rPr>
                <w:b w:val="false"/>
                <w:bCs w:val="false"/>
                <w:i w:val="false"/>
                <w:i w:val="false"/>
                <w:iCs w:val="false"/>
                <w:sz w:val="24"/>
                <w:szCs w:val="24"/>
              </w:rPr>
            </w:pPr>
            <w:r>
              <w:rPr>
                <w:rStyle w:val="Strong"/>
                <w:rFonts w:ascii="Liberation Serif" w:hAnsi="Liberation Serif"/>
                <w:iCs w:val="false"/>
                <w:color w:val="auto"/>
                <w:szCs w:val="24"/>
              </w:rPr>
              <w:t>Year 10 (60 months%)</w:t>
            </w:r>
          </w:p>
        </w:tc>
        <w:tc>
          <w:tcPr>
            <w:tcW w:w="240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0"/>
              <w:ind w:hanging="0" w:start="0" w:end="0"/>
              <w:rPr>
                <w:b w:val="false"/>
                <w:bCs w:val="false"/>
                <w:i w:val="false"/>
                <w:i w:val="false"/>
                <w:iCs w:val="false"/>
                <w:sz w:val="24"/>
                <w:szCs w:val="24"/>
              </w:rPr>
            </w:pPr>
            <w:r>
              <w:rPr>
                <w:rStyle w:val="Strong"/>
                <w:rFonts w:ascii="Liberation Serif" w:hAnsi="Liberation Serif"/>
                <w:iCs w:val="false"/>
                <w:color w:val="auto"/>
                <w:szCs w:val="24"/>
              </w:rPr>
              <w:t>Year 15 (120 months%)</w:t>
            </w:r>
          </w:p>
        </w:tc>
        <w:tc>
          <w:tcPr>
            <w:tcW w:w="2447"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0"/>
              <w:ind w:hanging="0" w:start="0" w:end="0"/>
              <w:rPr>
                <w:b w:val="false"/>
                <w:bCs w:val="false"/>
                <w:i w:val="false"/>
                <w:i w:val="false"/>
                <w:iCs w:val="false"/>
                <w:sz w:val="24"/>
                <w:szCs w:val="24"/>
              </w:rPr>
            </w:pPr>
            <w:r>
              <w:rPr>
                <w:rStyle w:val="Strong"/>
                <w:rFonts w:ascii="Liberation Serif" w:hAnsi="Liberation Serif"/>
                <w:iCs w:val="false"/>
                <w:color w:val="auto"/>
                <w:szCs w:val="24"/>
              </w:rPr>
              <w:t>Year 20 (180 months%)</w:t>
            </w:r>
          </w:p>
        </w:tc>
      </w:tr>
      <w:tr>
        <w:trPr/>
        <w:tc>
          <w:tcPr>
            <w:tcW w:w="146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bCs w:val="false"/>
                <w:i w:val="false"/>
                <w:i w:val="false"/>
                <w:iCs w:val="false"/>
                <w:sz w:val="24"/>
                <w:szCs w:val="24"/>
              </w:rPr>
            </w:pPr>
            <w:r>
              <w:rPr>
                <w:rFonts w:ascii="Liberation Serif" w:hAnsi="Liberation Serif"/>
                <w:b w:val="false"/>
                <w:bCs w:val="false"/>
                <w:iCs w:val="false"/>
                <w:color w:val="auto"/>
                <w:szCs w:val="24"/>
              </w:rPr>
              <w:t>20 - 39 years</w:t>
            </w:r>
          </w:p>
        </w:tc>
        <w:tc>
          <w:tcPr>
            <w:tcW w:w="2273"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i w:val="false"/>
                <w:i w:val="false"/>
                <w:iCs w:val="false"/>
                <w:sz w:val="24"/>
                <w:szCs w:val="24"/>
              </w:rPr>
            </w:pPr>
            <w:r>
              <w:rPr>
                <w:rFonts w:ascii="Liberation Serif" w:hAnsi="Liberation Serif"/>
                <w:b w:val="false"/>
                <w:bCs w:val="false"/>
                <w:iCs w:val="false"/>
                <w:color w:val="auto"/>
                <w:szCs w:val="24"/>
              </w:rPr>
              <w:t>0.15%</w:t>
            </w:r>
          </w:p>
        </w:tc>
        <w:tc>
          <w:tcPr>
            <w:tcW w:w="240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i w:val="false"/>
                <w:i w:val="false"/>
                <w:iCs w:val="false"/>
                <w:sz w:val="24"/>
                <w:szCs w:val="24"/>
              </w:rPr>
            </w:pPr>
            <w:r>
              <w:rPr>
                <w:rFonts w:ascii="Liberation Serif" w:hAnsi="Liberation Serif"/>
                <w:b w:val="false"/>
                <w:bCs w:val="false"/>
                <w:iCs w:val="false"/>
                <w:color w:val="auto"/>
                <w:szCs w:val="24"/>
              </w:rPr>
              <w:t>0.33%</w:t>
            </w:r>
          </w:p>
        </w:tc>
        <w:tc>
          <w:tcPr>
            <w:tcW w:w="2447"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i w:val="false"/>
                <w:i w:val="false"/>
                <w:iCs w:val="false"/>
                <w:sz w:val="24"/>
                <w:szCs w:val="24"/>
              </w:rPr>
            </w:pPr>
            <w:r>
              <w:rPr>
                <w:rFonts w:ascii="Liberation Serif" w:hAnsi="Liberation Serif"/>
                <w:b w:val="false"/>
                <w:bCs w:val="false"/>
                <w:iCs w:val="false"/>
                <w:color w:val="auto"/>
                <w:szCs w:val="24"/>
              </w:rPr>
              <w:t>0.66%</w:t>
            </w:r>
          </w:p>
        </w:tc>
      </w:tr>
      <w:tr>
        <w:trPr/>
        <w:tc>
          <w:tcPr>
            <w:tcW w:w="146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bCs w:val="false"/>
                <w:i w:val="false"/>
                <w:i w:val="false"/>
                <w:iCs w:val="false"/>
                <w:sz w:val="24"/>
                <w:szCs w:val="24"/>
              </w:rPr>
            </w:pPr>
            <w:r>
              <w:rPr>
                <w:rFonts w:ascii="Liberation Serif" w:hAnsi="Liberation Serif"/>
                <w:b w:val="false"/>
                <w:bCs w:val="false"/>
                <w:iCs w:val="false"/>
                <w:color w:val="auto"/>
                <w:szCs w:val="24"/>
              </w:rPr>
              <w:t>40 - 59 years</w:t>
            </w:r>
          </w:p>
        </w:tc>
        <w:tc>
          <w:tcPr>
            <w:tcW w:w="2273"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i w:val="false"/>
                <w:i w:val="false"/>
                <w:iCs w:val="false"/>
                <w:sz w:val="24"/>
                <w:szCs w:val="24"/>
              </w:rPr>
            </w:pPr>
            <w:r>
              <w:rPr>
                <w:rFonts w:ascii="Liberation Serif" w:hAnsi="Liberation Serif"/>
                <w:b w:val="false"/>
                <w:bCs w:val="false"/>
                <w:iCs w:val="false"/>
                <w:color w:val="auto"/>
                <w:szCs w:val="24"/>
              </w:rPr>
              <w:t>0.47%</w:t>
            </w:r>
          </w:p>
        </w:tc>
        <w:tc>
          <w:tcPr>
            <w:tcW w:w="240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i w:val="false"/>
                <w:i w:val="false"/>
                <w:iCs w:val="false"/>
                <w:sz w:val="24"/>
                <w:szCs w:val="24"/>
              </w:rPr>
            </w:pPr>
            <w:r>
              <w:rPr>
                <w:rFonts w:ascii="Liberation Serif" w:hAnsi="Liberation Serif"/>
                <w:b w:val="false"/>
                <w:bCs w:val="false"/>
                <w:iCs w:val="false"/>
                <w:color w:val="auto"/>
                <w:szCs w:val="24"/>
              </w:rPr>
              <w:t>1.13%</w:t>
            </w:r>
          </w:p>
        </w:tc>
        <w:tc>
          <w:tcPr>
            <w:tcW w:w="2447"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i w:val="false"/>
                <w:i w:val="false"/>
                <w:iCs w:val="false"/>
                <w:sz w:val="24"/>
                <w:szCs w:val="24"/>
              </w:rPr>
            </w:pPr>
            <w:r>
              <w:rPr>
                <w:rFonts w:ascii="Liberation Serif" w:hAnsi="Liberation Serif"/>
                <w:b w:val="false"/>
                <w:bCs w:val="false"/>
                <w:iCs w:val="false"/>
                <w:color w:val="auto"/>
                <w:szCs w:val="24"/>
              </w:rPr>
              <w:t>2.14%</w:t>
            </w:r>
          </w:p>
        </w:tc>
      </w:tr>
      <w:tr>
        <w:trPr/>
        <w:tc>
          <w:tcPr>
            <w:tcW w:w="146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bCs w:val="false"/>
                <w:i w:val="false"/>
                <w:i w:val="false"/>
                <w:iCs w:val="false"/>
                <w:sz w:val="24"/>
                <w:szCs w:val="24"/>
              </w:rPr>
            </w:pPr>
            <w:r>
              <w:rPr>
                <w:rFonts w:ascii="Liberation Serif" w:hAnsi="Liberation Serif"/>
                <w:b w:val="false"/>
                <w:bCs w:val="false"/>
                <w:iCs w:val="false"/>
                <w:color w:val="auto"/>
                <w:szCs w:val="24"/>
              </w:rPr>
              <w:t>60 - 79 years</w:t>
            </w:r>
          </w:p>
        </w:tc>
        <w:tc>
          <w:tcPr>
            <w:tcW w:w="2273"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i w:val="false"/>
                <w:i w:val="false"/>
                <w:iCs w:val="false"/>
                <w:sz w:val="24"/>
                <w:szCs w:val="24"/>
              </w:rPr>
            </w:pPr>
            <w:r>
              <w:rPr>
                <w:rFonts w:ascii="Liberation Serif" w:hAnsi="Liberation Serif"/>
                <w:b w:val="false"/>
                <w:bCs w:val="false"/>
                <w:iCs w:val="false"/>
                <w:color w:val="auto"/>
                <w:szCs w:val="24"/>
              </w:rPr>
              <w:t>2.99%</w:t>
            </w:r>
          </w:p>
        </w:tc>
        <w:tc>
          <w:tcPr>
            <w:tcW w:w="240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i w:val="false"/>
                <w:i w:val="false"/>
                <w:iCs w:val="false"/>
                <w:sz w:val="24"/>
                <w:szCs w:val="24"/>
              </w:rPr>
            </w:pPr>
            <w:r>
              <w:rPr>
                <w:rFonts w:ascii="Liberation Serif" w:hAnsi="Liberation Serif"/>
                <w:b w:val="false"/>
                <w:bCs w:val="false"/>
                <w:iCs w:val="false"/>
                <w:color w:val="auto"/>
                <w:szCs w:val="24"/>
              </w:rPr>
              <w:t>7.19%</w:t>
            </w:r>
          </w:p>
        </w:tc>
        <w:tc>
          <w:tcPr>
            <w:tcW w:w="2447"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i w:val="false"/>
                <w:i w:val="false"/>
                <w:iCs w:val="false"/>
                <w:sz w:val="24"/>
                <w:szCs w:val="24"/>
              </w:rPr>
            </w:pPr>
            <w:r>
              <w:rPr>
                <w:rFonts w:ascii="Liberation Serif" w:hAnsi="Liberation Serif"/>
                <w:b w:val="false"/>
                <w:bCs w:val="false"/>
                <w:iCs w:val="false"/>
                <w:color w:val="auto"/>
                <w:szCs w:val="24"/>
              </w:rPr>
              <w:t>12.11%</w:t>
            </w:r>
          </w:p>
        </w:tc>
      </w:tr>
      <w:tr>
        <w:trPr/>
        <w:tc>
          <w:tcPr>
            <w:tcW w:w="146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bCs w:val="false"/>
                <w:i w:val="false"/>
                <w:i w:val="false"/>
                <w:iCs w:val="false"/>
                <w:sz w:val="24"/>
                <w:szCs w:val="24"/>
              </w:rPr>
            </w:pPr>
            <w:r>
              <w:rPr>
                <w:rFonts w:ascii="Liberation Serif" w:hAnsi="Liberation Serif"/>
                <w:b w:val="false"/>
                <w:bCs w:val="false"/>
                <w:iCs w:val="false"/>
                <w:color w:val="auto"/>
                <w:szCs w:val="24"/>
              </w:rPr>
              <w:t>80+ years</w:t>
            </w:r>
          </w:p>
        </w:tc>
        <w:tc>
          <w:tcPr>
            <w:tcW w:w="2273"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i w:val="false"/>
                <w:i w:val="false"/>
                <w:iCs w:val="false"/>
                <w:sz w:val="24"/>
                <w:szCs w:val="24"/>
              </w:rPr>
            </w:pPr>
            <w:r>
              <w:rPr>
                <w:rFonts w:ascii="Liberation Serif" w:hAnsi="Liberation Serif"/>
                <w:b w:val="false"/>
                <w:bCs w:val="false"/>
                <w:iCs w:val="false"/>
                <w:color w:val="auto"/>
                <w:szCs w:val="24"/>
              </w:rPr>
              <w:t>15.21%</w:t>
            </w:r>
          </w:p>
        </w:tc>
        <w:tc>
          <w:tcPr>
            <w:tcW w:w="240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i w:val="false"/>
                <w:i w:val="false"/>
                <w:iCs w:val="false"/>
                <w:sz w:val="24"/>
                <w:szCs w:val="24"/>
              </w:rPr>
            </w:pPr>
            <w:r>
              <w:rPr>
                <w:rFonts w:ascii="Liberation Serif" w:hAnsi="Liberation Serif"/>
                <w:b w:val="false"/>
                <w:bCs w:val="false"/>
                <w:iCs w:val="false"/>
                <w:color w:val="auto"/>
                <w:szCs w:val="24"/>
              </w:rPr>
              <w:t>23.97%</w:t>
            </w:r>
          </w:p>
        </w:tc>
        <w:tc>
          <w:tcPr>
            <w:tcW w:w="2447"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i w:val="false"/>
                <w:i w:val="false"/>
                <w:iCs w:val="false"/>
                <w:sz w:val="24"/>
                <w:szCs w:val="24"/>
              </w:rPr>
            </w:pPr>
            <w:r>
              <w:rPr>
                <w:rFonts w:ascii="Liberation Serif" w:hAnsi="Liberation Serif"/>
                <w:b w:val="false"/>
                <w:bCs w:val="false"/>
                <w:iCs w:val="false"/>
                <w:color w:val="auto"/>
                <w:szCs w:val="24"/>
              </w:rPr>
              <w:t>26.95%</w:t>
            </w:r>
          </w:p>
        </w:tc>
      </w:tr>
    </w:tbl>
    <w:p>
      <w:pPr>
        <w:pStyle w:val="BodyText"/>
        <w:bidi w:val="0"/>
        <w:spacing w:lineRule="auto" w:line="271" w:before="0" w:after="120"/>
        <w:ind w:hanging="0" w:start="0" w:end="0"/>
        <w:jc w:val="start"/>
        <w:rPr>
          <w:rFonts w:ascii="Google Sans Text;sans-serif" w:hAnsi="Google Sans Text;sans-serif"/>
          <w:color w:val="auto"/>
        </w:rPr>
      </w:pPr>
      <w:r>
        <w:rPr>
          <w:rFonts w:ascii="Google Sans Text;sans-serif" w:hAnsi="Google Sans Text;sans-serif"/>
          <w:color w:val="auto"/>
        </w:rPr>
      </w:r>
    </w:p>
    <w:p>
      <w:pPr>
        <w:pStyle w:val="Heading3"/>
        <w:widowControl/>
        <w:shd w:val="clear" w:fill="auto"/>
        <w:spacing w:lineRule="auto" w:line="276" w:before="0" w:after="0"/>
        <w:ind w:hanging="0" w:start="0" w:end="0"/>
        <w:jc w:val="start"/>
        <w:rPr>
          <w:rFonts w:ascii="Google Sans;sans-serif" w:hAnsi="Google Sans;sans-serif" w:eastAsia="Liberation Serif" w:cs="Liberation Serif"/>
          <w:b/>
          <w:bCs/>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Liberation Serif" w:cs="Liberation Serif" w:ascii="Liberation Serif" w:hAnsi="Liberation Serif"/>
          <w:b/>
          <w:bCs/>
          <w:i w:val="false"/>
          <w:iCs w:val="false"/>
          <w:caps w:val="false"/>
          <w:smallCaps w:val="false"/>
          <w:strike w:val="false"/>
          <w:dstrike w:val="false"/>
          <w:color w:val="000000"/>
          <w:position w:val="0"/>
          <w:sz w:val="22"/>
          <w:sz w:val="22"/>
          <w:szCs w:val="22"/>
          <w:u w:val="none"/>
          <w:shd w:fill="auto" w:val="clear"/>
          <w:vertAlign w:val="baseline"/>
        </w:rPr>
        <w:t xml:space="preserve">Table 1: </w:t>
      </w:r>
      <w:r>
        <w:rPr>
          <w:rFonts w:eastAsia="Liberation Serif" w:cs="Liberation Serif" w:ascii="Liberation Serif" w:hAnsi="Liberation Serif"/>
          <w:b w:val="false"/>
          <w:bCs w:val="false"/>
          <w:i w:val="false"/>
          <w:iCs w:val="false"/>
          <w:caps w:val="false"/>
          <w:smallCaps w:val="false"/>
          <w:strike w:val="false"/>
          <w:dstrike w:val="false"/>
          <w:color w:val="000000"/>
          <w:position w:val="0"/>
          <w:sz w:val="22"/>
          <w:sz w:val="22"/>
          <w:szCs w:val="22"/>
          <w:u w:val="none"/>
          <w:shd w:fill="auto" w:val="clear"/>
          <w:vertAlign w:val="baseline"/>
        </w:rPr>
        <w:t>Fine-Gray Subdistribution Hazard Analysis of Cardiovascular Mortality by Age</w:t>
      </w:r>
    </w:p>
    <w:tbl>
      <w:tblPr>
        <w:tblW w:w="8405" w:type="dxa"/>
        <w:jc w:val="start"/>
        <w:tblInd w:w="0" w:type="dxa"/>
        <w:tblLayout w:type="fixed"/>
        <w:tblCellMar>
          <w:top w:w="0" w:type="dxa"/>
          <w:start w:w="0" w:type="dxa"/>
          <w:bottom w:w="0" w:type="dxa"/>
          <w:end w:w="0" w:type="dxa"/>
        </w:tblCellMar>
      </w:tblPr>
      <w:tblGrid>
        <w:gridCol w:w="1949"/>
        <w:gridCol w:w="3916"/>
        <w:gridCol w:w="1580"/>
        <w:gridCol w:w="959"/>
      </w:tblGrid>
      <w:tr>
        <w:trPr/>
        <w:tc>
          <w:tcPr>
            <w:tcW w:w="1949"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2"/>
                <w:szCs w:val="22"/>
                <w:u w:val="none"/>
              </w:rPr>
              <w:t>Age at Diagnosis</w:t>
            </w:r>
          </w:p>
        </w:tc>
        <w:tc>
          <w:tcPr>
            <w:tcW w:w="3916"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2"/>
                <w:szCs w:val="22"/>
                <w:u w:val="none"/>
              </w:rPr>
              <w:t>Subdistribution Hazard Ratio (sHR%)</w:t>
            </w:r>
          </w:p>
        </w:tc>
        <w:tc>
          <w:tcPr>
            <w:tcW w:w="1580"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2"/>
                <w:szCs w:val="22"/>
                <w:u w:val="none"/>
              </w:rPr>
              <w:t>95% CI</w:t>
            </w:r>
          </w:p>
        </w:tc>
        <w:tc>
          <w:tcPr>
            <w:tcW w:w="959"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2"/>
                <w:szCs w:val="22"/>
                <w:u w:val="none"/>
              </w:rPr>
              <w:t>p-value</w:t>
            </w:r>
          </w:p>
        </w:tc>
      </w:tr>
      <w:tr>
        <w:trPr/>
        <w:tc>
          <w:tcPr>
            <w:tcW w:w="1949"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20 - 39 years</w:t>
            </w:r>
          </w:p>
        </w:tc>
        <w:tc>
          <w:tcPr>
            <w:tcW w:w="3916"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1.00 (Ref%)</w:t>
            </w:r>
          </w:p>
        </w:tc>
        <w:tc>
          <w:tcPr>
            <w:tcW w:w="1580"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w:t>
            </w:r>
          </w:p>
        </w:tc>
        <w:tc>
          <w:tcPr>
            <w:tcW w:w="959"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w:t>
            </w:r>
          </w:p>
        </w:tc>
      </w:tr>
      <w:tr>
        <w:trPr/>
        <w:tc>
          <w:tcPr>
            <w:tcW w:w="1949"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40 - 59 years</w:t>
            </w:r>
          </w:p>
        </w:tc>
        <w:tc>
          <w:tcPr>
            <w:tcW w:w="3916"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3.09</w:t>
            </w:r>
          </w:p>
        </w:tc>
        <w:tc>
          <w:tcPr>
            <w:tcW w:w="1580"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2.29 – 5.17</w:t>
            </w:r>
          </w:p>
        </w:tc>
        <w:tc>
          <w:tcPr>
            <w:tcW w:w="959"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&lt;0.001</w:t>
            </w:r>
          </w:p>
        </w:tc>
      </w:tr>
      <w:tr>
        <w:trPr/>
        <w:tc>
          <w:tcPr>
            <w:tcW w:w="1949"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60 - 79 years</w:t>
            </w:r>
          </w:p>
        </w:tc>
        <w:tc>
          <w:tcPr>
            <w:tcW w:w="3916"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18.74</w:t>
            </w:r>
          </w:p>
        </w:tc>
        <w:tc>
          <w:tcPr>
            <w:tcW w:w="1580"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13.73 – 24.84</w:t>
            </w:r>
          </w:p>
        </w:tc>
        <w:tc>
          <w:tcPr>
            <w:tcW w:w="959"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&lt;0.001</w:t>
            </w:r>
          </w:p>
        </w:tc>
      </w:tr>
      <w:tr>
        <w:trPr/>
        <w:tc>
          <w:tcPr>
            <w:tcW w:w="1949"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80+ years</w:t>
            </w:r>
          </w:p>
        </w:tc>
        <w:tc>
          <w:tcPr>
            <w:tcW w:w="3916"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61.83</w:t>
            </w:r>
          </w:p>
        </w:tc>
        <w:tc>
          <w:tcPr>
            <w:tcW w:w="1580"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45.94 – 83.22</w:t>
            </w:r>
          </w:p>
        </w:tc>
        <w:tc>
          <w:tcPr>
            <w:tcW w:w="959" w:type="dxa"/>
            <w:tcBorders>
              <w:bottom w:val="single" w:sz="6" w:space="0" w:color="000000"/>
            </w:tcBorders>
            <w:vAlign w:val="center"/>
          </w:tcPr>
          <w:p>
            <w:pPr>
              <w:pStyle w:val="TableContents"/>
              <w:spacing w:before="0" w:after="20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&lt;0.001</w:t>
            </w:r>
          </w:p>
        </w:tc>
      </w:tr>
    </w:tbl>
    <w:p>
      <w:pPr>
        <w:pStyle w:val="normal1"/>
        <w:widowControl/>
        <w:shd w:val="clear" w:fill="auto"/>
        <w:spacing w:lineRule="auto" w:line="276" w:before="0" w:after="0"/>
        <w:ind w:hanging="0" w:start="0" w:end="0"/>
        <w:jc w:val="start"/>
        <w:rPr>
          <w:rFonts w:ascii="Liberation Serif" w:hAnsi="Liberation Serif" w:eastAsia="Liberation Serif" w:cs="Liberation Serif"/>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Liberation Serif" w:cs="Liberation Serif" w:ascii="Liberation Serif" w:hAnsi="Liberation Serif"/>
          <w:b w:val="false"/>
          <w:bCs w:val="false"/>
          <w:i w:val="false"/>
          <w:iCs w:val="false"/>
          <w:caps w:val="false"/>
          <w:smallCaps w:val="false"/>
          <w:strike w:val="false"/>
          <w:dstrike w:val="false"/>
          <w:color w:val="000000"/>
          <w:position w:val="0"/>
          <w:sz w:val="22"/>
          <w:sz w:val="22"/>
          <w:szCs w:val="22"/>
          <w:u w:val="none"/>
          <w:shd w:fill="auto" w:val="clear"/>
          <w:vertAlign w:val="baseline"/>
        </w:rPr>
        <w:t xml:space="preserve">* </w:t>
      </w:r>
      <w:r>
        <w:rPr>
          <w:rFonts w:ascii="Liberation Serif" w:hAnsi="Liberation Serif"/>
          <w:b w:val="false"/>
          <w:i w:val="false"/>
          <w:caps w:val="false"/>
          <w:smallCaps w:val="false"/>
          <w:color w:val="auto"/>
          <w:spacing w:val="0"/>
          <w:sz w:val="22"/>
          <w:szCs w:val="22"/>
        </w:rPr>
        <w:t>Data was shown as sHR (95% CI%). Ref, reference; sHR:  subdistribution hazard ratio; CI, confidence interval</w:t>
      </w:r>
    </w:p>
    <w:p>
      <w:pPr>
        <w:pStyle w:val="normal1"/>
        <w:widowControl/>
        <w:shd w:val="clear" w:fill="auto"/>
        <w:spacing w:lineRule="auto" w:line="276" w:before="0" w:after="0"/>
        <w:ind w:hanging="0" w:start="0" w:end="0"/>
        <w:jc w:val="start"/>
        <w:rPr>
          <w:rFonts w:ascii="Liberation Serif" w:hAnsi="Liberation Serif" w:eastAsia="Liberation Serif" w:cs="Liberation Serif"/>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Liberation Serif" w:cs="Liberation Serif" w:ascii="Liberation Serif" w:hAnsi="Liberation Serif"/>
          <w:b w:val="false"/>
          <w:bCs w:val="false"/>
          <w:i w:val="false"/>
          <w:iCs w:val="false"/>
          <w:caps w:val="false"/>
          <w:smallCaps w:val="false"/>
          <w:strike w:val="false"/>
          <w:dstrike w:val="false"/>
          <w:color w:val="000000"/>
          <w:position w:val="0"/>
          <w:sz w:val="22"/>
          <w:sz w:val="22"/>
          <w:szCs w:val="22"/>
          <w:u w:val="none"/>
          <w:shd w:fill="auto" w:val="clear"/>
          <w:vertAlign w:val="baseline"/>
        </w:rPr>
      </w:r>
    </w:p>
    <w:p>
      <w:pPr>
        <w:pStyle w:val="normal1"/>
        <w:widowControl/>
        <w:shd w:val="clear" w:fill="auto"/>
        <w:spacing w:lineRule="auto" w:line="276" w:before="0" w:after="0"/>
        <w:ind w:hanging="0" w:start="0" w:end="0"/>
        <w:jc w:val="start"/>
        <w:rPr>
          <w:rFonts w:ascii="Liberation Serif" w:hAnsi="Liberation Serif" w:eastAsia="Liberation Serif" w:cs="Liberation Serif"/>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Liberation Serif" w:cs="Liberation Serif" w:ascii="Liberation Serif" w:hAnsi="Liberation Serif"/>
          <w:b w:val="false"/>
          <w:bCs w:val="false"/>
          <w:i w:val="false"/>
          <w:iCs w:val="false"/>
          <w:caps w:val="false"/>
          <w:smallCaps w:val="false"/>
          <w:strike w:val="false"/>
          <w:dstrike w:val="false"/>
          <w:color w:val="000000"/>
          <w:position w:val="0"/>
          <w:sz w:val="22"/>
          <w:sz w:val="22"/>
          <w:szCs w:val="22"/>
          <w:u w:val="none"/>
          <w:shd w:fill="auto" w:val="clear"/>
          <w:vertAlign w:val="baseline"/>
        </w:rPr>
      </w:r>
    </w:p>
    <w:p>
      <w:pPr>
        <w:pStyle w:val="normal1"/>
        <w:widowControl/>
        <w:shd w:val="clear" w:fill="auto"/>
        <w:bidi w:val="0"/>
        <w:spacing w:lineRule="auto" w:line="276" w:before="0" w:after="0"/>
        <w:ind w:hanging="0" w:start="0" w:end="0"/>
        <w:jc w:val="start"/>
        <w:rPr>
          <w:b/>
        </w:rPr>
      </w:pPr>
      <w:r>
        <w:rPr>
          <w:b/>
        </w:rPr>
      </w:r>
      <w:r>
        <w:br w:type="page"/>
      </w:r>
    </w:p>
    <w:p>
      <w:pPr>
        <w:pStyle w:val="normal1"/>
        <w:widowControl/>
        <w:shd w:val="clear" w:fill="auto"/>
        <w:spacing w:lineRule="auto" w:line="276" w:before="0" w:after="0"/>
        <w:ind w:hanging="0" w:start="0" w:end="0"/>
        <w:jc w:val="start"/>
        <w:rPr>
          <w:rFonts w:ascii="Liberation Serif" w:hAnsi="Liberation Serif" w:eastAsia="Liberation Serif" w:cs="Liberation Serif"/>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ascii="Liberation Serif" w:hAnsi="Liberation Serif"/>
          <w:b/>
          <w:color w:val="auto"/>
        </w:rPr>
        <w:t xml:space="preserve">3. </w:t>
      </w:r>
      <w:r>
        <w:rPr>
          <w:rFonts w:eastAsia="Liberation Serif" w:cs="Liberation Serif" w:ascii="Liberation Serif" w:hAnsi="Liberation Serif"/>
          <w:b/>
          <w:bCs/>
          <w:i w:val="false"/>
          <w:iCs w:val="false"/>
          <w:caps w:val="false"/>
          <w:smallCaps w:val="false"/>
          <w:strike w:val="false"/>
          <w:dstrike w:val="false"/>
          <w:color w:val="000000"/>
          <w:position w:val="0"/>
          <w:sz w:val="22"/>
          <w:sz w:val="22"/>
          <w:szCs w:val="22"/>
          <w:u w:val="none"/>
          <w:shd w:fill="auto" w:val="clear"/>
          <w:vertAlign w:val="baseline"/>
        </w:rPr>
        <w:t>Cumulative Incidence of Cardiovascular Mortality Among Long-Term Female Breast Cancer Survivors</w:t>
      </w:r>
      <w:r>
        <w:rPr>
          <w:rFonts w:eastAsia="Liberation Serif" w:cs="Liberation Serif" w:ascii="Liberation Serif" w:hAnsi="Liberation Serif"/>
          <w:b/>
          <w:bCs w:val="false"/>
          <w:i w:val="false"/>
          <w:iCs w:val="false"/>
          <w:caps w:val="false"/>
          <w:smallCaps w:val="false"/>
          <w:strike w:val="false"/>
          <w:dstrike w:val="false"/>
          <w:color w:val="000000"/>
          <w:position w:val="0"/>
          <w:sz w:val="22"/>
          <w:sz w:val="22"/>
          <w:szCs w:val="22"/>
          <w:u w:val="none"/>
          <w:shd w:fill="auto" w:val="clear"/>
          <w:vertAlign w:val="baseline"/>
        </w:rPr>
        <w:t>, by Income</w:t>
      </w:r>
    </w:p>
    <w:p>
      <w:pPr>
        <w:pStyle w:val="normal1"/>
        <w:widowControl/>
        <w:shd w:val="clear" w:fill="auto"/>
        <w:spacing w:lineRule="auto" w:line="276" w:before="0" w:after="0"/>
        <w:ind w:hanging="0" w:start="0" w:end="0"/>
        <w:jc w:val="start"/>
        <w:rPr>
          <w:rFonts w:ascii="Liberation Serif" w:hAnsi="Liberation Serif" w:eastAsia="Liberation Serif" w:cs="Liberation Serif"/>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Liberation Serif" w:cs="Liberation Serif" w:ascii="Liberation Serif" w:hAnsi="Liberation Serif"/>
          <w:b w:val="false"/>
          <w:bCs w:val="false"/>
          <w:i w:val="false"/>
          <w:iCs w:val="false"/>
          <w:caps w:val="false"/>
          <w:smallCaps w:val="false"/>
          <w:strike w:val="false"/>
          <w:dstrike w:val="false"/>
          <w:color w:val="000000"/>
          <w:position w:val="0"/>
          <w:sz w:val="22"/>
          <w:sz w:val="22"/>
          <w:szCs w:val="22"/>
          <w:u w:val="none"/>
          <w:shd w:fill="auto" w:val="clear"/>
          <w:vertAlign w:val="baseline"/>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120130" cy="3671570"/>
            <wp:effectExtent l="0" t="0" r="0" b="0"/>
            <wp:wrapSquare wrapText="largest"/>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embed="rId4"/>
                    <a:stretch>
                      <a:fillRect/>
                    </a:stretch>
                  </pic:blipFill>
                  <pic:spPr bwMode="auto">
                    <a:xfrm>
                      <a:off x="0" y="0"/>
                      <a:ext cx="6120130" cy="3671570"/>
                    </a:xfrm>
                    <a:prstGeom prst="rect">
                      <a:avLst/>
                    </a:prstGeom>
                  </pic:spPr>
                </pic:pic>
              </a:graphicData>
            </a:graphic>
          </wp:anchor>
        </w:drawing>
      </w:r>
    </w:p>
    <w:p>
      <w:pPr>
        <w:pStyle w:val="BodyText"/>
        <w:bidi w:val="0"/>
        <w:jc w:val="start"/>
        <w:rPr>
          <w:rFonts w:ascii="Liberation Serif" w:hAnsi="Liberation Serif"/>
          <w:color w:val="auto"/>
          <w:sz w:val="22"/>
          <w:szCs w:val="22"/>
        </w:rPr>
      </w:pPr>
      <w:r>
        <w:rPr>
          <w:b/>
          <w:color w:val="auto"/>
          <w:sz w:val="22"/>
          <w:szCs w:val="22"/>
        </w:rPr>
        <w:t xml:space="preserve">Figure 3: </w:t>
      </w:r>
      <w:r>
        <w:rPr>
          <w:b w:val="false"/>
          <w:bCs w:val="false"/>
          <w:color w:val="auto"/>
          <w:sz w:val="22"/>
          <w:szCs w:val="22"/>
        </w:rPr>
        <w:t>Cumulative Incidence of Cardiovascular Death by Income</w:t>
      </w:r>
    </w:p>
    <w:tbl>
      <w:tblPr>
        <w:tblW w:w="9660" w:type="dxa"/>
        <w:jc w:val="start"/>
        <w:tblInd w:w="0" w:type="dxa"/>
        <w:tblLayout w:type="fixed"/>
        <w:tblCellMar>
          <w:top w:w="0" w:type="dxa"/>
          <w:start w:w="0" w:type="dxa"/>
          <w:bottom w:w="0" w:type="dxa"/>
          <w:end w:w="0" w:type="dxa"/>
        </w:tblCellMar>
      </w:tblPr>
      <w:tblGrid>
        <w:gridCol w:w="1530"/>
        <w:gridCol w:w="1708"/>
        <w:gridCol w:w="1982"/>
        <w:gridCol w:w="2700"/>
        <w:gridCol w:w="1740"/>
      </w:tblGrid>
      <w:tr>
        <w:trPr/>
        <w:tc>
          <w:tcPr>
            <w:tcW w:w="1530"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2"/>
                <w:szCs w:val="22"/>
                <w:u w:val="none"/>
              </w:rPr>
              <w:t>Income Groups</w:t>
            </w:r>
          </w:p>
        </w:tc>
        <w:tc>
          <w:tcPr>
            <w:tcW w:w="1708"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2"/>
                <w:szCs w:val="22"/>
                <w:u w:val="none"/>
              </w:rPr>
              <w:t>Cohort Size (N%)</w:t>
            </w:r>
          </w:p>
        </w:tc>
        <w:tc>
          <w:tcPr>
            <w:tcW w:w="1982"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2"/>
                <w:szCs w:val="22"/>
                <w:u w:val="none"/>
              </w:rPr>
              <w:t>Final Follow-up (Months%)</w:t>
            </w:r>
          </w:p>
        </w:tc>
        <w:tc>
          <w:tcPr>
            <w:tcW w:w="2700"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2"/>
                <w:szCs w:val="22"/>
                <w:u w:val="none"/>
              </w:rPr>
              <w:t>Cumulative Incidence (95% CI%)</w:t>
            </w:r>
          </w:p>
        </w:tc>
        <w:tc>
          <w:tcPr>
            <w:tcW w:w="1740"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bCs/>
                <w:i w:val="false"/>
                <w:i w:val="false"/>
                <w:iCs w:val="false"/>
                <w:strike w:val="false"/>
                <w:dstrike w:val="false"/>
                <w:outline w:val="false"/>
                <w:shadow w:val="false"/>
                <w:color w:val="000000"/>
                <w:sz w:val="24"/>
                <w:szCs w:val="24"/>
                <w:u w:val="none"/>
              </w:rPr>
            </w:pPr>
            <w:r>
              <w:rPr>
                <w:rFonts w:ascii="Liberation Serif" w:hAnsi="Liberation Serif"/>
                <w:b/>
                <w:bCs/>
                <w:i w:val="false"/>
                <w:iCs w:val="false"/>
                <w:strike w:val="false"/>
                <w:dstrike w:val="false"/>
                <w:outline w:val="false"/>
                <w:shadow w:val="false"/>
                <w:color w:val="auto"/>
                <w:sz w:val="22"/>
                <w:szCs w:val="22"/>
                <w:u w:val="none"/>
              </w:rPr>
              <w:t>Standard Error</w:t>
            </w:r>
          </w:p>
        </w:tc>
      </w:tr>
      <w:tr>
        <w:trPr>
          <w:trHeight w:val="691" w:hRule="exact"/>
        </w:trPr>
        <w:tc>
          <w:tcPr>
            <w:tcW w:w="1530"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$100,000+</w:t>
            </w:r>
          </w:p>
        </w:tc>
        <w:tc>
          <w:tcPr>
            <w:tcW w:w="1708"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162,151</w:t>
            </w:r>
          </w:p>
        </w:tc>
        <w:tc>
          <w:tcPr>
            <w:tcW w:w="198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215</w:t>
            </w:r>
          </w:p>
        </w:tc>
        <w:tc>
          <w:tcPr>
            <w:tcW w:w="2700"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8.61% (8.29% – 8.94%%)</w:t>
            </w:r>
          </w:p>
        </w:tc>
        <w:tc>
          <w:tcPr>
            <w:tcW w:w="1740"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0.002</w:t>
            </w:r>
          </w:p>
        </w:tc>
      </w:tr>
      <w:tr>
        <w:trPr>
          <w:trHeight w:val="691" w:hRule="exact"/>
        </w:trPr>
        <w:tc>
          <w:tcPr>
            <w:tcW w:w="1530"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$60,000 - $99,999</w:t>
            </w:r>
          </w:p>
        </w:tc>
        <w:tc>
          <w:tcPr>
            <w:tcW w:w="1708"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499,634</w:t>
            </w:r>
          </w:p>
        </w:tc>
        <w:tc>
          <w:tcPr>
            <w:tcW w:w="198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215</w:t>
            </w:r>
          </w:p>
        </w:tc>
        <w:tc>
          <w:tcPr>
            <w:tcW w:w="2700"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9.72% (8.48% – 9.96%%)</w:t>
            </w:r>
          </w:p>
        </w:tc>
        <w:tc>
          <w:tcPr>
            <w:tcW w:w="1740"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0.001</w:t>
            </w:r>
          </w:p>
        </w:tc>
      </w:tr>
      <w:tr>
        <w:trPr>
          <w:trHeight w:val="691" w:hRule="exact"/>
        </w:trPr>
        <w:tc>
          <w:tcPr>
            <w:tcW w:w="1530"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&lt; $60,000</w:t>
            </w:r>
          </w:p>
        </w:tc>
        <w:tc>
          <w:tcPr>
            <w:tcW w:w="1708"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85,857</w:t>
            </w:r>
          </w:p>
        </w:tc>
        <w:tc>
          <w:tcPr>
            <w:tcW w:w="1982"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215</w:t>
            </w:r>
          </w:p>
        </w:tc>
        <w:tc>
          <w:tcPr>
            <w:tcW w:w="2700"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11.03% (10.59% – 11.48%%)</w:t>
            </w:r>
          </w:p>
        </w:tc>
        <w:tc>
          <w:tcPr>
            <w:tcW w:w="1740"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0.002</w:t>
            </w:r>
          </w:p>
        </w:tc>
      </w:tr>
    </w:tbl>
    <w:p>
      <w:pPr>
        <w:pStyle w:val="Normal"/>
        <w:bidi w:val="0"/>
        <w:jc w:val="start"/>
        <w:rPr>
          <w:rFonts w:ascii="Liberation Serif" w:hAnsi="Liberation Serif"/>
          <w:b w:val="false"/>
          <w:bCs w:val="false"/>
          <w:color w:val="auto"/>
        </w:rPr>
      </w:pPr>
      <w:r>
        <w:rPr>
          <w:b w:val="false"/>
          <w:bCs w:val="false"/>
          <w:color w:val="auto"/>
        </w:rPr>
      </w:r>
    </w:p>
    <w:p>
      <w:pPr>
        <w:pStyle w:val="BodyText"/>
        <w:bidi w:val="0"/>
        <w:spacing w:lineRule="auto" w:line="271" w:before="0" w:after="120"/>
        <w:ind w:hanging="0" w:start="0" w:end="0"/>
        <w:jc w:val="start"/>
        <w:rPr>
          <w:rFonts w:ascii="Google Sans Text;sans-serif" w:hAnsi="Google Sans Text;sans-serif"/>
          <w:color w:val="auto"/>
        </w:rPr>
      </w:pPr>
      <w:r>
        <w:rPr>
          <w:b/>
          <w:bCs/>
          <w:color w:val="auto"/>
          <w:sz w:val="22"/>
          <w:szCs w:val="22"/>
        </w:rPr>
        <w:t>Cumulative Incidence post 5+ years milestones of Cardiovascular Mortality by Income:</w:t>
      </w:r>
    </w:p>
    <w:tbl>
      <w:tblPr>
        <w:tblW w:w="9638" w:type="dxa"/>
        <w:jc w:val="start"/>
        <w:tblInd w:w="0" w:type="dxa"/>
        <w:tblLayout w:type="fixed"/>
        <w:tblCellMar>
          <w:top w:w="28" w:type="dxa"/>
          <w:start w:w="28" w:type="dxa"/>
          <w:bottom w:w="28" w:type="dxa"/>
          <w:end w:w="28" w:type="dxa"/>
        </w:tblCellMar>
      </w:tblPr>
      <w:tblGrid>
        <w:gridCol w:w="2897"/>
        <w:gridCol w:w="2155"/>
        <w:gridCol w:w="2269"/>
        <w:gridCol w:w="2316"/>
      </w:tblGrid>
      <w:tr>
        <w:trPr>
          <w:tblHeader w:val="true"/>
        </w:trPr>
        <w:tc>
          <w:tcPr>
            <w:tcW w:w="2897"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0"/>
              <w:ind w:hanging="0" w:start="0" w:end="0"/>
              <w:rPr/>
            </w:pPr>
            <w:r>
              <w:rPr>
                <w:rStyle w:val="Strong"/>
                <w:rFonts w:ascii="Liberation Serif" w:hAnsi="Liberation Serif"/>
                <w:color w:val="auto"/>
                <w:sz w:val="22"/>
                <w:szCs w:val="22"/>
              </w:rPr>
              <w:t>Median Household Income</w:t>
            </w:r>
          </w:p>
        </w:tc>
        <w:tc>
          <w:tcPr>
            <w:tcW w:w="215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0"/>
              <w:ind w:hanging="0" w:start="0" w:end="0"/>
              <w:rPr/>
            </w:pPr>
            <w:r>
              <w:rPr>
                <w:rStyle w:val="Strong"/>
                <w:rFonts w:ascii="Liberation Serif" w:hAnsi="Liberation Serif"/>
                <w:color w:val="auto"/>
                <w:sz w:val="22"/>
                <w:szCs w:val="22"/>
              </w:rPr>
              <w:t>Year 10 (60 months%)</w:t>
            </w:r>
          </w:p>
        </w:tc>
        <w:tc>
          <w:tcPr>
            <w:tcW w:w="2269"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0"/>
              <w:ind w:hanging="0" w:start="0" w:end="0"/>
              <w:rPr/>
            </w:pPr>
            <w:r>
              <w:rPr>
                <w:rStyle w:val="Strong"/>
                <w:rFonts w:ascii="Liberation Serif" w:hAnsi="Liberation Serif"/>
                <w:color w:val="auto"/>
                <w:sz w:val="22"/>
                <w:szCs w:val="22"/>
              </w:rPr>
              <w:t>Year 15 (120 months%)</w:t>
            </w:r>
          </w:p>
        </w:tc>
        <w:tc>
          <w:tcPr>
            <w:tcW w:w="2316"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0"/>
              <w:ind w:hanging="0" w:start="0" w:end="0"/>
              <w:rPr/>
            </w:pPr>
            <w:r>
              <w:rPr>
                <w:rStyle w:val="Strong"/>
                <w:rFonts w:ascii="Liberation Serif" w:hAnsi="Liberation Serif"/>
                <w:color w:val="auto"/>
                <w:sz w:val="22"/>
                <w:szCs w:val="22"/>
              </w:rPr>
              <w:t>Year 20 (180 months%)</w:t>
            </w:r>
          </w:p>
        </w:tc>
      </w:tr>
      <w:tr>
        <w:trPr/>
        <w:tc>
          <w:tcPr>
            <w:tcW w:w="2897"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Google Sans Text;sans-serif" w:hAnsi="Google Sans Text;sans-serif"/>
                <w:b w:val="false"/>
                <w:bCs w:val="false"/>
              </w:rPr>
            </w:pPr>
            <w:r>
              <w:rPr>
                <w:rFonts w:ascii="Liberation Serif" w:hAnsi="Liberation Serif"/>
                <w:b w:val="false"/>
                <w:bCs w:val="false"/>
                <w:color w:val="auto"/>
                <w:sz w:val="22"/>
                <w:szCs w:val="22"/>
              </w:rPr>
              <w:t>$100,000+</w:t>
            </w:r>
          </w:p>
        </w:tc>
        <w:tc>
          <w:tcPr>
            <w:tcW w:w="215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Google Sans Text;sans-serif" w:hAnsi="Google Sans Text;sans-serif"/>
                <w:b w:val="false"/>
                <w:bCs w:val="false"/>
              </w:rPr>
            </w:pPr>
            <w:r>
              <w:rPr>
                <w:rFonts w:ascii="Liberation Serif" w:hAnsi="Liberation Serif"/>
                <w:b w:val="false"/>
                <w:bCs w:val="false"/>
                <w:color w:val="auto"/>
                <w:sz w:val="22"/>
                <w:szCs w:val="22"/>
              </w:rPr>
              <w:t>2.31%</w:t>
            </w:r>
          </w:p>
        </w:tc>
        <w:tc>
          <w:tcPr>
            <w:tcW w:w="2269"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Google Sans Text;sans-serif" w:hAnsi="Google Sans Text;sans-serif"/>
                <w:b w:val="false"/>
                <w:bCs w:val="false"/>
              </w:rPr>
            </w:pPr>
            <w:r>
              <w:rPr>
                <w:rFonts w:ascii="Liberation Serif" w:hAnsi="Liberation Serif"/>
                <w:b w:val="false"/>
                <w:bCs w:val="false"/>
                <w:color w:val="auto"/>
                <w:sz w:val="22"/>
                <w:szCs w:val="22"/>
              </w:rPr>
              <w:t>4.73%</w:t>
            </w:r>
          </w:p>
        </w:tc>
        <w:tc>
          <w:tcPr>
            <w:tcW w:w="2316"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Google Sans Text;sans-serif" w:hAnsi="Google Sans Text;sans-serif"/>
                <w:b w:val="false"/>
                <w:bCs w:val="false"/>
              </w:rPr>
            </w:pPr>
            <w:r>
              <w:rPr>
                <w:rFonts w:ascii="Liberation Serif" w:hAnsi="Liberation Serif"/>
                <w:b w:val="false"/>
                <w:bCs w:val="false"/>
                <w:color w:val="auto"/>
                <w:sz w:val="22"/>
                <w:szCs w:val="22"/>
              </w:rPr>
              <w:t>7.14%</w:t>
            </w:r>
          </w:p>
        </w:tc>
      </w:tr>
      <w:tr>
        <w:trPr/>
        <w:tc>
          <w:tcPr>
            <w:tcW w:w="2897"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Google Sans Text;sans-serif" w:hAnsi="Google Sans Text;sans-serif"/>
                <w:b w:val="false"/>
                <w:bCs w:val="false"/>
              </w:rPr>
            </w:pPr>
            <w:r>
              <w:rPr>
                <w:rFonts w:ascii="Liberation Serif" w:hAnsi="Liberation Serif"/>
                <w:b w:val="false"/>
                <w:bCs w:val="false"/>
                <w:color w:val="auto"/>
                <w:sz w:val="22"/>
                <w:szCs w:val="22"/>
              </w:rPr>
              <w:t>$60,000 – $99,999</w:t>
            </w:r>
          </w:p>
        </w:tc>
        <w:tc>
          <w:tcPr>
            <w:tcW w:w="215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Google Sans Text;sans-serif" w:hAnsi="Google Sans Text;sans-serif"/>
                <w:b w:val="false"/>
                <w:bCs w:val="false"/>
              </w:rPr>
            </w:pPr>
            <w:r>
              <w:rPr>
                <w:rFonts w:ascii="Liberation Serif" w:hAnsi="Liberation Serif"/>
                <w:b w:val="false"/>
                <w:bCs w:val="false"/>
                <w:color w:val="auto"/>
                <w:sz w:val="22"/>
                <w:szCs w:val="22"/>
              </w:rPr>
              <w:t>2.62%</w:t>
            </w:r>
          </w:p>
        </w:tc>
        <w:tc>
          <w:tcPr>
            <w:tcW w:w="2269"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Google Sans Text;sans-serif" w:hAnsi="Google Sans Text;sans-serif"/>
                <w:b w:val="false"/>
                <w:bCs w:val="false"/>
              </w:rPr>
            </w:pPr>
            <w:r>
              <w:rPr>
                <w:rFonts w:ascii="Liberation Serif" w:hAnsi="Liberation Serif"/>
                <w:b w:val="false"/>
                <w:bCs w:val="false"/>
                <w:color w:val="auto"/>
                <w:sz w:val="22"/>
                <w:szCs w:val="22"/>
              </w:rPr>
              <w:t>5.33%</w:t>
            </w:r>
          </w:p>
        </w:tc>
        <w:tc>
          <w:tcPr>
            <w:tcW w:w="2316"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Google Sans Text;sans-serif" w:hAnsi="Google Sans Text;sans-serif"/>
                <w:b w:val="false"/>
                <w:bCs w:val="false"/>
              </w:rPr>
            </w:pPr>
            <w:r>
              <w:rPr>
                <w:rFonts w:ascii="Liberation Serif" w:hAnsi="Liberation Serif"/>
                <w:b w:val="false"/>
                <w:bCs w:val="false"/>
                <w:color w:val="auto"/>
                <w:sz w:val="22"/>
                <w:szCs w:val="22"/>
              </w:rPr>
              <w:t>8.08%</w:t>
            </w:r>
          </w:p>
        </w:tc>
      </w:tr>
      <w:tr>
        <w:trPr/>
        <w:tc>
          <w:tcPr>
            <w:tcW w:w="2897"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Google Sans Text;sans-serif" w:hAnsi="Google Sans Text;sans-serif"/>
                <w:b w:val="false"/>
                <w:bCs w:val="false"/>
              </w:rPr>
            </w:pPr>
            <w:r>
              <w:rPr>
                <w:rFonts w:ascii="Liberation Serif" w:hAnsi="Liberation Serif"/>
                <w:b w:val="false"/>
                <w:bCs w:val="false"/>
                <w:color w:val="auto"/>
                <w:sz w:val="22"/>
                <w:szCs w:val="22"/>
              </w:rPr>
              <w:t>&lt; $60,000</w:t>
            </w:r>
          </w:p>
        </w:tc>
        <w:tc>
          <w:tcPr>
            <w:tcW w:w="215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Google Sans Text;sans-serif" w:hAnsi="Google Sans Text;sans-serif"/>
                <w:b w:val="false"/>
                <w:bCs w:val="false"/>
              </w:rPr>
            </w:pPr>
            <w:r>
              <w:rPr>
                <w:rFonts w:ascii="Liberation Serif" w:hAnsi="Liberation Serif"/>
                <w:b w:val="false"/>
                <w:bCs w:val="false"/>
                <w:color w:val="auto"/>
                <w:sz w:val="22"/>
                <w:szCs w:val="22"/>
              </w:rPr>
              <w:t>3.30%</w:t>
            </w:r>
          </w:p>
        </w:tc>
        <w:tc>
          <w:tcPr>
            <w:tcW w:w="2269"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Google Sans Text;sans-serif" w:hAnsi="Google Sans Text;sans-serif"/>
                <w:b w:val="false"/>
                <w:bCs w:val="false"/>
              </w:rPr>
            </w:pPr>
            <w:r>
              <w:rPr>
                <w:rFonts w:ascii="Liberation Serif" w:hAnsi="Liberation Serif"/>
                <w:b w:val="false"/>
                <w:bCs w:val="false"/>
                <w:color w:val="auto"/>
                <w:sz w:val="22"/>
                <w:szCs w:val="22"/>
              </w:rPr>
              <w:t>6.76%</w:t>
            </w:r>
          </w:p>
        </w:tc>
        <w:tc>
          <w:tcPr>
            <w:tcW w:w="2316"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Google Sans Text;sans-serif" w:hAnsi="Google Sans Text;sans-serif"/>
                <w:b w:val="false"/>
                <w:bCs w:val="false"/>
              </w:rPr>
            </w:pPr>
            <w:r>
              <w:rPr>
                <w:rFonts w:ascii="Liberation Serif" w:hAnsi="Liberation Serif"/>
                <w:b w:val="false"/>
                <w:bCs w:val="false"/>
                <w:color w:val="auto"/>
                <w:sz w:val="22"/>
                <w:szCs w:val="22"/>
              </w:rPr>
              <w:t>9.93%</w:t>
            </w:r>
          </w:p>
        </w:tc>
      </w:tr>
    </w:tbl>
    <w:p>
      <w:pPr>
        <w:pStyle w:val="BodyText"/>
        <w:bidi w:val="0"/>
        <w:spacing w:lineRule="auto" w:line="271" w:before="0" w:after="120"/>
        <w:ind w:hanging="0" w:start="0" w:end="0"/>
        <w:jc w:val="start"/>
        <w:rPr>
          <w:rFonts w:ascii="Google Sans Text;sans-serif" w:hAnsi="Google Sans Text;sans-serif"/>
          <w:color w:val="auto"/>
        </w:rPr>
      </w:pPr>
      <w:r>
        <w:rPr>
          <w:rFonts w:ascii="Google Sans Text;sans-serif" w:hAnsi="Google Sans Text;sans-serif"/>
          <w:color w:val="auto"/>
        </w:rPr>
      </w:r>
    </w:p>
    <w:p>
      <w:pPr>
        <w:pStyle w:val="Heading3"/>
        <w:bidi w:val="0"/>
        <w:spacing w:lineRule="auto" w:line="271" w:before="0" w:after="120"/>
        <w:ind w:hanging="0" w:start="0" w:end="0"/>
        <w:jc w:val="start"/>
        <w:rPr>
          <w:rFonts w:ascii="Google Sans Text;sans-serif" w:hAnsi="Google Sans Text;sans-serif"/>
          <w:color w:val="auto"/>
        </w:rPr>
      </w:pPr>
      <w:r>
        <w:rPr>
          <w:rFonts w:eastAsia="Noto Serif CJK SC" w:cs="Noto Sans Devanagari" w:ascii="Liberation Serif" w:hAnsi="Liberation Serif"/>
          <w:b/>
          <w:bCs/>
          <w:color w:val="auto"/>
          <w:kern w:val="2"/>
          <w:sz w:val="22"/>
          <w:szCs w:val="22"/>
        </w:rPr>
        <w:t xml:space="preserve">Table 2: </w:t>
      </w:r>
      <w:r>
        <w:rPr>
          <w:rFonts w:eastAsia="Noto Serif CJK SC" w:cs="Noto Sans Devanagari" w:ascii="Liberation Serif" w:hAnsi="Liberation Serif"/>
          <w:b w:val="false"/>
          <w:bCs w:val="false"/>
          <w:color w:val="auto"/>
          <w:kern w:val="2"/>
          <w:sz w:val="22"/>
          <w:szCs w:val="22"/>
        </w:rPr>
        <w:t>Fine-Gray Subdistribution Hazard Analysis of Cardiovascular Mortality by Income</w:t>
      </w:r>
    </w:p>
    <w:tbl>
      <w:tblPr>
        <w:tblW w:w="9131" w:type="dxa"/>
        <w:jc w:val="start"/>
        <w:tblInd w:w="0" w:type="dxa"/>
        <w:tblLayout w:type="fixed"/>
        <w:tblCellMar>
          <w:top w:w="0" w:type="dxa"/>
          <w:start w:w="0" w:type="dxa"/>
          <w:bottom w:w="0" w:type="dxa"/>
          <w:end w:w="0" w:type="dxa"/>
        </w:tblCellMar>
      </w:tblPr>
      <w:tblGrid>
        <w:gridCol w:w="3056"/>
        <w:gridCol w:w="3910"/>
        <w:gridCol w:w="1208"/>
        <w:gridCol w:w="956"/>
      </w:tblGrid>
      <w:tr>
        <w:trPr/>
        <w:tc>
          <w:tcPr>
            <w:tcW w:w="3056"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2"/>
                <w:szCs w:val="22"/>
                <w:u w:val="none"/>
              </w:rPr>
              <w:t>Median Household Income</w:t>
            </w:r>
          </w:p>
        </w:tc>
        <w:tc>
          <w:tcPr>
            <w:tcW w:w="3910"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2"/>
                <w:szCs w:val="22"/>
                <w:u w:val="none"/>
              </w:rPr>
              <w:t>Subdistribution Hazard Ratio (sHR%)</w:t>
            </w:r>
          </w:p>
        </w:tc>
        <w:tc>
          <w:tcPr>
            <w:tcW w:w="1208"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2"/>
                <w:szCs w:val="22"/>
                <w:u w:val="none"/>
              </w:rPr>
              <w:t>95% CI</w:t>
            </w:r>
          </w:p>
        </w:tc>
        <w:tc>
          <w:tcPr>
            <w:tcW w:w="956"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2"/>
                <w:szCs w:val="22"/>
                <w:u w:val="none"/>
              </w:rPr>
              <w:t>P-value</w:t>
            </w:r>
          </w:p>
        </w:tc>
      </w:tr>
      <w:tr>
        <w:trPr/>
        <w:tc>
          <w:tcPr>
            <w:tcW w:w="3056"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$100,000+</w:t>
            </w:r>
          </w:p>
        </w:tc>
        <w:tc>
          <w:tcPr>
            <w:tcW w:w="3910"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1.00 (Ref%)</w:t>
            </w:r>
          </w:p>
        </w:tc>
        <w:tc>
          <w:tcPr>
            <w:tcW w:w="1208"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w:t>
            </w:r>
          </w:p>
        </w:tc>
        <w:tc>
          <w:tcPr>
            <w:tcW w:w="956"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w:t>
            </w:r>
          </w:p>
        </w:tc>
      </w:tr>
      <w:tr>
        <w:trPr/>
        <w:tc>
          <w:tcPr>
            <w:tcW w:w="3056"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$60,000 – $99,999</w:t>
            </w:r>
          </w:p>
        </w:tc>
        <w:tc>
          <w:tcPr>
            <w:tcW w:w="3910"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1.14</w:t>
            </w:r>
          </w:p>
        </w:tc>
        <w:tc>
          <w:tcPr>
            <w:tcW w:w="1208"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1.08 – 1.19</w:t>
            </w:r>
          </w:p>
        </w:tc>
        <w:tc>
          <w:tcPr>
            <w:tcW w:w="956"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&lt;0.001</w:t>
            </w:r>
          </w:p>
        </w:tc>
      </w:tr>
      <w:tr>
        <w:trPr/>
        <w:tc>
          <w:tcPr>
            <w:tcW w:w="3056"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&lt; $60,000</w:t>
            </w:r>
          </w:p>
        </w:tc>
        <w:tc>
          <w:tcPr>
            <w:tcW w:w="3910"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1.39</w:t>
            </w:r>
          </w:p>
        </w:tc>
        <w:tc>
          <w:tcPr>
            <w:tcW w:w="1208"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1.31 – 1.49</w:t>
            </w:r>
          </w:p>
        </w:tc>
        <w:tc>
          <w:tcPr>
            <w:tcW w:w="956"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&lt;0.001</w:t>
            </w:r>
          </w:p>
        </w:tc>
      </w:tr>
    </w:tbl>
    <w:p>
      <w:pPr>
        <w:pStyle w:val="normal1"/>
        <w:widowControl/>
        <w:shd w:val="clear" w:fill="auto"/>
        <w:spacing w:lineRule="auto" w:line="276" w:before="0" w:after="0"/>
        <w:ind w:hanging="0" w:start="0" w:end="0"/>
        <w:jc w:val="start"/>
        <w:rPr>
          <w:rFonts w:ascii="Liberation Serif" w:hAnsi="Liberation Serif" w:eastAsia="Liberation Serif" w:cs="Liberation Serif"/>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Liberation Serif" w:cs="Liberation Serif" w:ascii="Liberation Serif" w:hAnsi="Liberation Serif"/>
          <w:b w:val="false"/>
          <w:bCs w:val="false"/>
          <w:i w:val="false"/>
          <w:iCs w:val="false"/>
          <w:caps w:val="false"/>
          <w:smallCaps w:val="false"/>
          <w:strike w:val="false"/>
          <w:dstrike w:val="false"/>
          <w:color w:val="000000"/>
          <w:position w:val="0"/>
          <w:sz w:val="22"/>
          <w:sz w:val="22"/>
          <w:szCs w:val="22"/>
          <w:u w:val="none"/>
          <w:shd w:fill="auto" w:val="clear"/>
          <w:vertAlign w:val="baseline"/>
        </w:rPr>
        <w:t xml:space="preserve">* </w:t>
      </w:r>
      <w:r>
        <w:rPr>
          <w:rFonts w:ascii="Liberation Serif" w:hAnsi="Liberation Serif"/>
          <w:b w:val="false"/>
          <w:i w:val="false"/>
          <w:caps w:val="false"/>
          <w:smallCaps w:val="false"/>
          <w:color w:val="auto"/>
          <w:spacing w:val="0"/>
          <w:sz w:val="22"/>
          <w:szCs w:val="22"/>
        </w:rPr>
        <w:t>Data was shown as sHR (95% CI%). Ref, reference; sHR:  subdistribution hazard ratio; CI, confidence interval</w:t>
      </w:r>
      <w:r>
        <w:br w:type="page"/>
      </w:r>
    </w:p>
    <w:p>
      <w:pPr>
        <w:pStyle w:val="normal1"/>
        <w:widowControl/>
        <w:shd w:val="clear" w:fill="auto"/>
        <w:spacing w:lineRule="auto" w:line="276" w:before="0" w:after="0"/>
        <w:ind w:hanging="0" w:start="0" w:end="0"/>
        <w:jc w:val="start"/>
        <w:rPr>
          <w:rFonts w:ascii="Liberation Serif" w:hAnsi="Liberation Serif" w:eastAsia="Liberation Serif" w:cs="Liberation Serif"/>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ascii="Liberation Serif" w:hAnsi="Liberation Serif"/>
          <w:b/>
          <w:color w:val="auto"/>
        </w:rPr>
        <w:t xml:space="preserve">4. </w:t>
      </w:r>
      <w:r>
        <w:rPr>
          <w:rFonts w:eastAsia="Liberation Serif" w:cs="Liberation Serif" w:ascii="Liberation Serif" w:hAnsi="Liberation Serif"/>
          <w:b/>
          <w:bCs/>
          <w:i w:val="false"/>
          <w:iCs w:val="false"/>
          <w:caps w:val="false"/>
          <w:smallCaps w:val="false"/>
          <w:strike w:val="false"/>
          <w:dstrike w:val="false"/>
          <w:color w:val="000000"/>
          <w:position w:val="0"/>
          <w:sz w:val="22"/>
          <w:sz w:val="22"/>
          <w:szCs w:val="22"/>
          <w:u w:val="none"/>
          <w:shd w:fill="auto" w:val="clear"/>
          <w:vertAlign w:val="baseline"/>
        </w:rPr>
        <w:t>Cumulative Incidence of Cardiovascular Mortality Among Long-Term Female Breast Cancer Survivors</w:t>
      </w:r>
      <w:r>
        <w:rPr>
          <w:rFonts w:eastAsia="Liberation Serif" w:cs="Liberation Serif" w:ascii="Liberation Serif" w:hAnsi="Liberation Serif"/>
          <w:b/>
          <w:bCs w:val="false"/>
          <w:i w:val="false"/>
          <w:iCs w:val="false"/>
          <w:caps w:val="false"/>
          <w:smallCaps w:val="false"/>
          <w:strike w:val="false"/>
          <w:dstrike w:val="false"/>
          <w:color w:val="000000"/>
          <w:position w:val="0"/>
          <w:sz w:val="22"/>
          <w:sz w:val="22"/>
          <w:szCs w:val="22"/>
          <w:u w:val="none"/>
          <w:shd w:fill="auto" w:val="clear"/>
          <w:vertAlign w:val="baseline"/>
        </w:rPr>
        <w:t xml:space="preserve">, </w:t>
      </w:r>
      <w:r>
        <w:rPr>
          <w:rFonts w:ascii="Liberation Serif" w:hAnsi="Liberation Serif"/>
          <w:b/>
          <w:color w:val="auto"/>
        </w:rPr>
        <w:t>by Race/Ethnicity</w:t>
      </w:r>
    </w:p>
    <w:p>
      <w:pPr>
        <w:pStyle w:val="normal1"/>
        <w:widowControl/>
        <w:shd w:val="clear" w:fill="auto"/>
        <w:spacing w:lineRule="auto" w:line="276" w:before="0" w:after="0"/>
        <w:ind w:hanging="0" w:start="0" w:end="0"/>
        <w:jc w:val="start"/>
        <w:rPr>
          <w:rFonts w:ascii="Liberation Serif" w:hAnsi="Liberation Serif" w:eastAsia="Liberation Serif" w:cs="Liberation Serif"/>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6120130" cy="3671570"/>
            <wp:effectExtent l="0" t="0" r="0" b="0"/>
            <wp:wrapSquare wrapText="largest"/>
            <wp:docPr id="4"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
                    <pic:cNvPicPr>
                      <a:picLocks noChangeAspect="1" noChangeArrowheads="1"/>
                    </pic:cNvPicPr>
                  </pic:nvPicPr>
                  <pic:blipFill>
                    <a:blip r:embed="rId5"/>
                    <a:stretch>
                      <a:fillRect/>
                    </a:stretch>
                  </pic:blipFill>
                  <pic:spPr bwMode="auto">
                    <a:xfrm>
                      <a:off x="0" y="0"/>
                      <a:ext cx="6120130" cy="3671570"/>
                    </a:xfrm>
                    <a:prstGeom prst="rect">
                      <a:avLst/>
                    </a:prstGeom>
                  </pic:spPr>
                </pic:pic>
              </a:graphicData>
            </a:graphic>
          </wp:anchor>
        </w:drawing>
      </w:r>
      <w:r>
        <w:rPr>
          <w:rFonts w:ascii="Liberation Serif" w:hAnsi="Liberation Serif"/>
          <w:b/>
          <w:color w:val="auto"/>
        </w:rPr>
        <w:t xml:space="preserve">Figure 4: </w:t>
      </w:r>
      <w:r>
        <w:rPr>
          <w:rFonts w:ascii="Liberation Serif" w:hAnsi="Liberation Serif"/>
          <w:b w:val="false"/>
          <w:bCs w:val="false"/>
          <w:color w:val="auto"/>
        </w:rPr>
        <w:t>Cumulative Incidence of Cardiovascular Death by Race/Ethnicity</w:t>
      </w:r>
    </w:p>
    <w:p>
      <w:pPr>
        <w:pStyle w:val="normal1"/>
        <w:widowControl/>
        <w:shd w:val="clear" w:fill="auto"/>
        <w:spacing w:lineRule="auto" w:line="276" w:before="0" w:after="0"/>
        <w:ind w:hanging="0" w:start="0" w:end="0"/>
        <w:jc w:val="start"/>
        <w:rPr>
          <w:rFonts w:ascii="Liberation Serif" w:hAnsi="Liberation Serif" w:eastAsia="Liberation Serif" w:cs="Liberation Serif"/>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Liberation Serif" w:cs="Liberation Serif" w:ascii="Liberation Serif" w:hAnsi="Liberation Serif"/>
          <w:b w:val="false"/>
          <w:bCs w:val="false"/>
          <w:i w:val="false"/>
          <w:iCs w:val="false"/>
          <w:caps w:val="false"/>
          <w:smallCaps w:val="false"/>
          <w:strike w:val="false"/>
          <w:dstrike w:val="false"/>
          <w:color w:val="000000"/>
          <w:position w:val="0"/>
          <w:sz w:val="22"/>
          <w:sz w:val="22"/>
          <w:szCs w:val="22"/>
          <w:u w:val="none"/>
          <w:shd w:fill="auto" w:val="clear"/>
          <w:vertAlign w:val="baseline"/>
        </w:rPr>
      </w:r>
    </w:p>
    <w:tbl>
      <w:tblPr>
        <w:tblW w:w="9645" w:type="dxa"/>
        <w:jc w:val="start"/>
        <w:tblInd w:w="0" w:type="dxa"/>
        <w:tblLayout w:type="fixed"/>
        <w:tblCellMar>
          <w:top w:w="0" w:type="dxa"/>
          <w:start w:w="0" w:type="dxa"/>
          <w:bottom w:w="0" w:type="dxa"/>
          <w:end w:w="0" w:type="dxa"/>
        </w:tblCellMar>
      </w:tblPr>
      <w:tblGrid>
        <w:gridCol w:w="2435"/>
        <w:gridCol w:w="1205"/>
        <w:gridCol w:w="1576"/>
        <w:gridCol w:w="1712"/>
        <w:gridCol w:w="1628"/>
        <w:gridCol w:w="1088"/>
      </w:tblGrid>
      <w:tr>
        <w:trPr/>
        <w:tc>
          <w:tcPr>
            <w:tcW w:w="2435"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2"/>
                <w:szCs w:val="22"/>
                <w:u w:val="none"/>
              </w:rPr>
              <w:t>Race and Ethnicity</w:t>
            </w:r>
          </w:p>
        </w:tc>
        <w:tc>
          <w:tcPr>
            <w:tcW w:w="1205"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2"/>
                <w:szCs w:val="22"/>
                <w:u w:val="none"/>
              </w:rPr>
              <w:t>Cohort Size (N%)</w:t>
            </w:r>
          </w:p>
        </w:tc>
        <w:tc>
          <w:tcPr>
            <w:tcW w:w="1576"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2"/>
                <w:szCs w:val="22"/>
                <w:u w:val="none"/>
              </w:rPr>
              <w:t>Final Follow-up (Months%)</w:t>
            </w:r>
          </w:p>
        </w:tc>
        <w:tc>
          <w:tcPr>
            <w:tcW w:w="1712"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2"/>
                <w:szCs w:val="22"/>
                <w:u w:val="none"/>
              </w:rPr>
              <w:t>Cumulative Incidence (%%)</w:t>
            </w:r>
          </w:p>
        </w:tc>
        <w:tc>
          <w:tcPr>
            <w:tcW w:w="1628"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2"/>
                <w:szCs w:val="22"/>
                <w:u w:val="none"/>
              </w:rPr>
              <w:t>95% CI</w:t>
            </w:r>
          </w:p>
        </w:tc>
        <w:tc>
          <w:tcPr>
            <w:tcW w:w="1088"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bCs/>
                <w:i w:val="false"/>
                <w:i w:val="false"/>
                <w:iCs w:val="false"/>
                <w:strike w:val="false"/>
                <w:dstrike w:val="false"/>
                <w:outline w:val="false"/>
                <w:shadow w:val="false"/>
                <w:color w:val="000000"/>
                <w:sz w:val="22"/>
                <w:szCs w:val="22"/>
                <w:u w:val="none"/>
              </w:rPr>
            </w:pPr>
            <w:r>
              <w:rPr>
                <w:rFonts w:ascii="Liberation Serif" w:hAnsi="Liberation Serif"/>
                <w:b/>
                <w:bCs/>
                <w:i w:val="false"/>
                <w:iCs w:val="false"/>
                <w:strike w:val="false"/>
                <w:dstrike w:val="false"/>
                <w:outline w:val="false"/>
                <w:shadow w:val="false"/>
                <w:color w:val="auto"/>
                <w:sz w:val="22"/>
                <w:szCs w:val="22"/>
                <w:u w:val="none"/>
              </w:rPr>
              <w:t>SE</w:t>
            </w:r>
          </w:p>
        </w:tc>
      </w:tr>
      <w:tr>
        <w:trPr/>
        <w:tc>
          <w:tcPr>
            <w:tcW w:w="2435"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2"/>
                <w:szCs w:val="22"/>
                <w:u w:val="none"/>
              </w:rPr>
            </w:pPr>
            <w:r>
              <w:rPr>
                <w:rFonts w:ascii="Liberation Serif" w:hAnsi="Liberation Serif"/>
                <w:b w:val="false"/>
                <w:bCs w:val="false"/>
                <w:i w:val="false"/>
                <w:iCs w:val="false"/>
                <w:strike w:val="false"/>
                <w:dstrike w:val="false"/>
                <w:outline w:val="false"/>
                <w:shadow w:val="false"/>
                <w:color w:val="auto"/>
                <w:sz w:val="22"/>
                <w:szCs w:val="22"/>
                <w:u w:val="none"/>
              </w:rPr>
              <w:t>Non-Hispanic White</w:t>
            </w:r>
          </w:p>
        </w:tc>
        <w:tc>
          <w:tcPr>
            <w:tcW w:w="1205"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2"/>
                <w:szCs w:val="22"/>
                <w:u w:val="none"/>
              </w:rPr>
            </w:pPr>
            <w:r>
              <w:rPr>
                <w:rFonts w:ascii="Liberation Serif" w:hAnsi="Liberation Serif"/>
                <w:b w:val="false"/>
                <w:bCs w:val="false"/>
                <w:i w:val="false"/>
                <w:iCs w:val="false"/>
                <w:strike w:val="false"/>
                <w:dstrike w:val="false"/>
                <w:outline w:val="false"/>
                <w:shadow w:val="false"/>
                <w:color w:val="auto"/>
                <w:sz w:val="22"/>
                <w:szCs w:val="22"/>
                <w:u w:val="none"/>
              </w:rPr>
              <w:t>537,266</w:t>
            </w:r>
          </w:p>
        </w:tc>
        <w:tc>
          <w:tcPr>
            <w:tcW w:w="1576"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2"/>
                <w:szCs w:val="22"/>
                <w:u w:val="none"/>
              </w:rPr>
            </w:pPr>
            <w:r>
              <w:rPr>
                <w:rFonts w:ascii="Liberation Serif" w:hAnsi="Liberation Serif"/>
                <w:b w:val="false"/>
                <w:bCs w:val="false"/>
                <w:i w:val="false"/>
                <w:iCs w:val="false"/>
                <w:strike w:val="false"/>
                <w:dstrike w:val="false"/>
                <w:outline w:val="false"/>
                <w:shadow w:val="false"/>
                <w:color w:val="auto"/>
                <w:sz w:val="22"/>
                <w:szCs w:val="22"/>
                <w:u w:val="none"/>
              </w:rPr>
              <w:t>215</w:t>
            </w:r>
          </w:p>
        </w:tc>
        <w:tc>
          <w:tcPr>
            <w:tcW w:w="171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2"/>
                <w:szCs w:val="22"/>
                <w:u w:val="none"/>
              </w:rPr>
            </w:pPr>
            <w:r>
              <w:rPr>
                <w:rFonts w:ascii="Liberation Serif" w:hAnsi="Liberation Serif"/>
                <w:b w:val="false"/>
                <w:bCs w:val="false"/>
                <w:i w:val="false"/>
                <w:iCs w:val="false"/>
                <w:strike w:val="false"/>
                <w:dstrike w:val="false"/>
                <w:outline w:val="false"/>
                <w:shadow w:val="false"/>
                <w:color w:val="auto"/>
                <w:sz w:val="22"/>
                <w:szCs w:val="22"/>
                <w:u w:val="none"/>
              </w:rPr>
              <w:t>10.26</w:t>
            </w:r>
          </w:p>
        </w:tc>
        <w:tc>
          <w:tcPr>
            <w:tcW w:w="1628"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2"/>
                <w:szCs w:val="22"/>
                <w:u w:val="none"/>
              </w:rPr>
            </w:pPr>
            <w:r>
              <w:rPr>
                <w:rFonts w:ascii="Liberation Serif" w:hAnsi="Liberation Serif"/>
                <w:b w:val="false"/>
                <w:bCs w:val="false"/>
                <w:i w:val="false"/>
                <w:iCs w:val="false"/>
                <w:strike w:val="false"/>
                <w:dstrike w:val="false"/>
                <w:outline w:val="false"/>
                <w:shadow w:val="false"/>
                <w:color w:val="auto"/>
                <w:sz w:val="22"/>
                <w:szCs w:val="22"/>
                <w:u w:val="none"/>
              </w:rPr>
              <w:t>10.04 – 10.48</w:t>
            </w:r>
          </w:p>
        </w:tc>
        <w:tc>
          <w:tcPr>
            <w:tcW w:w="1088"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2"/>
                <w:szCs w:val="22"/>
                <w:u w:val="none"/>
              </w:rPr>
            </w:pPr>
            <w:r>
              <w:rPr>
                <w:rFonts w:ascii="Liberation Serif" w:hAnsi="Liberation Serif"/>
                <w:b w:val="false"/>
                <w:bCs w:val="false"/>
                <w:i w:val="false"/>
                <w:iCs w:val="false"/>
                <w:strike w:val="false"/>
                <w:dstrike w:val="false"/>
                <w:outline w:val="false"/>
                <w:shadow w:val="false"/>
                <w:color w:val="auto"/>
                <w:sz w:val="22"/>
                <w:szCs w:val="22"/>
                <w:u w:val="none"/>
              </w:rPr>
              <w:t>0.001</w:t>
            </w:r>
          </w:p>
        </w:tc>
      </w:tr>
      <w:tr>
        <w:trPr/>
        <w:tc>
          <w:tcPr>
            <w:tcW w:w="2435"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2"/>
                <w:szCs w:val="22"/>
                <w:u w:val="none"/>
              </w:rPr>
            </w:pPr>
            <w:r>
              <w:rPr>
                <w:rFonts w:ascii="Liberation Serif" w:hAnsi="Liberation Serif"/>
                <w:b w:val="false"/>
                <w:bCs w:val="false"/>
                <w:i w:val="false"/>
                <w:iCs w:val="false"/>
                <w:strike w:val="false"/>
                <w:dstrike w:val="false"/>
                <w:outline w:val="false"/>
                <w:shadow w:val="false"/>
                <w:color w:val="auto"/>
                <w:sz w:val="22"/>
                <w:szCs w:val="22"/>
                <w:u w:val="none"/>
              </w:rPr>
              <w:t>Non-Hispanic Black</w:t>
            </w:r>
          </w:p>
        </w:tc>
        <w:tc>
          <w:tcPr>
            <w:tcW w:w="1205"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2"/>
                <w:szCs w:val="22"/>
                <w:u w:val="none"/>
              </w:rPr>
            </w:pPr>
            <w:r>
              <w:rPr>
                <w:rFonts w:ascii="Liberation Serif" w:hAnsi="Liberation Serif"/>
                <w:b w:val="false"/>
                <w:bCs w:val="false"/>
                <w:i w:val="false"/>
                <w:iCs w:val="false"/>
                <w:strike w:val="false"/>
                <w:dstrike w:val="false"/>
                <w:outline w:val="false"/>
                <w:shadow w:val="false"/>
                <w:color w:val="auto"/>
                <w:sz w:val="22"/>
                <w:szCs w:val="22"/>
                <w:u w:val="none"/>
              </w:rPr>
              <w:t>65,978</w:t>
            </w:r>
          </w:p>
        </w:tc>
        <w:tc>
          <w:tcPr>
            <w:tcW w:w="1576"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2"/>
                <w:szCs w:val="22"/>
                <w:u w:val="none"/>
              </w:rPr>
            </w:pPr>
            <w:r>
              <w:rPr>
                <w:rFonts w:ascii="Liberation Serif" w:hAnsi="Liberation Serif"/>
                <w:b w:val="false"/>
                <w:bCs w:val="false"/>
                <w:i w:val="false"/>
                <w:iCs w:val="false"/>
                <w:strike w:val="false"/>
                <w:dstrike w:val="false"/>
                <w:outline w:val="false"/>
                <w:shadow w:val="false"/>
                <w:color w:val="auto"/>
                <w:sz w:val="22"/>
                <w:szCs w:val="22"/>
                <w:u w:val="none"/>
              </w:rPr>
              <w:t>214</w:t>
            </w:r>
          </w:p>
        </w:tc>
        <w:tc>
          <w:tcPr>
            <w:tcW w:w="171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2"/>
                <w:szCs w:val="22"/>
                <w:u w:val="none"/>
              </w:rPr>
            </w:pPr>
            <w:r>
              <w:rPr>
                <w:rFonts w:ascii="Liberation Serif" w:hAnsi="Liberation Serif"/>
                <w:b w:val="false"/>
                <w:bCs w:val="false"/>
                <w:i w:val="false"/>
                <w:iCs w:val="false"/>
                <w:strike w:val="false"/>
                <w:dstrike w:val="false"/>
                <w:outline w:val="false"/>
                <w:shadow w:val="false"/>
                <w:color w:val="auto"/>
                <w:sz w:val="22"/>
                <w:szCs w:val="22"/>
                <w:u w:val="none"/>
              </w:rPr>
              <w:t>9.84</w:t>
            </w:r>
          </w:p>
        </w:tc>
        <w:tc>
          <w:tcPr>
            <w:tcW w:w="1628"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2"/>
                <w:szCs w:val="22"/>
                <w:u w:val="none"/>
              </w:rPr>
            </w:pPr>
            <w:r>
              <w:rPr>
                <w:rFonts w:ascii="Liberation Serif" w:hAnsi="Liberation Serif"/>
                <w:b w:val="false"/>
                <w:bCs w:val="false"/>
                <w:i w:val="false"/>
                <w:iCs w:val="false"/>
                <w:strike w:val="false"/>
                <w:dstrike w:val="false"/>
                <w:outline w:val="false"/>
                <w:shadow w:val="false"/>
                <w:color w:val="auto"/>
                <w:sz w:val="22"/>
                <w:szCs w:val="22"/>
                <w:u w:val="none"/>
              </w:rPr>
              <w:t>9.32 – 10.38</w:t>
            </w:r>
          </w:p>
        </w:tc>
        <w:tc>
          <w:tcPr>
            <w:tcW w:w="1088"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2"/>
                <w:szCs w:val="22"/>
                <w:u w:val="none"/>
              </w:rPr>
            </w:pPr>
            <w:r>
              <w:rPr>
                <w:rFonts w:ascii="Liberation Serif" w:hAnsi="Liberation Serif"/>
                <w:b w:val="false"/>
                <w:bCs w:val="false"/>
                <w:i w:val="false"/>
                <w:iCs w:val="false"/>
                <w:strike w:val="false"/>
                <w:dstrike w:val="false"/>
                <w:outline w:val="false"/>
                <w:shadow w:val="false"/>
                <w:color w:val="auto"/>
                <w:sz w:val="22"/>
                <w:szCs w:val="22"/>
                <w:u w:val="none"/>
              </w:rPr>
              <w:t>0.003</w:t>
            </w:r>
          </w:p>
        </w:tc>
      </w:tr>
      <w:tr>
        <w:trPr/>
        <w:tc>
          <w:tcPr>
            <w:tcW w:w="2435"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2"/>
                <w:szCs w:val="22"/>
                <w:u w:val="none"/>
              </w:rPr>
            </w:pPr>
            <w:r>
              <w:rPr>
                <w:rFonts w:ascii="Liberation Serif" w:hAnsi="Liberation Serif"/>
                <w:b w:val="false"/>
                <w:bCs w:val="false"/>
                <w:i w:val="false"/>
                <w:iCs w:val="false"/>
                <w:strike w:val="false"/>
                <w:dstrike w:val="false"/>
                <w:outline w:val="false"/>
                <w:shadow w:val="false"/>
                <w:color w:val="auto"/>
                <w:sz w:val="22"/>
                <w:szCs w:val="22"/>
                <w:u w:val="none"/>
              </w:rPr>
              <w:t>Hispanic</w:t>
            </w:r>
          </w:p>
        </w:tc>
        <w:tc>
          <w:tcPr>
            <w:tcW w:w="1205"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2"/>
                <w:szCs w:val="22"/>
                <w:u w:val="none"/>
              </w:rPr>
            </w:pPr>
            <w:r>
              <w:rPr>
                <w:rFonts w:ascii="Liberation Serif" w:hAnsi="Liberation Serif"/>
                <w:b w:val="false"/>
                <w:bCs w:val="false"/>
                <w:i w:val="false"/>
                <w:iCs w:val="false"/>
                <w:strike w:val="false"/>
                <w:dstrike w:val="false"/>
                <w:outline w:val="false"/>
                <w:shadow w:val="false"/>
                <w:color w:val="auto"/>
                <w:sz w:val="22"/>
                <w:szCs w:val="22"/>
                <w:u w:val="none"/>
              </w:rPr>
              <w:t>77,157</w:t>
            </w:r>
          </w:p>
        </w:tc>
        <w:tc>
          <w:tcPr>
            <w:tcW w:w="1576"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2"/>
                <w:szCs w:val="22"/>
                <w:u w:val="none"/>
              </w:rPr>
            </w:pPr>
            <w:r>
              <w:rPr>
                <w:rFonts w:ascii="Liberation Serif" w:hAnsi="Liberation Serif"/>
                <w:b w:val="false"/>
                <w:bCs w:val="false"/>
                <w:i w:val="false"/>
                <w:iCs w:val="false"/>
                <w:strike w:val="false"/>
                <w:dstrike w:val="false"/>
                <w:outline w:val="false"/>
                <w:shadow w:val="false"/>
                <w:color w:val="auto"/>
                <w:sz w:val="22"/>
                <w:szCs w:val="22"/>
                <w:u w:val="none"/>
              </w:rPr>
              <w:t>215</w:t>
            </w:r>
          </w:p>
        </w:tc>
        <w:tc>
          <w:tcPr>
            <w:tcW w:w="171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2"/>
                <w:szCs w:val="22"/>
                <w:u w:val="none"/>
              </w:rPr>
            </w:pPr>
            <w:r>
              <w:rPr>
                <w:rFonts w:ascii="Liberation Serif" w:hAnsi="Liberation Serif"/>
                <w:b w:val="false"/>
                <w:bCs w:val="false"/>
                <w:i w:val="false"/>
                <w:iCs w:val="false"/>
                <w:strike w:val="false"/>
                <w:dstrike w:val="false"/>
                <w:outline w:val="false"/>
                <w:shadow w:val="false"/>
                <w:color w:val="auto"/>
                <w:sz w:val="22"/>
                <w:szCs w:val="22"/>
                <w:u w:val="none"/>
              </w:rPr>
              <w:t>6.7</w:t>
            </w:r>
          </w:p>
        </w:tc>
        <w:tc>
          <w:tcPr>
            <w:tcW w:w="1628"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2"/>
                <w:szCs w:val="22"/>
                <w:u w:val="none"/>
              </w:rPr>
            </w:pPr>
            <w:r>
              <w:rPr>
                <w:rFonts w:ascii="Liberation Serif" w:hAnsi="Liberation Serif"/>
                <w:b w:val="false"/>
                <w:bCs w:val="false"/>
                <w:i w:val="false"/>
                <w:iCs w:val="false"/>
                <w:strike w:val="false"/>
                <w:dstrike w:val="false"/>
                <w:outline w:val="false"/>
                <w:shadow w:val="false"/>
                <w:color w:val="auto"/>
                <w:sz w:val="22"/>
                <w:szCs w:val="22"/>
                <w:u w:val="none"/>
              </w:rPr>
              <w:t>6.26 – 7.15</w:t>
            </w:r>
          </w:p>
        </w:tc>
        <w:tc>
          <w:tcPr>
            <w:tcW w:w="1088"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2"/>
                <w:szCs w:val="22"/>
                <w:u w:val="none"/>
              </w:rPr>
            </w:pPr>
            <w:r>
              <w:rPr>
                <w:rFonts w:ascii="Liberation Serif" w:hAnsi="Liberation Serif"/>
                <w:b w:val="false"/>
                <w:bCs w:val="false"/>
                <w:i w:val="false"/>
                <w:iCs w:val="false"/>
                <w:strike w:val="false"/>
                <w:dstrike w:val="false"/>
                <w:outline w:val="false"/>
                <w:shadow w:val="false"/>
                <w:color w:val="auto"/>
                <w:sz w:val="22"/>
                <w:szCs w:val="22"/>
                <w:u w:val="none"/>
              </w:rPr>
              <w:t>0.002</w:t>
            </w:r>
          </w:p>
        </w:tc>
      </w:tr>
      <w:tr>
        <w:trPr/>
        <w:tc>
          <w:tcPr>
            <w:tcW w:w="2435"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2"/>
                <w:szCs w:val="22"/>
                <w:u w:val="none"/>
              </w:rPr>
            </w:pPr>
            <w:r>
              <w:rPr>
                <w:rFonts w:ascii="Liberation Serif" w:hAnsi="Liberation Serif"/>
                <w:b w:val="false"/>
                <w:bCs w:val="false"/>
                <w:i w:val="false"/>
                <w:iCs w:val="false"/>
                <w:strike w:val="false"/>
                <w:dstrike w:val="false"/>
                <w:outline w:val="false"/>
                <w:shadow w:val="false"/>
                <w:color w:val="auto"/>
                <w:sz w:val="22"/>
                <w:szCs w:val="22"/>
                <w:u w:val="none"/>
              </w:rPr>
              <w:t>Asian / Pacific Islander</w:t>
            </w:r>
          </w:p>
        </w:tc>
        <w:tc>
          <w:tcPr>
            <w:tcW w:w="1205"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2"/>
                <w:szCs w:val="22"/>
                <w:u w:val="none"/>
              </w:rPr>
            </w:pPr>
            <w:r>
              <w:rPr>
                <w:rFonts w:ascii="Liberation Serif" w:hAnsi="Liberation Serif"/>
                <w:b w:val="false"/>
                <w:bCs w:val="false"/>
                <w:i w:val="false"/>
                <w:iCs w:val="false"/>
                <w:strike w:val="false"/>
                <w:dstrike w:val="false"/>
                <w:outline w:val="false"/>
                <w:shadow w:val="false"/>
                <w:color w:val="auto"/>
                <w:sz w:val="22"/>
                <w:szCs w:val="22"/>
                <w:u w:val="none"/>
              </w:rPr>
              <w:t>61,127</w:t>
            </w:r>
          </w:p>
        </w:tc>
        <w:tc>
          <w:tcPr>
            <w:tcW w:w="1576"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2"/>
                <w:szCs w:val="22"/>
                <w:u w:val="none"/>
              </w:rPr>
            </w:pPr>
            <w:r>
              <w:rPr>
                <w:rFonts w:ascii="Liberation Serif" w:hAnsi="Liberation Serif"/>
                <w:b w:val="false"/>
                <w:bCs w:val="false"/>
                <w:i w:val="false"/>
                <w:iCs w:val="false"/>
                <w:strike w:val="false"/>
                <w:dstrike w:val="false"/>
                <w:outline w:val="false"/>
                <w:shadow w:val="false"/>
                <w:color w:val="auto"/>
                <w:sz w:val="22"/>
                <w:szCs w:val="22"/>
                <w:u w:val="none"/>
              </w:rPr>
              <w:t>214</w:t>
            </w:r>
          </w:p>
        </w:tc>
        <w:tc>
          <w:tcPr>
            <w:tcW w:w="171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2"/>
                <w:szCs w:val="22"/>
                <w:u w:val="none"/>
              </w:rPr>
            </w:pPr>
            <w:r>
              <w:rPr>
                <w:rFonts w:ascii="Liberation Serif" w:hAnsi="Liberation Serif"/>
                <w:b w:val="false"/>
                <w:bCs w:val="false"/>
                <w:i w:val="false"/>
                <w:iCs w:val="false"/>
                <w:strike w:val="false"/>
                <w:dstrike w:val="false"/>
                <w:outline w:val="false"/>
                <w:shadow w:val="false"/>
                <w:color w:val="auto"/>
                <w:sz w:val="22"/>
                <w:szCs w:val="22"/>
                <w:u w:val="none"/>
              </w:rPr>
              <w:t>6.24</w:t>
            </w:r>
          </w:p>
        </w:tc>
        <w:tc>
          <w:tcPr>
            <w:tcW w:w="1628"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2"/>
                <w:szCs w:val="22"/>
                <w:u w:val="none"/>
              </w:rPr>
            </w:pPr>
            <w:r>
              <w:rPr>
                <w:rFonts w:ascii="Liberation Serif" w:hAnsi="Liberation Serif"/>
                <w:b w:val="false"/>
                <w:bCs w:val="false"/>
                <w:i w:val="false"/>
                <w:iCs w:val="false"/>
                <w:strike w:val="false"/>
                <w:dstrike w:val="false"/>
                <w:outline w:val="false"/>
                <w:shadow w:val="false"/>
                <w:color w:val="auto"/>
                <w:sz w:val="22"/>
                <w:szCs w:val="22"/>
                <w:u w:val="none"/>
              </w:rPr>
              <w:t>5.69 – 6.82</w:t>
            </w:r>
          </w:p>
        </w:tc>
        <w:tc>
          <w:tcPr>
            <w:tcW w:w="1088"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2"/>
                <w:szCs w:val="22"/>
                <w:u w:val="none"/>
              </w:rPr>
            </w:pPr>
            <w:r>
              <w:rPr>
                <w:rFonts w:ascii="Liberation Serif" w:hAnsi="Liberation Serif"/>
                <w:b w:val="false"/>
                <w:bCs w:val="false"/>
                <w:i w:val="false"/>
                <w:iCs w:val="false"/>
                <w:strike w:val="false"/>
                <w:dstrike w:val="false"/>
                <w:outline w:val="false"/>
                <w:shadow w:val="false"/>
                <w:color w:val="auto"/>
                <w:sz w:val="22"/>
                <w:szCs w:val="22"/>
                <w:u w:val="none"/>
              </w:rPr>
              <w:t>0.003</w:t>
            </w:r>
          </w:p>
        </w:tc>
      </w:tr>
      <w:tr>
        <w:trPr/>
        <w:tc>
          <w:tcPr>
            <w:tcW w:w="2435"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2"/>
                <w:szCs w:val="22"/>
                <w:u w:val="none"/>
              </w:rPr>
            </w:pPr>
            <w:r>
              <w:rPr>
                <w:rFonts w:ascii="Liberation Serif" w:hAnsi="Liberation Serif"/>
                <w:b w:val="false"/>
                <w:bCs w:val="false"/>
                <w:i w:val="false"/>
                <w:iCs w:val="false"/>
                <w:strike w:val="false"/>
                <w:dstrike w:val="false"/>
                <w:outline w:val="false"/>
                <w:shadow w:val="false"/>
                <w:color w:val="auto"/>
                <w:sz w:val="22"/>
                <w:szCs w:val="22"/>
                <w:u w:val="none"/>
              </w:rPr>
              <w:t>American Indian / Alaska Native</w:t>
            </w:r>
          </w:p>
        </w:tc>
        <w:tc>
          <w:tcPr>
            <w:tcW w:w="1205"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2"/>
                <w:szCs w:val="22"/>
                <w:u w:val="none"/>
              </w:rPr>
            </w:pPr>
            <w:r>
              <w:rPr>
                <w:rFonts w:ascii="Liberation Serif" w:hAnsi="Liberation Serif"/>
                <w:b w:val="false"/>
                <w:bCs w:val="false"/>
                <w:i w:val="false"/>
                <w:iCs w:val="false"/>
                <w:strike w:val="false"/>
                <w:dstrike w:val="false"/>
                <w:outline w:val="false"/>
                <w:shadow w:val="false"/>
                <w:color w:val="auto"/>
                <w:sz w:val="22"/>
                <w:szCs w:val="22"/>
                <w:u w:val="none"/>
              </w:rPr>
              <w:t>4,030</w:t>
            </w:r>
          </w:p>
        </w:tc>
        <w:tc>
          <w:tcPr>
            <w:tcW w:w="1576"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2"/>
                <w:szCs w:val="22"/>
                <w:u w:val="none"/>
              </w:rPr>
            </w:pPr>
            <w:r>
              <w:rPr>
                <w:rFonts w:ascii="Liberation Serif" w:hAnsi="Liberation Serif"/>
                <w:b w:val="false"/>
                <w:bCs w:val="false"/>
                <w:i w:val="false"/>
                <w:iCs w:val="false"/>
                <w:strike w:val="false"/>
                <w:dstrike w:val="false"/>
                <w:outline w:val="false"/>
                <w:shadow w:val="false"/>
                <w:color w:val="auto"/>
                <w:sz w:val="22"/>
                <w:szCs w:val="22"/>
                <w:u w:val="none"/>
              </w:rPr>
              <w:t>200</w:t>
            </w:r>
          </w:p>
        </w:tc>
        <w:tc>
          <w:tcPr>
            <w:tcW w:w="1712"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2"/>
                <w:szCs w:val="22"/>
                <w:u w:val="none"/>
              </w:rPr>
            </w:pPr>
            <w:r>
              <w:rPr>
                <w:rFonts w:ascii="Liberation Serif" w:hAnsi="Liberation Serif"/>
                <w:b w:val="false"/>
                <w:bCs w:val="false"/>
                <w:i w:val="false"/>
                <w:iCs w:val="false"/>
                <w:strike w:val="false"/>
                <w:dstrike w:val="false"/>
                <w:outline w:val="false"/>
                <w:shadow w:val="false"/>
                <w:color w:val="auto"/>
                <w:sz w:val="22"/>
                <w:szCs w:val="22"/>
                <w:u w:val="none"/>
              </w:rPr>
              <w:t>7.17</w:t>
            </w:r>
          </w:p>
        </w:tc>
        <w:tc>
          <w:tcPr>
            <w:tcW w:w="1628"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2"/>
                <w:szCs w:val="22"/>
                <w:u w:val="none"/>
              </w:rPr>
            </w:pPr>
            <w:r>
              <w:rPr>
                <w:rFonts w:ascii="Liberation Serif" w:hAnsi="Liberation Serif"/>
                <w:b w:val="false"/>
                <w:bCs w:val="false"/>
                <w:i w:val="false"/>
                <w:iCs w:val="false"/>
                <w:strike w:val="false"/>
                <w:dstrike w:val="false"/>
                <w:outline w:val="false"/>
                <w:shadow w:val="false"/>
                <w:color w:val="auto"/>
                <w:sz w:val="22"/>
                <w:szCs w:val="22"/>
                <w:u w:val="none"/>
              </w:rPr>
              <w:t>5.80 – 8.71</w:t>
            </w:r>
          </w:p>
        </w:tc>
        <w:tc>
          <w:tcPr>
            <w:tcW w:w="1088"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2"/>
                <w:szCs w:val="22"/>
                <w:u w:val="none"/>
              </w:rPr>
            </w:pPr>
            <w:r>
              <w:rPr>
                <w:rFonts w:ascii="Liberation Serif" w:hAnsi="Liberation Serif"/>
                <w:b w:val="false"/>
                <w:bCs w:val="false"/>
                <w:i w:val="false"/>
                <w:iCs w:val="false"/>
                <w:strike w:val="false"/>
                <w:dstrike w:val="false"/>
                <w:outline w:val="false"/>
                <w:shadow w:val="false"/>
                <w:color w:val="auto"/>
                <w:sz w:val="22"/>
                <w:szCs w:val="22"/>
                <w:u w:val="none"/>
              </w:rPr>
              <w:t>0.007</w:t>
            </w:r>
          </w:p>
        </w:tc>
      </w:tr>
    </w:tbl>
    <w:p>
      <w:pPr>
        <w:pStyle w:val="normal1"/>
        <w:widowControl/>
        <w:shd w:val="clear" w:fill="auto"/>
        <w:spacing w:lineRule="auto" w:line="276" w:before="0" w:after="0"/>
        <w:ind w:hanging="0" w:start="0" w:end="0"/>
        <w:jc w:val="start"/>
        <w:rPr>
          <w:rFonts w:ascii="Liberation Serif" w:hAnsi="Liberation Serif" w:eastAsia="Liberation Serif" w:cs="Liberation Serif"/>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Liberation Serif" w:cs="Liberation Serif" w:ascii="Liberation Serif" w:hAnsi="Liberation Serif"/>
          <w:b w:val="false"/>
          <w:bCs w:val="false"/>
          <w:i w:val="false"/>
          <w:iCs w:val="false"/>
          <w:caps w:val="false"/>
          <w:smallCaps w:val="false"/>
          <w:strike w:val="false"/>
          <w:dstrike w:val="false"/>
          <w:color w:val="000000"/>
          <w:position w:val="0"/>
          <w:sz w:val="22"/>
          <w:sz w:val="22"/>
          <w:szCs w:val="22"/>
          <w:u w:val="none"/>
          <w:shd w:fill="auto" w:val="clear"/>
          <w:vertAlign w:val="baseline"/>
        </w:rPr>
      </w:r>
    </w:p>
    <w:p>
      <w:pPr>
        <w:pStyle w:val="BodyText"/>
        <w:bidi w:val="0"/>
        <w:spacing w:lineRule="auto" w:line="271" w:before="0" w:after="120"/>
        <w:ind w:hanging="0" w:start="0" w:end="0"/>
        <w:jc w:val="start"/>
        <w:rPr>
          <w:sz w:val="22"/>
          <w:szCs w:val="22"/>
        </w:rPr>
      </w:pPr>
      <w:r>
        <w:rPr>
          <w:b/>
          <w:bCs/>
          <w:color w:val="auto"/>
          <w:sz w:val="22"/>
          <w:szCs w:val="22"/>
        </w:rPr>
        <w:t>Cumulative Incidence post 5+ years milestones of Cardiovascular Mortality by Race/Ethnicity:</w:t>
      </w:r>
    </w:p>
    <w:tbl>
      <w:tblPr>
        <w:tblW w:w="9638" w:type="dxa"/>
        <w:jc w:val="start"/>
        <w:tblInd w:w="0" w:type="dxa"/>
        <w:tblLayout w:type="fixed"/>
        <w:tblCellMar>
          <w:top w:w="28" w:type="dxa"/>
          <w:start w:w="28" w:type="dxa"/>
          <w:bottom w:w="28" w:type="dxa"/>
          <w:end w:w="28" w:type="dxa"/>
        </w:tblCellMar>
      </w:tblPr>
      <w:tblGrid>
        <w:gridCol w:w="3284"/>
        <w:gridCol w:w="2036"/>
        <w:gridCol w:w="2134"/>
        <w:gridCol w:w="2183"/>
      </w:tblGrid>
      <w:tr>
        <w:trPr>
          <w:tblHeader w:val="true"/>
        </w:trPr>
        <w:tc>
          <w:tcPr>
            <w:tcW w:w="328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0"/>
              <w:ind w:hanging="0" w:start="0" w:end="0"/>
              <w:rPr/>
            </w:pPr>
            <w:r>
              <w:rPr>
                <w:rStyle w:val="Strong"/>
                <w:rFonts w:ascii="Liberation Serif" w:hAnsi="Liberation Serif"/>
                <w:color w:val="auto"/>
                <w:sz w:val="22"/>
                <w:szCs w:val="22"/>
              </w:rPr>
              <w:t>Race and Ethnicity</w:t>
            </w:r>
          </w:p>
        </w:tc>
        <w:tc>
          <w:tcPr>
            <w:tcW w:w="2036"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0"/>
              <w:ind w:hanging="0" w:start="0" w:end="0"/>
              <w:rPr/>
            </w:pPr>
            <w:r>
              <w:rPr>
                <w:rStyle w:val="Strong"/>
                <w:rFonts w:ascii="Liberation Serif" w:hAnsi="Liberation Serif"/>
                <w:color w:val="auto"/>
                <w:sz w:val="22"/>
                <w:szCs w:val="22"/>
              </w:rPr>
              <w:t>Year 10 (60 months%)</w:t>
            </w:r>
          </w:p>
        </w:tc>
        <w:tc>
          <w:tcPr>
            <w:tcW w:w="213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0"/>
              <w:ind w:hanging="0" w:start="0" w:end="0"/>
              <w:rPr/>
            </w:pPr>
            <w:r>
              <w:rPr>
                <w:rStyle w:val="Strong"/>
                <w:rFonts w:ascii="Liberation Serif" w:hAnsi="Liberation Serif"/>
                <w:color w:val="auto"/>
                <w:sz w:val="22"/>
                <w:szCs w:val="22"/>
              </w:rPr>
              <w:t>Year 15 (120 months%)</w:t>
            </w:r>
          </w:p>
        </w:tc>
        <w:tc>
          <w:tcPr>
            <w:tcW w:w="2183"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0"/>
              <w:ind w:hanging="0" w:start="0" w:end="0"/>
              <w:rPr/>
            </w:pPr>
            <w:r>
              <w:rPr>
                <w:rStyle w:val="Strong"/>
                <w:rFonts w:ascii="Liberation Serif" w:hAnsi="Liberation Serif"/>
                <w:color w:val="auto"/>
                <w:sz w:val="22"/>
                <w:szCs w:val="22"/>
              </w:rPr>
              <w:t>Year 20 (180 months%)</w:t>
            </w:r>
          </w:p>
        </w:tc>
      </w:tr>
      <w:tr>
        <w:trPr/>
        <w:tc>
          <w:tcPr>
            <w:tcW w:w="328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sz w:val="22"/>
                <w:szCs w:val="22"/>
              </w:rPr>
            </w:pPr>
            <w:r>
              <w:rPr>
                <w:rFonts w:ascii="Liberation Serif" w:hAnsi="Liberation Serif"/>
                <w:b w:val="false"/>
                <w:bCs w:val="false"/>
                <w:color w:val="auto"/>
                <w:sz w:val="22"/>
                <w:szCs w:val="22"/>
              </w:rPr>
              <w:t>Non-Hispanic White</w:t>
            </w:r>
          </w:p>
        </w:tc>
        <w:tc>
          <w:tcPr>
            <w:tcW w:w="2036"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sz w:val="22"/>
                <w:szCs w:val="22"/>
              </w:rPr>
            </w:pPr>
            <w:r>
              <w:rPr>
                <w:rFonts w:ascii="Liberation Serif" w:hAnsi="Liberation Serif"/>
                <w:color w:val="auto"/>
                <w:sz w:val="22"/>
                <w:szCs w:val="22"/>
              </w:rPr>
              <w:t>2.89%</w:t>
            </w:r>
          </w:p>
        </w:tc>
        <w:tc>
          <w:tcPr>
            <w:tcW w:w="213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sz w:val="22"/>
                <w:szCs w:val="22"/>
              </w:rPr>
            </w:pPr>
            <w:r>
              <w:rPr>
                <w:rFonts w:ascii="Liberation Serif" w:hAnsi="Liberation Serif"/>
                <w:color w:val="auto"/>
                <w:sz w:val="22"/>
                <w:szCs w:val="22"/>
              </w:rPr>
              <w:t>5.82%</w:t>
            </w:r>
          </w:p>
        </w:tc>
        <w:tc>
          <w:tcPr>
            <w:tcW w:w="2183"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sz w:val="22"/>
                <w:szCs w:val="22"/>
              </w:rPr>
            </w:pPr>
            <w:r>
              <w:rPr>
                <w:rFonts w:ascii="Liberation Serif" w:hAnsi="Liberation Serif"/>
                <w:color w:val="auto"/>
                <w:sz w:val="22"/>
                <w:szCs w:val="22"/>
              </w:rPr>
              <w:t>8.61%</w:t>
            </w:r>
          </w:p>
        </w:tc>
      </w:tr>
      <w:tr>
        <w:trPr/>
        <w:tc>
          <w:tcPr>
            <w:tcW w:w="328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sz w:val="22"/>
                <w:szCs w:val="22"/>
              </w:rPr>
            </w:pPr>
            <w:r>
              <w:rPr>
                <w:rFonts w:ascii="Liberation Serif" w:hAnsi="Liberation Serif"/>
                <w:b w:val="false"/>
                <w:bCs w:val="false"/>
                <w:color w:val="auto"/>
                <w:sz w:val="22"/>
                <w:szCs w:val="22"/>
              </w:rPr>
              <w:t>Non-Hispanic Black</w:t>
            </w:r>
          </w:p>
        </w:tc>
        <w:tc>
          <w:tcPr>
            <w:tcW w:w="2036"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sz w:val="22"/>
                <w:szCs w:val="22"/>
              </w:rPr>
            </w:pPr>
            <w:r>
              <w:rPr>
                <w:rFonts w:ascii="Liberation Serif" w:hAnsi="Liberation Serif"/>
                <w:color w:val="auto"/>
                <w:sz w:val="22"/>
                <w:szCs w:val="22"/>
              </w:rPr>
              <w:t>2.93%</w:t>
            </w:r>
          </w:p>
        </w:tc>
        <w:tc>
          <w:tcPr>
            <w:tcW w:w="213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sz w:val="22"/>
                <w:szCs w:val="22"/>
              </w:rPr>
            </w:pPr>
            <w:r>
              <w:rPr>
                <w:rFonts w:ascii="Liberation Serif" w:hAnsi="Liberation Serif"/>
                <w:color w:val="auto"/>
                <w:sz w:val="22"/>
                <w:szCs w:val="22"/>
              </w:rPr>
              <w:t>5.49%</w:t>
            </w:r>
          </w:p>
        </w:tc>
        <w:tc>
          <w:tcPr>
            <w:tcW w:w="2183"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sz w:val="22"/>
                <w:szCs w:val="22"/>
              </w:rPr>
            </w:pPr>
            <w:r>
              <w:rPr>
                <w:rFonts w:ascii="Liberation Serif" w:hAnsi="Liberation Serif"/>
                <w:color w:val="auto"/>
                <w:sz w:val="22"/>
                <w:szCs w:val="22"/>
              </w:rPr>
              <w:t>8.41%</w:t>
            </w:r>
          </w:p>
        </w:tc>
      </w:tr>
      <w:tr>
        <w:trPr/>
        <w:tc>
          <w:tcPr>
            <w:tcW w:w="328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sz w:val="22"/>
                <w:szCs w:val="22"/>
              </w:rPr>
            </w:pPr>
            <w:r>
              <w:rPr>
                <w:rFonts w:ascii="Liberation Serif" w:hAnsi="Liberation Serif"/>
                <w:b w:val="false"/>
                <w:bCs w:val="false"/>
                <w:color w:val="auto"/>
                <w:sz w:val="22"/>
                <w:szCs w:val="22"/>
              </w:rPr>
              <w:t>Hispanic</w:t>
            </w:r>
          </w:p>
        </w:tc>
        <w:tc>
          <w:tcPr>
            <w:tcW w:w="2036"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sz w:val="22"/>
                <w:szCs w:val="22"/>
              </w:rPr>
            </w:pPr>
            <w:r>
              <w:rPr>
                <w:rFonts w:ascii="Liberation Serif" w:hAnsi="Liberation Serif"/>
                <w:color w:val="auto"/>
                <w:sz w:val="22"/>
                <w:szCs w:val="22"/>
              </w:rPr>
              <w:t>1.60%</w:t>
            </w:r>
          </w:p>
        </w:tc>
        <w:tc>
          <w:tcPr>
            <w:tcW w:w="213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sz w:val="22"/>
                <w:szCs w:val="22"/>
              </w:rPr>
            </w:pPr>
            <w:r>
              <w:rPr>
                <w:rFonts w:ascii="Liberation Serif" w:hAnsi="Liberation Serif"/>
                <w:color w:val="auto"/>
                <w:sz w:val="22"/>
                <w:szCs w:val="22"/>
              </w:rPr>
              <w:t>3.54%</w:t>
            </w:r>
          </w:p>
        </w:tc>
        <w:tc>
          <w:tcPr>
            <w:tcW w:w="2183"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sz w:val="22"/>
                <w:szCs w:val="22"/>
              </w:rPr>
            </w:pPr>
            <w:r>
              <w:rPr>
                <w:rFonts w:ascii="Liberation Serif" w:hAnsi="Liberation Serif"/>
                <w:color w:val="auto"/>
                <w:sz w:val="22"/>
                <w:szCs w:val="22"/>
              </w:rPr>
              <w:t>5.64%</w:t>
            </w:r>
          </w:p>
        </w:tc>
      </w:tr>
      <w:tr>
        <w:trPr/>
        <w:tc>
          <w:tcPr>
            <w:tcW w:w="328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sz w:val="22"/>
                <w:szCs w:val="22"/>
              </w:rPr>
            </w:pPr>
            <w:r>
              <w:rPr>
                <w:rFonts w:ascii="Liberation Serif" w:hAnsi="Liberation Serif"/>
                <w:b w:val="false"/>
                <w:bCs w:val="false"/>
                <w:color w:val="auto"/>
                <w:sz w:val="22"/>
                <w:szCs w:val="22"/>
              </w:rPr>
              <w:t>Asian / Pacific Islander</w:t>
            </w:r>
          </w:p>
        </w:tc>
        <w:tc>
          <w:tcPr>
            <w:tcW w:w="2036"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sz w:val="22"/>
                <w:szCs w:val="22"/>
              </w:rPr>
            </w:pPr>
            <w:r>
              <w:rPr>
                <w:rFonts w:ascii="Liberation Serif" w:hAnsi="Liberation Serif"/>
                <w:color w:val="auto"/>
                <w:sz w:val="22"/>
                <w:szCs w:val="22"/>
              </w:rPr>
              <w:t>1.31%</w:t>
            </w:r>
          </w:p>
        </w:tc>
        <w:tc>
          <w:tcPr>
            <w:tcW w:w="213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sz w:val="22"/>
                <w:szCs w:val="22"/>
              </w:rPr>
            </w:pPr>
            <w:r>
              <w:rPr>
                <w:rFonts w:ascii="Liberation Serif" w:hAnsi="Liberation Serif"/>
                <w:color w:val="auto"/>
                <w:sz w:val="22"/>
                <w:szCs w:val="22"/>
              </w:rPr>
              <w:t>3.07%</w:t>
            </w:r>
          </w:p>
        </w:tc>
        <w:tc>
          <w:tcPr>
            <w:tcW w:w="2183"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sz w:val="22"/>
                <w:szCs w:val="22"/>
              </w:rPr>
            </w:pPr>
            <w:r>
              <w:rPr>
                <w:rFonts w:ascii="Liberation Serif" w:hAnsi="Liberation Serif"/>
                <w:color w:val="auto"/>
                <w:sz w:val="22"/>
                <w:szCs w:val="22"/>
              </w:rPr>
              <w:t>5.03%</w:t>
            </w:r>
          </w:p>
        </w:tc>
      </w:tr>
      <w:tr>
        <w:trPr/>
        <w:tc>
          <w:tcPr>
            <w:tcW w:w="328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sz w:val="22"/>
                <w:szCs w:val="22"/>
              </w:rPr>
            </w:pPr>
            <w:r>
              <w:rPr>
                <w:rFonts w:ascii="Liberation Serif" w:hAnsi="Liberation Serif"/>
                <w:b w:val="false"/>
                <w:bCs w:val="false"/>
                <w:color w:val="auto"/>
                <w:sz w:val="22"/>
                <w:szCs w:val="22"/>
              </w:rPr>
              <w:t>American Indian / Alaska Native</w:t>
            </w:r>
          </w:p>
        </w:tc>
        <w:tc>
          <w:tcPr>
            <w:tcW w:w="2036"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sz w:val="22"/>
                <w:szCs w:val="22"/>
              </w:rPr>
            </w:pPr>
            <w:r>
              <w:rPr>
                <w:rFonts w:ascii="Liberation Serif" w:hAnsi="Liberation Serif"/>
                <w:color w:val="auto"/>
                <w:sz w:val="22"/>
                <w:szCs w:val="22"/>
              </w:rPr>
              <w:t>1.55%</w:t>
            </w:r>
          </w:p>
        </w:tc>
        <w:tc>
          <w:tcPr>
            <w:tcW w:w="213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sz w:val="22"/>
                <w:szCs w:val="22"/>
              </w:rPr>
            </w:pPr>
            <w:r>
              <w:rPr>
                <w:rFonts w:ascii="Liberation Serif" w:hAnsi="Liberation Serif"/>
                <w:color w:val="auto"/>
                <w:sz w:val="22"/>
                <w:szCs w:val="22"/>
              </w:rPr>
              <w:t>3.59%</w:t>
            </w:r>
          </w:p>
        </w:tc>
        <w:tc>
          <w:tcPr>
            <w:tcW w:w="2183"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sz w:val="22"/>
                <w:szCs w:val="22"/>
              </w:rPr>
            </w:pPr>
            <w:r>
              <w:rPr>
                <w:rFonts w:ascii="Liberation Serif" w:hAnsi="Liberation Serif"/>
                <w:color w:val="auto"/>
                <w:sz w:val="22"/>
                <w:szCs w:val="22"/>
              </w:rPr>
              <w:t>6.71%</w:t>
            </w:r>
          </w:p>
        </w:tc>
      </w:tr>
    </w:tbl>
    <w:p>
      <w:pPr>
        <w:pStyle w:val="BodyText"/>
        <w:bidi w:val="0"/>
        <w:spacing w:lineRule="auto" w:line="271" w:before="0" w:after="120"/>
        <w:ind w:hanging="0" w:start="0" w:end="0"/>
        <w:jc w:val="start"/>
        <w:rPr>
          <w:rFonts w:ascii="Google Sans Text;sans-serif" w:hAnsi="Google Sans Text;sans-serif"/>
          <w:color w:val="auto"/>
        </w:rPr>
      </w:pPr>
      <w:r>
        <w:rPr>
          <w:rFonts w:ascii="Google Sans Text;sans-serif" w:hAnsi="Google Sans Text;sans-serif"/>
          <w:color w:val="auto"/>
        </w:rPr>
      </w:r>
    </w:p>
    <w:p>
      <w:pPr>
        <w:pStyle w:val="normal1"/>
        <w:widowControl/>
        <w:shd w:val="clear" w:fill="auto"/>
        <w:spacing w:lineRule="auto" w:line="276" w:before="0" w:after="0"/>
        <w:ind w:hanging="0" w:start="0" w:end="0"/>
        <w:jc w:val="start"/>
        <w:rPr>
          <w:rFonts w:ascii="Liberation Serif" w:hAnsi="Liberation Serif" w:eastAsia="Liberation Serif" w:cs="Liberation Serif"/>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Liberation Serif" w:cs="Liberation Serif" w:ascii="Liberation Serif" w:hAnsi="Liberation Serif"/>
          <w:b w:val="false"/>
          <w:bCs w:val="false"/>
          <w:i w:val="false"/>
          <w:iCs w:val="false"/>
          <w:caps w:val="false"/>
          <w:smallCaps w:val="false"/>
          <w:strike w:val="false"/>
          <w:dstrike w:val="false"/>
          <w:color w:val="000000"/>
          <w:position w:val="0"/>
          <w:sz w:val="22"/>
          <w:sz w:val="22"/>
          <w:szCs w:val="22"/>
          <w:u w:val="none"/>
          <w:shd w:fill="auto" w:val="clear"/>
          <w:vertAlign w:val="baseline"/>
        </w:rPr>
      </w:r>
    </w:p>
    <w:p>
      <w:pPr>
        <w:pStyle w:val="Heading3"/>
        <w:widowControl/>
        <w:shd w:val="clear" w:fill="auto"/>
        <w:spacing w:lineRule="auto" w:line="276" w:before="0" w:after="0"/>
        <w:ind w:hanging="0" w:start="0" w:end="0"/>
        <w:jc w:val="start"/>
        <w:rPr>
          <w:rFonts w:ascii="Liberation Serif" w:hAnsi="Liberation Serif" w:eastAsia="Liberation Serif" w:cs="Liberation Serif"/>
          <w:b/>
          <w:bCs/>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Liberation Serif" w:cs="Liberation Serif" w:ascii="Liberation Serif" w:hAnsi="Liberation Serif"/>
          <w:b/>
          <w:bCs/>
          <w:i w:val="false"/>
          <w:iCs w:val="false"/>
          <w:caps w:val="false"/>
          <w:smallCaps w:val="false"/>
          <w:strike w:val="false"/>
          <w:dstrike w:val="false"/>
          <w:color w:val="000000"/>
          <w:position w:val="0"/>
          <w:sz w:val="22"/>
          <w:sz w:val="22"/>
          <w:szCs w:val="22"/>
          <w:u w:val="none"/>
          <w:shd w:fill="auto" w:val="clear"/>
          <w:vertAlign w:val="baseline"/>
        </w:rPr>
        <w:t xml:space="preserve">Table 3: </w:t>
      </w:r>
      <w:r>
        <w:rPr>
          <w:rFonts w:eastAsia="Liberation Serif" w:cs="Liberation Serif" w:ascii="Liberation Serif" w:hAnsi="Liberation Serif"/>
          <w:b w:val="false"/>
          <w:bCs w:val="false"/>
          <w:i w:val="false"/>
          <w:iCs w:val="false"/>
          <w:caps w:val="false"/>
          <w:smallCaps w:val="false"/>
          <w:strike w:val="false"/>
          <w:dstrike w:val="false"/>
          <w:color w:val="000000"/>
          <w:position w:val="0"/>
          <w:sz w:val="22"/>
          <w:sz w:val="22"/>
          <w:szCs w:val="22"/>
          <w:u w:val="none"/>
          <w:shd w:fill="auto" w:val="clear"/>
          <w:vertAlign w:val="baseline"/>
        </w:rPr>
        <w:t>Fine-Gray Subdistribution Hazard Analysis of Cardiovascular Mortality by Race and Ethnicity</w:t>
      </w:r>
    </w:p>
    <w:tbl>
      <w:tblPr>
        <w:tblW w:w="9638" w:type="dxa"/>
        <w:jc w:val="start"/>
        <w:tblInd w:w="0" w:type="dxa"/>
        <w:tblLayout w:type="fixed"/>
        <w:tblCellMar>
          <w:top w:w="0" w:type="dxa"/>
          <w:start w:w="0" w:type="dxa"/>
          <w:bottom w:w="0" w:type="dxa"/>
          <w:end w:w="0" w:type="dxa"/>
        </w:tblCellMar>
      </w:tblPr>
      <w:tblGrid>
        <w:gridCol w:w="3620"/>
        <w:gridCol w:w="3863"/>
        <w:gridCol w:w="1196"/>
        <w:gridCol w:w="958"/>
      </w:tblGrid>
      <w:tr>
        <w:trPr/>
        <w:tc>
          <w:tcPr>
            <w:tcW w:w="3620"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2"/>
                <w:szCs w:val="22"/>
                <w:u w:val="none"/>
              </w:rPr>
              <w:t>Race and Ethnicity</w:t>
            </w:r>
          </w:p>
        </w:tc>
        <w:tc>
          <w:tcPr>
            <w:tcW w:w="3863"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2"/>
                <w:szCs w:val="22"/>
                <w:u w:val="none"/>
              </w:rPr>
              <w:t>Subdistribution Hazard Ratio (sHR%)</w:t>
            </w:r>
          </w:p>
        </w:tc>
        <w:tc>
          <w:tcPr>
            <w:tcW w:w="1196"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2"/>
                <w:szCs w:val="22"/>
                <w:u w:val="none"/>
              </w:rPr>
              <w:t>95% CI</w:t>
            </w:r>
          </w:p>
        </w:tc>
        <w:tc>
          <w:tcPr>
            <w:tcW w:w="958"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2"/>
                <w:szCs w:val="22"/>
                <w:u w:val="none"/>
              </w:rPr>
              <w:t>P-value</w:t>
            </w:r>
          </w:p>
        </w:tc>
      </w:tr>
      <w:tr>
        <w:trPr/>
        <w:tc>
          <w:tcPr>
            <w:tcW w:w="3620"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Non-Hispanic White</w:t>
            </w:r>
          </w:p>
        </w:tc>
        <w:tc>
          <w:tcPr>
            <w:tcW w:w="3863"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1.00 (Ref%)</w:t>
            </w:r>
          </w:p>
        </w:tc>
        <w:tc>
          <w:tcPr>
            <w:tcW w:w="1196"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w:t>
            </w:r>
          </w:p>
        </w:tc>
        <w:tc>
          <w:tcPr>
            <w:tcW w:w="958"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w:t>
            </w:r>
          </w:p>
        </w:tc>
      </w:tr>
      <w:tr>
        <w:trPr/>
        <w:tc>
          <w:tcPr>
            <w:tcW w:w="3620"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Non-Hispanic Black</w:t>
            </w:r>
          </w:p>
        </w:tc>
        <w:tc>
          <w:tcPr>
            <w:tcW w:w="3863"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0.97</w:t>
            </w:r>
          </w:p>
        </w:tc>
        <w:tc>
          <w:tcPr>
            <w:tcW w:w="1196"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0.89 – 1.05</w:t>
            </w:r>
          </w:p>
        </w:tc>
        <w:tc>
          <w:tcPr>
            <w:tcW w:w="958"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0.44</w:t>
            </w:r>
          </w:p>
        </w:tc>
      </w:tr>
      <w:tr>
        <w:trPr/>
        <w:tc>
          <w:tcPr>
            <w:tcW w:w="3620"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Hispanic</w:t>
            </w:r>
          </w:p>
        </w:tc>
        <w:tc>
          <w:tcPr>
            <w:tcW w:w="3863"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0.57</w:t>
            </w:r>
          </w:p>
        </w:tc>
        <w:tc>
          <w:tcPr>
            <w:tcW w:w="1196"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0.52 – 0.63</w:t>
            </w:r>
          </w:p>
        </w:tc>
        <w:tc>
          <w:tcPr>
            <w:tcW w:w="958"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&lt;0.001</w:t>
            </w:r>
          </w:p>
        </w:tc>
      </w:tr>
      <w:tr>
        <w:trPr/>
        <w:tc>
          <w:tcPr>
            <w:tcW w:w="3620"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Asian / Pacific Islander</w:t>
            </w:r>
          </w:p>
        </w:tc>
        <w:tc>
          <w:tcPr>
            <w:tcW w:w="3863"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0.51</w:t>
            </w:r>
          </w:p>
        </w:tc>
        <w:tc>
          <w:tcPr>
            <w:tcW w:w="1196"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0.45 – 0.57</w:t>
            </w:r>
          </w:p>
        </w:tc>
        <w:tc>
          <w:tcPr>
            <w:tcW w:w="958"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&lt;0.001</w:t>
            </w:r>
          </w:p>
        </w:tc>
      </w:tr>
      <w:tr>
        <w:trPr/>
        <w:tc>
          <w:tcPr>
            <w:tcW w:w="3620"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American Indian / Alaska Native</w:t>
            </w:r>
          </w:p>
        </w:tc>
        <w:tc>
          <w:tcPr>
            <w:tcW w:w="3863"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0.6</w:t>
            </w:r>
          </w:p>
        </w:tc>
        <w:tc>
          <w:tcPr>
            <w:tcW w:w="1196"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0.41 – 0.90</w:t>
            </w:r>
          </w:p>
        </w:tc>
        <w:tc>
          <w:tcPr>
            <w:tcW w:w="958"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0.01</w:t>
            </w:r>
          </w:p>
        </w:tc>
      </w:tr>
    </w:tbl>
    <w:p>
      <w:pPr>
        <w:pStyle w:val="normal1"/>
        <w:widowControl/>
        <w:shd w:val="clear" w:fill="auto"/>
        <w:spacing w:lineRule="auto" w:line="276" w:before="0" w:after="0"/>
        <w:ind w:hanging="0" w:start="0" w:end="0"/>
        <w:jc w:val="start"/>
        <w:rPr>
          <w:color w:val="auto"/>
        </w:rPr>
      </w:pPr>
      <w:r>
        <w:rPr>
          <w:rFonts w:ascii="Liberation Serif" w:hAnsi="Liberation Serif"/>
          <w:b w:val="false"/>
          <w:bCs w:val="false"/>
          <w:color w:val="auto"/>
          <w:position w:val="0"/>
          <w:sz w:val="22"/>
          <w:sz w:val="22"/>
          <w:szCs w:val="22"/>
          <w:vertAlign w:val="baseline"/>
        </w:rPr>
        <w:t xml:space="preserve">* </w:t>
      </w:r>
      <w:r>
        <w:rPr>
          <w:rFonts w:ascii="Liberation Serif" w:hAnsi="Liberation Serif"/>
          <w:b w:val="false"/>
          <w:color w:val="auto"/>
          <w:spacing w:val="0"/>
          <w:sz w:val="22"/>
          <w:szCs w:val="22"/>
        </w:rPr>
        <w:t>Data was shown as sHR (95% CI%). Ref, reference; sHR:  subdistribution hazard ratio; CI, confidence interval</w:t>
      </w:r>
    </w:p>
    <w:p>
      <w:pPr>
        <w:pStyle w:val="normal1"/>
        <w:widowControl/>
        <w:shd w:val="clear" w:fill="auto"/>
        <w:spacing w:lineRule="auto" w:line="276" w:before="0" w:after="0"/>
        <w:ind w:hanging="0" w:start="0" w:end="0"/>
        <w:jc w:val="start"/>
        <w:rPr>
          <w:rFonts w:ascii="Liberation Serif" w:hAnsi="Liberation Serif" w:eastAsia="Liberation Serif" w:cs="Liberation Serif"/>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Liberation Serif" w:cs="Liberation Serif" w:ascii="Liberation Serif" w:hAnsi="Liberation Serif"/>
          <w:b w:val="false"/>
          <w:bCs w:val="false"/>
          <w:i w:val="false"/>
          <w:iCs w:val="false"/>
          <w:caps w:val="false"/>
          <w:smallCaps w:val="false"/>
          <w:strike w:val="false"/>
          <w:dstrike w:val="false"/>
          <w:color w:val="000000"/>
          <w:position w:val="0"/>
          <w:sz w:val="22"/>
          <w:sz w:val="22"/>
          <w:szCs w:val="22"/>
          <w:u w:val="none"/>
          <w:shd w:fill="auto" w:val="clear"/>
          <w:vertAlign w:val="baseline"/>
        </w:rPr>
      </w:r>
    </w:p>
    <w:p>
      <w:pPr>
        <w:pStyle w:val="normal1"/>
        <w:widowControl/>
        <w:shd w:val="clear" w:fill="auto"/>
        <w:spacing w:lineRule="auto" w:line="276" w:before="0" w:after="0"/>
        <w:ind w:hanging="0" w:start="0" w:end="0"/>
        <w:jc w:val="start"/>
        <w:rPr>
          <w:rFonts w:ascii="Liberation Serif" w:hAnsi="Liberation Serif" w:eastAsia="Liberation Serif" w:cs="Liberation Serif"/>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Liberation Serif" w:cs="Liberation Serif" w:ascii="Liberation Serif" w:hAnsi="Liberation Serif"/>
          <w:b w:val="false"/>
          <w:bCs w:val="false"/>
          <w:i w:val="false"/>
          <w:iCs w:val="false"/>
          <w:caps w:val="false"/>
          <w:smallCaps w:val="false"/>
          <w:strike w:val="false"/>
          <w:dstrike w:val="false"/>
          <w:color w:val="000000"/>
          <w:position w:val="0"/>
          <w:sz w:val="22"/>
          <w:sz w:val="22"/>
          <w:szCs w:val="22"/>
          <w:u w:val="none"/>
          <w:shd w:fill="auto" w:val="clear"/>
          <w:vertAlign w:val="baseline"/>
        </w:rPr>
      </w:r>
    </w:p>
    <w:p>
      <w:pPr>
        <w:pStyle w:val="normal1"/>
        <w:widowControl/>
        <w:shd w:val="clear" w:fill="auto"/>
        <w:spacing w:lineRule="auto" w:line="276" w:before="0" w:after="0"/>
        <w:ind w:hanging="0" w:start="0" w:end="0"/>
        <w:jc w:val="start"/>
        <w:rPr>
          <w:b/>
          <w:bCs/>
        </w:rPr>
      </w:pPr>
      <w:r>
        <w:rPr>
          <w:b/>
          <w:bCs/>
        </w:rPr>
      </w:r>
      <w:r>
        <w:br w:type="page"/>
      </w:r>
    </w:p>
    <w:p>
      <w:pPr>
        <w:pStyle w:val="normal1"/>
        <w:widowControl/>
        <w:shd w:val="clear" w:fill="auto"/>
        <w:spacing w:lineRule="auto" w:line="276" w:before="0" w:after="0"/>
        <w:ind w:hanging="0" w:start="0" w:end="0"/>
        <w:jc w:val="start"/>
        <w:rPr>
          <w:b/>
          <w:bCs/>
        </w:rPr>
      </w:pPr>
      <w:r>
        <w:rPr>
          <w:rFonts w:eastAsia="Liberation Serif" w:cs="Liberation Serif" w:ascii="Liberation Serif" w:hAnsi="Liberation Serif"/>
          <w:b/>
          <w:bCs/>
          <w:i w:val="false"/>
          <w:iCs w:val="false"/>
          <w:caps w:val="false"/>
          <w:smallCaps w:val="false"/>
          <w:strike w:val="false"/>
          <w:dstrike w:val="false"/>
          <w:color w:val="000000"/>
          <w:position w:val="0"/>
          <w:sz w:val="22"/>
          <w:sz w:val="22"/>
          <w:szCs w:val="22"/>
          <w:u w:val="none"/>
          <w:shd w:fill="auto" w:val="clear"/>
          <w:vertAlign w:val="baseline"/>
        </w:rPr>
        <w:t>5. Cumulative Incidence of Cardiovascular Mortality Among Long-Term Female Breast Cancer Survivors</w:t>
      </w:r>
      <w:r>
        <w:rPr>
          <w:rFonts w:eastAsia="Liberation Serif" w:cs="Liberation Serif" w:ascii="Liberation Serif" w:hAnsi="Liberation Serif"/>
          <w:b/>
          <w:bCs w:val="false"/>
          <w:i w:val="false"/>
          <w:iCs w:val="false"/>
          <w:caps w:val="false"/>
          <w:smallCaps w:val="false"/>
          <w:strike w:val="false"/>
          <w:dstrike w:val="false"/>
          <w:color w:val="000000"/>
          <w:position w:val="0"/>
          <w:sz w:val="22"/>
          <w:sz w:val="22"/>
          <w:szCs w:val="22"/>
          <w:u w:val="none"/>
          <w:shd w:fill="auto" w:val="clear"/>
          <w:vertAlign w:val="baseline"/>
        </w:rPr>
        <w:t xml:space="preserve">, </w:t>
      </w:r>
      <w:r>
        <w:rPr>
          <w:rFonts w:eastAsia="Liberation Serif" w:cs="Liberation Serif" w:ascii="Liberation Serif" w:hAnsi="Liberation Serif"/>
          <w:b/>
          <w:bCs/>
          <w:i w:val="false"/>
          <w:iCs w:val="false"/>
          <w:caps w:val="false"/>
          <w:smallCaps w:val="false"/>
          <w:strike w:val="false"/>
          <w:dstrike w:val="false"/>
          <w:color w:val="000000"/>
          <w:position w:val="0"/>
          <w:sz w:val="22"/>
          <w:sz w:val="22"/>
          <w:szCs w:val="22"/>
          <w:u w:val="none"/>
          <w:shd w:fill="auto" w:val="clear"/>
          <w:vertAlign w:val="baseline"/>
        </w:rPr>
        <w:t>by Rural/Urban</w:t>
      </w:r>
    </w:p>
    <w:p>
      <w:pPr>
        <w:pStyle w:val="normal1"/>
        <w:widowControl/>
        <w:shd w:val="clear" w:fill="auto"/>
        <w:spacing w:lineRule="auto" w:line="276" w:before="0" w:after="0"/>
        <w:ind w:hanging="0" w:start="0" w:end="0"/>
        <w:jc w:val="start"/>
        <w:rPr>
          <w:rFonts w:ascii="Liberation Serif" w:hAnsi="Liberation Serif" w:eastAsia="Liberation Serif" w:cs="Liberation Serif"/>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120130" cy="3671570"/>
            <wp:effectExtent l="0" t="0" r="0" b="0"/>
            <wp:wrapSquare wrapText="largest"/>
            <wp:docPr id="5"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title=""/>
                    <pic:cNvPicPr>
                      <a:picLocks noChangeAspect="1" noChangeArrowheads="1"/>
                    </pic:cNvPicPr>
                  </pic:nvPicPr>
                  <pic:blipFill>
                    <a:blip r:embed="rId6"/>
                    <a:stretch>
                      <a:fillRect/>
                    </a:stretch>
                  </pic:blipFill>
                  <pic:spPr bwMode="auto">
                    <a:xfrm>
                      <a:off x="0" y="0"/>
                      <a:ext cx="6120130" cy="3671570"/>
                    </a:xfrm>
                    <a:prstGeom prst="rect">
                      <a:avLst/>
                    </a:prstGeom>
                  </pic:spPr>
                </pic:pic>
              </a:graphicData>
            </a:graphic>
          </wp:anchor>
        </w:drawing>
      </w:r>
      <w:r>
        <w:rPr>
          <w:rFonts w:eastAsia="Liberation Serif" w:cs="Liberation Serif" w:ascii="Liberation Serif" w:hAnsi="Liberation Serif"/>
          <w:b/>
          <w:bCs/>
          <w:i w:val="false"/>
          <w:iCs w:val="false"/>
          <w:caps w:val="false"/>
          <w:smallCaps w:val="false"/>
          <w:strike w:val="false"/>
          <w:dstrike w:val="false"/>
          <w:color w:val="000000"/>
          <w:position w:val="0"/>
          <w:sz w:val="22"/>
          <w:sz w:val="22"/>
          <w:szCs w:val="22"/>
          <w:u w:val="none"/>
          <w:shd w:fill="auto" w:val="clear"/>
          <w:vertAlign w:val="baseline"/>
        </w:rPr>
        <w:t xml:space="preserve">Figure 5: </w:t>
      </w:r>
      <w:r>
        <w:rPr>
          <w:rFonts w:eastAsia="Liberation Serif" w:cs="Liberation Serif" w:ascii="Liberation Serif" w:hAnsi="Liberation Serif"/>
          <w:b w:val="false"/>
          <w:bCs w:val="false"/>
          <w:i w:val="false"/>
          <w:iCs w:val="false"/>
          <w:caps w:val="false"/>
          <w:smallCaps w:val="false"/>
          <w:strike w:val="false"/>
          <w:dstrike w:val="false"/>
          <w:color w:val="000000"/>
          <w:position w:val="0"/>
          <w:sz w:val="22"/>
          <w:sz w:val="22"/>
          <w:szCs w:val="22"/>
          <w:u w:val="none"/>
          <w:shd w:fill="auto" w:val="clear"/>
          <w:vertAlign w:val="baseline"/>
        </w:rPr>
        <w:t>Cumulative Incidence of Cardiovascular Death by Geographic Location</w:t>
      </w:r>
    </w:p>
    <w:p>
      <w:pPr>
        <w:pStyle w:val="normal1"/>
        <w:widowControl/>
        <w:shd w:val="clear" w:fill="auto"/>
        <w:spacing w:lineRule="auto" w:line="276" w:before="0" w:after="0"/>
        <w:ind w:hanging="0" w:start="0" w:end="0"/>
        <w:jc w:val="start"/>
        <w:rPr>
          <w:rFonts w:ascii="Liberation Serif" w:hAnsi="Liberation Serif" w:eastAsia="Liberation Serif" w:cs="Liberation Serif"/>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Liberation Serif" w:cs="Liberation Serif" w:ascii="Liberation Serif" w:hAnsi="Liberation Serif"/>
          <w:b w:val="false"/>
          <w:bCs w:val="false"/>
          <w:i w:val="false"/>
          <w:iCs w:val="false"/>
          <w:caps w:val="false"/>
          <w:smallCaps w:val="false"/>
          <w:strike w:val="false"/>
          <w:dstrike w:val="false"/>
          <w:color w:val="000000"/>
          <w:position w:val="0"/>
          <w:sz w:val="22"/>
          <w:sz w:val="22"/>
          <w:szCs w:val="22"/>
          <w:u w:val="none"/>
          <w:shd w:fill="auto" w:val="clear"/>
          <w:vertAlign w:val="baseline"/>
        </w:rPr>
      </w:r>
    </w:p>
    <w:tbl>
      <w:tblPr>
        <w:tblW w:w="9645" w:type="dxa"/>
        <w:jc w:val="start"/>
        <w:tblInd w:w="0" w:type="dxa"/>
        <w:tblLayout w:type="fixed"/>
        <w:tblCellMar>
          <w:top w:w="0" w:type="dxa"/>
          <w:start w:w="0" w:type="dxa"/>
          <w:bottom w:w="0" w:type="dxa"/>
          <w:end w:w="0" w:type="dxa"/>
        </w:tblCellMar>
      </w:tblPr>
      <w:tblGrid>
        <w:gridCol w:w="2253"/>
        <w:gridCol w:w="1240"/>
        <w:gridCol w:w="1906"/>
        <w:gridCol w:w="1711"/>
        <w:gridCol w:w="1529"/>
        <w:gridCol w:w="1005"/>
      </w:tblGrid>
      <w:tr>
        <w:trPr/>
        <w:tc>
          <w:tcPr>
            <w:tcW w:w="2253"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0"/>
                <w:szCs w:val="20"/>
                <w:u w:val="none"/>
              </w:rPr>
              <w:t>Geographic Location</w:t>
            </w:r>
          </w:p>
        </w:tc>
        <w:tc>
          <w:tcPr>
            <w:tcW w:w="1240"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0"/>
                <w:szCs w:val="20"/>
                <w:u w:val="none"/>
              </w:rPr>
              <w:t>Cohort Size (N%)</w:t>
            </w:r>
          </w:p>
        </w:tc>
        <w:tc>
          <w:tcPr>
            <w:tcW w:w="1906"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0"/>
                <w:szCs w:val="20"/>
                <w:u w:val="none"/>
              </w:rPr>
              <w:t>Final Follow-up (Months%)</w:t>
            </w:r>
          </w:p>
        </w:tc>
        <w:tc>
          <w:tcPr>
            <w:tcW w:w="1711"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0"/>
                <w:szCs w:val="20"/>
                <w:u w:val="none"/>
              </w:rPr>
              <w:t>Cumulative Incidence (%%)</w:t>
            </w:r>
          </w:p>
        </w:tc>
        <w:tc>
          <w:tcPr>
            <w:tcW w:w="1529"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0"/>
                <w:szCs w:val="20"/>
                <w:u w:val="none"/>
              </w:rPr>
              <w:t>95% CI</w:t>
            </w:r>
          </w:p>
        </w:tc>
        <w:tc>
          <w:tcPr>
            <w:tcW w:w="1005"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bCs/>
                <w:i w:val="false"/>
                <w:i w:val="false"/>
                <w:iCs w:val="false"/>
                <w:strike w:val="false"/>
                <w:dstrike w:val="false"/>
                <w:outline w:val="false"/>
                <w:shadow w:val="false"/>
                <w:color w:val="000000"/>
                <w:sz w:val="20"/>
                <w:szCs w:val="20"/>
                <w:u w:val="none"/>
              </w:rPr>
            </w:pPr>
            <w:r>
              <w:rPr>
                <w:rFonts w:ascii="Liberation Serif" w:hAnsi="Liberation Serif"/>
                <w:b/>
                <w:bCs/>
                <w:i w:val="false"/>
                <w:iCs w:val="false"/>
                <w:strike w:val="false"/>
                <w:dstrike w:val="false"/>
                <w:outline w:val="false"/>
                <w:shadow w:val="false"/>
                <w:color w:val="auto"/>
                <w:sz w:val="20"/>
                <w:szCs w:val="20"/>
                <w:u w:val="none"/>
              </w:rPr>
              <w:t>SE</w:t>
            </w:r>
          </w:p>
        </w:tc>
      </w:tr>
      <w:tr>
        <w:trPr/>
        <w:tc>
          <w:tcPr>
            <w:tcW w:w="2253"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Urban (Metropolitan%)</w:t>
            </w:r>
          </w:p>
        </w:tc>
        <w:tc>
          <w:tcPr>
            <w:tcW w:w="1240"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20"/>
                <w:szCs w:val="20"/>
                <w:u w:val="none"/>
              </w:rPr>
              <w:t>667,548</w:t>
            </w:r>
          </w:p>
        </w:tc>
        <w:tc>
          <w:tcPr>
            <w:tcW w:w="1906"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20"/>
                <w:szCs w:val="20"/>
                <w:u w:val="none"/>
              </w:rPr>
              <w:t>215</w:t>
            </w:r>
          </w:p>
        </w:tc>
        <w:tc>
          <w:tcPr>
            <w:tcW w:w="1711"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9.36</w:t>
            </w:r>
          </w:p>
        </w:tc>
        <w:tc>
          <w:tcPr>
            <w:tcW w:w="1529"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9.18 – 9.55</w:t>
            </w:r>
          </w:p>
        </w:tc>
        <w:tc>
          <w:tcPr>
            <w:tcW w:w="1005"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0.001</w:t>
            </w:r>
          </w:p>
        </w:tc>
      </w:tr>
      <w:tr>
        <w:trPr/>
        <w:tc>
          <w:tcPr>
            <w:tcW w:w="2253"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Rural (Nonmetropolitan%)</w:t>
            </w:r>
          </w:p>
        </w:tc>
        <w:tc>
          <w:tcPr>
            <w:tcW w:w="1240" w:type="dxa"/>
            <w:tcBorders>
              <w:bottom w:val="single" w:sz="6" w:space="0" w:color="000000"/>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20"/>
                <w:szCs w:val="20"/>
                <w:u w:val="none"/>
              </w:rPr>
              <w:t>79,264</w:t>
            </w:r>
          </w:p>
        </w:tc>
        <w:tc>
          <w:tcPr>
            <w:tcW w:w="1906" w:type="dxa"/>
            <w:tcBorders>
              <w:bottom w:val="single" w:sz="6" w:space="0" w:color="000000"/>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20"/>
                <w:szCs w:val="20"/>
                <w:u w:val="none"/>
              </w:rPr>
              <w:t>215</w:t>
            </w:r>
          </w:p>
        </w:tc>
        <w:tc>
          <w:tcPr>
            <w:tcW w:w="1711"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11.23</w:t>
            </w:r>
          </w:p>
        </w:tc>
        <w:tc>
          <w:tcPr>
            <w:tcW w:w="1529"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10.70 – 11.76</w:t>
            </w:r>
          </w:p>
        </w:tc>
        <w:tc>
          <w:tcPr>
            <w:tcW w:w="1005"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0.003</w:t>
            </w:r>
          </w:p>
        </w:tc>
      </w:tr>
    </w:tbl>
    <w:p>
      <w:pPr>
        <w:pStyle w:val="normal1"/>
        <w:widowControl/>
        <w:shd w:val="clear" w:fill="auto"/>
        <w:spacing w:lineRule="auto" w:line="276" w:before="0" w:after="0"/>
        <w:ind w:hanging="0" w:start="0" w:end="0"/>
        <w:jc w:val="start"/>
        <w:rPr>
          <w:rFonts w:ascii="Liberation Serif" w:hAnsi="Liberation Serif" w:eastAsia="Liberation Serif" w:cs="Liberation Serif"/>
          <w:b/>
          <w:bCs/>
          <w:i w:val="false"/>
          <w:i w:val="false"/>
          <w:iCs w:val="false"/>
          <w:caps w:val="false"/>
          <w:smallCaps w:val="false"/>
          <w:strike w:val="false"/>
          <w:dstrike w:val="false"/>
          <w:color w:val="auto"/>
          <w:sz w:val="22"/>
          <w:szCs w:val="22"/>
          <w:u w:val="none"/>
          <w:shd w:fill="auto" w:val="clear"/>
        </w:rPr>
      </w:pPr>
      <w:r>
        <w:rPr>
          <w:rFonts w:eastAsia="Liberation Serif" w:cs="Liberation Serif" w:ascii="Liberation Serif" w:hAnsi="Liberation Serif"/>
          <w:b/>
          <w:bCs/>
          <w:i w:val="false"/>
          <w:iCs w:val="false"/>
          <w:caps w:val="false"/>
          <w:smallCaps w:val="false"/>
          <w:strike w:val="false"/>
          <w:dstrike w:val="false"/>
          <w:color w:val="000000"/>
          <w:sz w:val="22"/>
          <w:szCs w:val="22"/>
          <w:u w:val="none"/>
          <w:shd w:fill="auto" w:val="clear"/>
        </w:rPr>
      </w:r>
    </w:p>
    <w:p>
      <w:pPr>
        <w:pStyle w:val="BodyText"/>
        <w:bidi w:val="0"/>
        <w:spacing w:lineRule="auto" w:line="271" w:before="0" w:after="120"/>
        <w:ind w:hanging="0" w:start="0" w:end="0"/>
        <w:jc w:val="start"/>
        <w:rPr>
          <w:sz w:val="22"/>
          <w:szCs w:val="22"/>
        </w:rPr>
      </w:pPr>
      <w:r>
        <w:rPr>
          <w:b/>
          <w:bCs/>
          <w:color w:val="auto"/>
          <w:sz w:val="22"/>
          <w:szCs w:val="22"/>
        </w:rPr>
        <w:t>Cumulative Incidence post 5+ years milestones of Cardiovascular Mortality by Geographic Location:</w:t>
      </w:r>
    </w:p>
    <w:tbl>
      <w:tblPr>
        <w:tblW w:w="9638" w:type="dxa"/>
        <w:jc w:val="start"/>
        <w:tblInd w:w="0" w:type="dxa"/>
        <w:tblLayout w:type="fixed"/>
        <w:tblCellMar>
          <w:top w:w="28" w:type="dxa"/>
          <w:start w:w="28" w:type="dxa"/>
          <w:bottom w:w="28" w:type="dxa"/>
          <w:end w:w="28" w:type="dxa"/>
        </w:tblCellMar>
      </w:tblPr>
      <w:tblGrid>
        <w:gridCol w:w="2788"/>
        <w:gridCol w:w="2189"/>
        <w:gridCol w:w="2307"/>
        <w:gridCol w:w="2353"/>
      </w:tblGrid>
      <w:tr>
        <w:trPr>
          <w:tblHeader w:val="true"/>
        </w:trPr>
        <w:tc>
          <w:tcPr>
            <w:tcW w:w="2788"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0"/>
              <w:ind w:hanging="0" w:start="0" w:end="0"/>
              <w:rPr/>
            </w:pPr>
            <w:r>
              <w:rPr>
                <w:rStyle w:val="Strong"/>
                <w:rFonts w:ascii="Liberation Serif" w:hAnsi="Liberation Serif"/>
                <w:color w:val="auto"/>
                <w:sz w:val="20"/>
                <w:szCs w:val="20"/>
              </w:rPr>
              <w:t>Geographic Location</w:t>
            </w:r>
          </w:p>
        </w:tc>
        <w:tc>
          <w:tcPr>
            <w:tcW w:w="2189"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0"/>
              <w:ind w:hanging="0" w:start="0" w:end="0"/>
              <w:rPr/>
            </w:pPr>
            <w:r>
              <w:rPr>
                <w:rStyle w:val="Strong"/>
                <w:rFonts w:ascii="Liberation Serif" w:hAnsi="Liberation Serif"/>
                <w:color w:val="auto"/>
                <w:sz w:val="20"/>
                <w:szCs w:val="20"/>
              </w:rPr>
              <w:t>Year 10 (60 months%)</w:t>
            </w:r>
          </w:p>
        </w:tc>
        <w:tc>
          <w:tcPr>
            <w:tcW w:w="2307"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0"/>
              <w:ind w:hanging="0" w:start="0" w:end="0"/>
              <w:rPr/>
            </w:pPr>
            <w:r>
              <w:rPr>
                <w:rStyle w:val="Strong"/>
                <w:rFonts w:ascii="Liberation Serif" w:hAnsi="Liberation Serif"/>
                <w:color w:val="auto"/>
                <w:sz w:val="20"/>
                <w:szCs w:val="20"/>
              </w:rPr>
              <w:t>Year 15 (120 months%)</w:t>
            </w:r>
          </w:p>
        </w:tc>
        <w:tc>
          <w:tcPr>
            <w:tcW w:w="2353"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0"/>
              <w:ind w:hanging="0" w:start="0" w:end="0"/>
              <w:rPr/>
            </w:pPr>
            <w:r>
              <w:rPr>
                <w:rStyle w:val="Strong"/>
                <w:rFonts w:ascii="Liberation Serif" w:hAnsi="Liberation Serif"/>
                <w:color w:val="auto"/>
                <w:sz w:val="20"/>
                <w:szCs w:val="20"/>
              </w:rPr>
              <w:t>Year 20 (180 months%)</w:t>
            </w:r>
          </w:p>
        </w:tc>
      </w:tr>
      <w:tr>
        <w:trPr/>
        <w:tc>
          <w:tcPr>
            <w:tcW w:w="2788"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Urban (Metropolitan%)</w:t>
            </w:r>
          </w:p>
        </w:tc>
        <w:tc>
          <w:tcPr>
            <w:tcW w:w="2189"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2.56%</w:t>
            </w:r>
          </w:p>
        </w:tc>
        <w:tc>
          <w:tcPr>
            <w:tcW w:w="2307"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5.18%</w:t>
            </w:r>
          </w:p>
        </w:tc>
        <w:tc>
          <w:tcPr>
            <w:tcW w:w="2353"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7.81%</w:t>
            </w:r>
          </w:p>
        </w:tc>
      </w:tr>
      <w:tr>
        <w:trPr/>
        <w:tc>
          <w:tcPr>
            <w:tcW w:w="2788"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Rural (Nonmetropolitan%)</w:t>
            </w:r>
          </w:p>
        </w:tc>
        <w:tc>
          <w:tcPr>
            <w:tcW w:w="2189"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3.25%</w:t>
            </w:r>
          </w:p>
        </w:tc>
        <w:tc>
          <w:tcPr>
            <w:tcW w:w="2307"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6.76%</w:t>
            </w:r>
          </w:p>
        </w:tc>
        <w:tc>
          <w:tcPr>
            <w:tcW w:w="2353"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9.78%</w:t>
            </w:r>
          </w:p>
        </w:tc>
      </w:tr>
    </w:tbl>
    <w:p>
      <w:pPr>
        <w:pStyle w:val="normal1"/>
        <w:widowControl/>
        <w:shd w:val="clear" w:fill="auto"/>
        <w:spacing w:lineRule="auto" w:line="276" w:before="0" w:after="0"/>
        <w:ind w:hanging="0" w:start="0" w:end="0"/>
        <w:jc w:val="start"/>
        <w:rPr>
          <w:rFonts w:ascii="Liberation Serif" w:hAnsi="Liberation Serif" w:eastAsia="Liberation Serif" w:cs="Liberation Serif"/>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Liberation Serif" w:cs="Liberation Serif" w:ascii="Liberation Serif" w:hAnsi="Liberation Serif"/>
          <w:b w:val="false"/>
          <w:bCs w:val="false"/>
          <w:i w:val="false"/>
          <w:iCs w:val="false"/>
          <w:caps w:val="false"/>
          <w:smallCaps w:val="false"/>
          <w:strike w:val="false"/>
          <w:dstrike w:val="false"/>
          <w:color w:val="000000"/>
          <w:position w:val="0"/>
          <w:sz w:val="22"/>
          <w:sz w:val="22"/>
          <w:szCs w:val="22"/>
          <w:u w:val="none"/>
          <w:shd w:fill="auto" w:val="clear"/>
          <w:vertAlign w:val="baseline"/>
        </w:rPr>
      </w:r>
    </w:p>
    <w:p>
      <w:pPr>
        <w:pStyle w:val="Heading3"/>
        <w:widowControl/>
        <w:shd w:val="clear" w:fill="auto"/>
        <w:spacing w:lineRule="auto" w:line="276" w:before="0" w:after="0"/>
        <w:ind w:hanging="0" w:start="0" w:end="0"/>
        <w:jc w:val="start"/>
        <w:rPr>
          <w:rFonts w:ascii="Google Sans;sans-serif" w:hAnsi="Google Sans;sans-serif" w:eastAsia="Liberation Serif" w:cs="Liberation Serif"/>
          <w:b w:val="false"/>
          <w:bCs w:val="false"/>
          <w:i w:val="false"/>
          <w:i w:val="false"/>
          <w:iCs w:val="false"/>
          <w:caps w:val="false"/>
          <w:smallCaps w:val="false"/>
          <w:strike w:val="false"/>
          <w:dstrike w:val="false"/>
          <w:color w:val="000000"/>
          <w:sz w:val="22"/>
          <w:szCs w:val="22"/>
          <w:u w:val="none"/>
          <w:shd w:fill="auto" w:val="clear"/>
        </w:rPr>
      </w:pPr>
      <w:r>
        <w:rPr>
          <w:rFonts w:eastAsia="Liberation Serif" w:cs="Liberation Serif" w:ascii="Liberation Serif" w:hAnsi="Liberation Serif"/>
          <w:b/>
          <w:bCs/>
          <w:i w:val="false"/>
          <w:iCs w:val="false"/>
          <w:caps w:val="false"/>
          <w:smallCaps w:val="false"/>
          <w:strike w:val="false"/>
          <w:dstrike w:val="false"/>
          <w:color w:val="000000"/>
          <w:sz w:val="22"/>
          <w:szCs w:val="22"/>
          <w:u w:val="none"/>
          <w:shd w:fill="auto" w:val="clear"/>
        </w:rPr>
        <w:t>Table 4:</w:t>
      </w:r>
      <w:r>
        <w:rPr>
          <w:rFonts w:eastAsia="Liberation Serif" w:cs="Liberation Serif" w:ascii="Liberation Serif" w:hAnsi="Liberation Serif"/>
          <w:b w:val="false"/>
          <w:bCs w:val="false"/>
          <w:i w:val="false"/>
          <w:iCs w:val="false"/>
          <w:caps w:val="false"/>
          <w:smallCaps w:val="false"/>
          <w:strike w:val="false"/>
          <w:dstrike w:val="false"/>
          <w:color w:val="000000"/>
          <w:sz w:val="22"/>
          <w:szCs w:val="22"/>
          <w:u w:val="none"/>
          <w:shd w:fill="auto" w:val="clear"/>
        </w:rPr>
        <w:t xml:space="preserve"> Fine-Gray Subdistribution Hazard Analysis of Cardiovascular Mortality by Geographic Location</w:t>
      </w:r>
    </w:p>
    <w:tbl>
      <w:tblPr>
        <w:tblW w:w="8910" w:type="dxa"/>
        <w:jc w:val="start"/>
        <w:tblInd w:w="0" w:type="dxa"/>
        <w:tblLayout w:type="fixed"/>
        <w:tblCellMar>
          <w:top w:w="0" w:type="dxa"/>
          <w:start w:w="0" w:type="dxa"/>
          <w:bottom w:w="0" w:type="dxa"/>
          <w:end w:w="0" w:type="dxa"/>
        </w:tblCellMar>
      </w:tblPr>
      <w:tblGrid>
        <w:gridCol w:w="2835"/>
        <w:gridCol w:w="3914"/>
        <w:gridCol w:w="1204"/>
        <w:gridCol w:w="956"/>
      </w:tblGrid>
      <w:tr>
        <w:trPr/>
        <w:tc>
          <w:tcPr>
            <w:tcW w:w="2835"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2"/>
                <w:szCs w:val="22"/>
                <w:u w:val="none"/>
              </w:rPr>
              <w:t>Geographic Location</w:t>
            </w:r>
          </w:p>
        </w:tc>
        <w:tc>
          <w:tcPr>
            <w:tcW w:w="3914"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2"/>
                <w:szCs w:val="22"/>
                <w:u w:val="none"/>
              </w:rPr>
              <w:t>Subdistribution Hazard Ratio (sHR%)</w:t>
            </w:r>
          </w:p>
        </w:tc>
        <w:tc>
          <w:tcPr>
            <w:tcW w:w="1204"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2"/>
                <w:szCs w:val="22"/>
                <w:u w:val="none"/>
              </w:rPr>
              <w:t>95% CI</w:t>
            </w:r>
          </w:p>
        </w:tc>
        <w:tc>
          <w:tcPr>
            <w:tcW w:w="956"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2"/>
                <w:szCs w:val="22"/>
                <w:u w:val="none"/>
              </w:rPr>
              <w:t>P-value</w:t>
            </w:r>
          </w:p>
        </w:tc>
      </w:tr>
      <w:tr>
        <w:trPr/>
        <w:tc>
          <w:tcPr>
            <w:tcW w:w="2835"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Urban (Metropolitan%)</w:t>
            </w:r>
          </w:p>
        </w:tc>
        <w:tc>
          <w:tcPr>
            <w:tcW w:w="3914"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1.00 (Ref%)</w:t>
            </w:r>
          </w:p>
        </w:tc>
        <w:tc>
          <w:tcPr>
            <w:tcW w:w="1204"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w:t>
            </w:r>
          </w:p>
        </w:tc>
        <w:tc>
          <w:tcPr>
            <w:tcW w:w="956"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w:t>
            </w:r>
          </w:p>
        </w:tc>
      </w:tr>
      <w:tr>
        <w:trPr/>
        <w:tc>
          <w:tcPr>
            <w:tcW w:w="2835"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Rural (Nonmetropolitan%)</w:t>
            </w:r>
          </w:p>
        </w:tc>
        <w:tc>
          <w:tcPr>
            <w:tcW w:w="3914"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1.3</w:t>
            </w:r>
          </w:p>
        </w:tc>
        <w:tc>
          <w:tcPr>
            <w:tcW w:w="1204"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1.21 – 1.39</w:t>
            </w:r>
          </w:p>
        </w:tc>
        <w:tc>
          <w:tcPr>
            <w:tcW w:w="956"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&lt;0.001</w:t>
            </w:r>
          </w:p>
        </w:tc>
      </w:tr>
    </w:tbl>
    <w:p>
      <w:pPr>
        <w:pStyle w:val="Heading3"/>
        <w:widowControl/>
        <w:shd w:val="clear" w:fill="auto"/>
        <w:spacing w:lineRule="auto" w:line="276" w:before="0" w:after="0"/>
        <w:ind w:hanging="0" w:start="0" w:end="0"/>
        <w:jc w:val="start"/>
        <w:rPr>
          <w:b w:val="false"/>
          <w:bCs w:val="false"/>
          <w:color w:val="000000"/>
        </w:rPr>
      </w:pPr>
      <w:r>
        <w:rPr>
          <w:rFonts w:ascii="Liberation Serif" w:hAnsi="Liberation Serif"/>
          <w:b w:val="false"/>
          <w:bCs w:val="false"/>
          <w:color w:val="auto"/>
          <w:sz w:val="22"/>
          <w:szCs w:val="22"/>
        </w:rPr>
        <w:t xml:space="preserve">* </w:t>
      </w:r>
      <w:r>
        <w:rPr>
          <w:rFonts w:ascii="Liberation Serif" w:hAnsi="Liberation Serif"/>
          <w:b w:val="false"/>
          <w:bCs w:val="false"/>
          <w:color w:val="auto"/>
          <w:spacing w:val="0"/>
          <w:sz w:val="22"/>
          <w:szCs w:val="22"/>
        </w:rPr>
        <w:t>Data was shown as sHR (95% CI%). Ref, reference; sHR:  subdistribution hazard ratio; CI, confidence interval</w:t>
      </w:r>
      <w:r>
        <w:br w:type="page"/>
      </w:r>
    </w:p>
    <w:p>
      <w:pPr>
        <w:pStyle w:val="normal1"/>
        <w:widowControl/>
        <w:shd w:val="clear" w:fill="auto"/>
        <w:spacing w:lineRule="auto" w:line="276" w:before="0" w:after="0"/>
        <w:ind w:hanging="0" w:start="0" w:end="0"/>
        <w:jc w:val="start"/>
        <w:rPr>
          <w:b/>
          <w:bCs/>
        </w:rPr>
      </w:pPr>
      <w:r>
        <w:rPr>
          <w:rFonts w:eastAsia="Liberation Serif" w:cs="Liberation Serif" w:ascii="Liberation Serif" w:hAnsi="Liberation Serif"/>
          <w:b/>
          <w:bCs/>
          <w:i w:val="false"/>
          <w:iCs w:val="false"/>
          <w:caps w:val="false"/>
          <w:smallCaps w:val="false"/>
          <w:strike w:val="false"/>
          <w:dstrike w:val="false"/>
          <w:color w:val="000000"/>
          <w:position w:val="0"/>
          <w:sz w:val="22"/>
          <w:sz w:val="22"/>
          <w:szCs w:val="22"/>
          <w:u w:val="none"/>
          <w:shd w:fill="auto" w:val="clear"/>
          <w:vertAlign w:val="baseline"/>
        </w:rPr>
        <w:t>6. Cumulative Incidence of Cardiovascular Mortality Among Long-Term Female Breast Cancer Survivors</w:t>
      </w:r>
      <w:r>
        <w:rPr>
          <w:rFonts w:eastAsia="Liberation Serif" w:cs="Liberation Serif" w:ascii="Liberation Serif" w:hAnsi="Liberation Serif"/>
          <w:b/>
          <w:bCs w:val="false"/>
          <w:i w:val="false"/>
          <w:iCs w:val="false"/>
          <w:caps w:val="false"/>
          <w:smallCaps w:val="false"/>
          <w:strike w:val="false"/>
          <w:dstrike w:val="false"/>
          <w:color w:val="000000"/>
          <w:position w:val="0"/>
          <w:sz w:val="22"/>
          <w:sz w:val="22"/>
          <w:szCs w:val="22"/>
          <w:u w:val="none"/>
          <w:shd w:fill="auto" w:val="clear"/>
          <w:vertAlign w:val="baseline"/>
        </w:rPr>
        <w:t xml:space="preserve">, </w:t>
      </w:r>
      <w:r>
        <w:rPr>
          <w:rFonts w:eastAsia="Liberation Serif" w:cs="Liberation Serif" w:ascii="Liberation Serif" w:hAnsi="Liberation Serif"/>
          <w:b/>
          <w:bCs/>
          <w:i w:val="false"/>
          <w:iCs w:val="false"/>
          <w:caps w:val="false"/>
          <w:smallCaps w:val="false"/>
          <w:strike w:val="false"/>
          <w:dstrike w:val="false"/>
          <w:color w:val="000000"/>
          <w:position w:val="0"/>
          <w:sz w:val="22"/>
          <w:sz w:val="22"/>
          <w:szCs w:val="22"/>
          <w:u w:val="none"/>
          <w:shd w:fill="auto" w:val="clear"/>
          <w:vertAlign w:val="baseline"/>
        </w:rPr>
        <w:t>by Cancer Stage</w:t>
      </w:r>
    </w:p>
    <w:p>
      <w:pPr>
        <w:pStyle w:val="normal1"/>
        <w:widowControl/>
        <w:shd w:val="clear" w:fill="auto"/>
        <w:spacing w:lineRule="auto" w:line="276" w:before="0" w:after="0"/>
        <w:ind w:hanging="0" w:start="0" w:end="0"/>
        <w:jc w:val="start"/>
        <w:rPr>
          <w:rFonts w:ascii="Liberation Serif" w:hAnsi="Liberation Serif" w:eastAsia="Liberation Serif" w:cs="Liberation Serif"/>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120130" cy="3671570"/>
            <wp:effectExtent l="0" t="0" r="0" b="0"/>
            <wp:wrapSquare wrapText="largest"/>
            <wp:docPr id="6"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descr="" title=""/>
                    <pic:cNvPicPr>
                      <a:picLocks noChangeAspect="1" noChangeArrowheads="1"/>
                    </pic:cNvPicPr>
                  </pic:nvPicPr>
                  <pic:blipFill>
                    <a:blip r:embed="rId7"/>
                    <a:stretch>
                      <a:fillRect/>
                    </a:stretch>
                  </pic:blipFill>
                  <pic:spPr bwMode="auto">
                    <a:xfrm>
                      <a:off x="0" y="0"/>
                      <a:ext cx="6120130" cy="3671570"/>
                    </a:xfrm>
                    <a:prstGeom prst="rect">
                      <a:avLst/>
                    </a:prstGeom>
                  </pic:spPr>
                </pic:pic>
              </a:graphicData>
            </a:graphic>
          </wp:anchor>
        </w:drawing>
      </w:r>
      <w:r>
        <w:rPr>
          <w:rFonts w:eastAsia="Liberation Serif" w:cs="Liberation Serif" w:ascii="Liberation Serif" w:hAnsi="Liberation Serif"/>
          <w:b/>
          <w:bCs/>
          <w:i w:val="false"/>
          <w:iCs w:val="false"/>
          <w:caps w:val="false"/>
          <w:smallCaps w:val="false"/>
          <w:strike w:val="false"/>
          <w:dstrike w:val="false"/>
          <w:color w:val="000000"/>
          <w:position w:val="0"/>
          <w:sz w:val="22"/>
          <w:sz w:val="22"/>
          <w:szCs w:val="22"/>
          <w:u w:val="none"/>
          <w:shd w:fill="auto" w:val="clear"/>
          <w:vertAlign w:val="baseline"/>
        </w:rPr>
        <w:t xml:space="preserve">Figure 6: </w:t>
      </w:r>
      <w:r>
        <w:rPr>
          <w:rFonts w:eastAsia="Liberation Serif" w:cs="Liberation Serif" w:ascii="Liberation Serif" w:hAnsi="Liberation Serif"/>
          <w:b w:val="false"/>
          <w:bCs w:val="false"/>
          <w:i w:val="false"/>
          <w:iCs w:val="false"/>
          <w:caps w:val="false"/>
          <w:smallCaps w:val="false"/>
          <w:strike w:val="false"/>
          <w:dstrike w:val="false"/>
          <w:color w:val="000000"/>
          <w:position w:val="0"/>
          <w:sz w:val="22"/>
          <w:sz w:val="22"/>
          <w:szCs w:val="22"/>
          <w:u w:val="none"/>
          <w:shd w:fill="auto" w:val="clear"/>
          <w:vertAlign w:val="baseline"/>
        </w:rPr>
        <w:t>Cumulative Incidence of Cardiovascular Death by Cancer Stage</w:t>
      </w:r>
    </w:p>
    <w:p>
      <w:pPr>
        <w:pStyle w:val="normal1"/>
        <w:widowControl/>
        <w:shd w:val="clear" w:fill="auto"/>
        <w:spacing w:lineRule="auto" w:line="276" w:before="0" w:after="0"/>
        <w:ind w:hanging="0" w:start="0" w:end="0"/>
        <w:jc w:val="start"/>
        <w:rPr>
          <w:rFonts w:ascii="Liberation Serif" w:hAnsi="Liberation Serif" w:eastAsia="Liberation Serif" w:cs="Liberation Serif"/>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Liberation Serif" w:cs="Liberation Serif" w:ascii="Liberation Serif" w:hAnsi="Liberation Serif"/>
          <w:b w:val="false"/>
          <w:bCs w:val="false"/>
          <w:i w:val="false"/>
          <w:iCs w:val="false"/>
          <w:caps w:val="false"/>
          <w:smallCaps w:val="false"/>
          <w:strike w:val="false"/>
          <w:dstrike w:val="false"/>
          <w:color w:val="000000"/>
          <w:position w:val="0"/>
          <w:sz w:val="22"/>
          <w:sz w:val="22"/>
          <w:szCs w:val="22"/>
          <w:u w:val="none"/>
          <w:shd w:fill="auto" w:val="clear"/>
          <w:vertAlign w:val="baseline"/>
        </w:rPr>
      </w:r>
    </w:p>
    <w:tbl>
      <w:tblPr>
        <w:tblW w:w="9270" w:type="dxa"/>
        <w:jc w:val="start"/>
        <w:tblInd w:w="0" w:type="dxa"/>
        <w:tblLayout w:type="fixed"/>
        <w:tblCellMar>
          <w:top w:w="0" w:type="dxa"/>
          <w:start w:w="0" w:type="dxa"/>
          <w:bottom w:w="0" w:type="dxa"/>
          <w:end w:w="0" w:type="dxa"/>
        </w:tblCellMar>
      </w:tblPr>
      <w:tblGrid>
        <w:gridCol w:w="2019"/>
        <w:gridCol w:w="1221"/>
        <w:gridCol w:w="1887"/>
        <w:gridCol w:w="1384"/>
        <w:gridCol w:w="1377"/>
        <w:gridCol w:w="1381"/>
      </w:tblGrid>
      <w:tr>
        <w:trPr/>
        <w:tc>
          <w:tcPr>
            <w:tcW w:w="2019"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0"/>
                <w:szCs w:val="20"/>
                <w:u w:val="none"/>
              </w:rPr>
              <w:t>Stage at Diagnosis</w:t>
            </w:r>
          </w:p>
        </w:tc>
        <w:tc>
          <w:tcPr>
            <w:tcW w:w="1221"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0"/>
                <w:szCs w:val="20"/>
                <w:u w:val="none"/>
              </w:rPr>
              <w:t>Cohort Size (N%)</w:t>
            </w:r>
          </w:p>
        </w:tc>
        <w:tc>
          <w:tcPr>
            <w:tcW w:w="1887"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0"/>
                <w:szCs w:val="20"/>
                <w:u w:val="none"/>
              </w:rPr>
              <w:t>Final Follow-up (Months%)</w:t>
            </w:r>
          </w:p>
        </w:tc>
        <w:tc>
          <w:tcPr>
            <w:tcW w:w="1384"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0"/>
                <w:szCs w:val="20"/>
                <w:u w:val="none"/>
              </w:rPr>
              <w:t>Cumulative Incidence (%%)</w:t>
            </w:r>
          </w:p>
        </w:tc>
        <w:tc>
          <w:tcPr>
            <w:tcW w:w="1377"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b/>
                <w:bCs/>
                <w:i w:val="false"/>
                <w:iCs w:val="false"/>
                <w:strike w:val="false"/>
                <w:dstrike w:val="false"/>
                <w:outline w:val="false"/>
                <w:shadow w:val="false"/>
                <w:color w:val="auto"/>
                <w:sz w:val="20"/>
                <w:szCs w:val="20"/>
                <w:u w:val="none"/>
              </w:rPr>
              <w:t>95% CI</w:t>
            </w:r>
          </w:p>
        </w:tc>
        <w:tc>
          <w:tcPr>
            <w:tcW w:w="1381"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bCs/>
                <w:i w:val="false"/>
                <w:i w:val="false"/>
                <w:iCs w:val="false"/>
                <w:strike w:val="false"/>
                <w:dstrike w:val="false"/>
                <w:outline w:val="false"/>
                <w:shadow w:val="false"/>
                <w:color w:val="000000"/>
                <w:sz w:val="20"/>
                <w:szCs w:val="20"/>
                <w:u w:val="none"/>
              </w:rPr>
            </w:pPr>
            <w:r>
              <w:rPr>
                <w:rFonts w:ascii="Liberation Serif" w:hAnsi="Liberation Serif"/>
                <w:b/>
                <w:bCs/>
                <w:i w:val="false"/>
                <w:iCs w:val="false"/>
                <w:strike w:val="false"/>
                <w:dstrike w:val="false"/>
                <w:outline w:val="false"/>
                <w:shadow w:val="false"/>
                <w:color w:val="auto"/>
                <w:sz w:val="20"/>
                <w:szCs w:val="20"/>
                <w:u w:val="none"/>
              </w:rPr>
              <w:t>SE</w:t>
            </w:r>
          </w:p>
        </w:tc>
      </w:tr>
      <w:tr>
        <w:trPr/>
        <w:tc>
          <w:tcPr>
            <w:tcW w:w="2019"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Localized</w:t>
            </w:r>
          </w:p>
        </w:tc>
        <w:tc>
          <w:tcPr>
            <w:tcW w:w="1221"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511445</w:t>
            </w:r>
          </w:p>
        </w:tc>
        <w:tc>
          <w:tcPr>
            <w:tcW w:w="1887"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215</w:t>
            </w:r>
          </w:p>
        </w:tc>
        <w:tc>
          <w:tcPr>
            <w:tcW w:w="1384"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10.47</w:t>
            </w:r>
          </w:p>
        </w:tc>
        <w:tc>
          <w:tcPr>
            <w:tcW w:w="1377"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10.21 – 10.73</w:t>
            </w:r>
          </w:p>
        </w:tc>
        <w:tc>
          <w:tcPr>
            <w:tcW w:w="1381"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0.001</w:t>
            </w:r>
          </w:p>
        </w:tc>
      </w:tr>
      <w:tr>
        <w:trPr/>
        <w:tc>
          <w:tcPr>
            <w:tcW w:w="2019"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Regional</w:t>
            </w:r>
          </w:p>
        </w:tc>
        <w:tc>
          <w:tcPr>
            <w:tcW w:w="1221"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214547</w:t>
            </w:r>
          </w:p>
        </w:tc>
        <w:tc>
          <w:tcPr>
            <w:tcW w:w="1887"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215</w:t>
            </w:r>
          </w:p>
        </w:tc>
        <w:tc>
          <w:tcPr>
            <w:tcW w:w="1384"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8.07</w:t>
            </w:r>
          </w:p>
        </w:tc>
        <w:tc>
          <w:tcPr>
            <w:tcW w:w="1377"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7.73 – 8.42</w:t>
            </w:r>
          </w:p>
        </w:tc>
        <w:tc>
          <w:tcPr>
            <w:tcW w:w="1381"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0.002</w:t>
            </w:r>
          </w:p>
        </w:tc>
      </w:tr>
      <w:tr>
        <w:trPr/>
        <w:tc>
          <w:tcPr>
            <w:tcW w:w="2019"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Distant</w:t>
            </w:r>
          </w:p>
        </w:tc>
        <w:tc>
          <w:tcPr>
            <w:tcW w:w="1221"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12340</w:t>
            </w:r>
          </w:p>
        </w:tc>
        <w:tc>
          <w:tcPr>
            <w:tcW w:w="1887"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200</w:t>
            </w:r>
          </w:p>
        </w:tc>
        <w:tc>
          <w:tcPr>
            <w:tcW w:w="1384"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4.58</w:t>
            </w:r>
          </w:p>
        </w:tc>
        <w:tc>
          <w:tcPr>
            <w:tcW w:w="1377"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3.92 – 5.32</w:t>
            </w:r>
          </w:p>
        </w:tc>
        <w:tc>
          <w:tcPr>
            <w:tcW w:w="1381"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0.004</w:t>
            </w:r>
          </w:p>
        </w:tc>
      </w:tr>
    </w:tbl>
    <w:p>
      <w:pPr>
        <w:pStyle w:val="normal1"/>
        <w:widowControl/>
        <w:shd w:val="clear" w:fill="auto"/>
        <w:spacing w:lineRule="auto" w:line="276" w:before="0" w:after="0"/>
        <w:ind w:hanging="0" w:start="0" w:end="0"/>
        <w:jc w:val="start"/>
        <w:rPr>
          <w:rFonts w:ascii="Liberation Serif" w:hAnsi="Liberation Serif" w:eastAsia="Liberation Serif" w:cs="Liberation Serif"/>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Liberation Serif" w:cs="Liberation Serif" w:ascii="Liberation Serif" w:hAnsi="Liberation Serif"/>
          <w:b w:val="false"/>
          <w:bCs w:val="false"/>
          <w:i w:val="false"/>
          <w:iCs w:val="false"/>
          <w:caps w:val="false"/>
          <w:smallCaps w:val="false"/>
          <w:strike w:val="false"/>
          <w:dstrike w:val="false"/>
          <w:color w:val="000000"/>
          <w:position w:val="0"/>
          <w:sz w:val="22"/>
          <w:sz w:val="22"/>
          <w:szCs w:val="22"/>
          <w:u w:val="none"/>
          <w:shd w:fill="auto" w:val="clear"/>
          <w:vertAlign w:val="baseline"/>
        </w:rPr>
      </w:r>
    </w:p>
    <w:p>
      <w:pPr>
        <w:pStyle w:val="BodyText"/>
        <w:bidi w:val="0"/>
        <w:spacing w:lineRule="auto" w:line="271" w:before="0" w:after="120"/>
        <w:ind w:hanging="0" w:start="0" w:end="0"/>
        <w:jc w:val="start"/>
        <w:rPr>
          <w:sz w:val="22"/>
          <w:szCs w:val="22"/>
        </w:rPr>
      </w:pPr>
      <w:r>
        <w:rPr>
          <w:b/>
          <w:bCs/>
          <w:color w:val="auto"/>
          <w:sz w:val="22"/>
          <w:szCs w:val="22"/>
        </w:rPr>
        <w:t>Cumulative Incidence post 5+ years milestones of Cardiovascular Mortality by Cancer Stage:</w:t>
      </w:r>
    </w:p>
    <w:tbl>
      <w:tblPr>
        <w:tblW w:w="9638" w:type="dxa"/>
        <w:jc w:val="start"/>
        <w:tblInd w:w="0" w:type="dxa"/>
        <w:tblLayout w:type="fixed"/>
        <w:tblCellMar>
          <w:top w:w="28" w:type="dxa"/>
          <w:start w:w="28" w:type="dxa"/>
          <w:bottom w:w="28" w:type="dxa"/>
          <w:end w:w="28" w:type="dxa"/>
        </w:tblCellMar>
      </w:tblPr>
      <w:tblGrid>
        <w:gridCol w:w="2895"/>
        <w:gridCol w:w="2156"/>
        <w:gridCol w:w="2270"/>
        <w:gridCol w:w="2316"/>
      </w:tblGrid>
      <w:tr>
        <w:trPr>
          <w:tblHeader w:val="true"/>
        </w:trPr>
        <w:tc>
          <w:tcPr>
            <w:tcW w:w="289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0"/>
              <w:ind w:hanging="0" w:start="0" w:end="0"/>
              <w:rPr/>
            </w:pPr>
            <w:r>
              <w:rPr>
                <w:rStyle w:val="Strong"/>
                <w:rFonts w:ascii="Liberation Serif" w:hAnsi="Liberation Serif"/>
                <w:color w:val="auto"/>
                <w:sz w:val="20"/>
                <w:szCs w:val="20"/>
              </w:rPr>
              <w:t>Stage at Diagnosis</w:t>
            </w:r>
          </w:p>
        </w:tc>
        <w:tc>
          <w:tcPr>
            <w:tcW w:w="2156"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0"/>
              <w:ind w:hanging="0" w:start="0" w:end="0"/>
              <w:rPr/>
            </w:pPr>
            <w:r>
              <w:rPr>
                <w:rStyle w:val="Strong"/>
                <w:rFonts w:ascii="Liberation Serif" w:hAnsi="Liberation Serif"/>
                <w:color w:val="auto"/>
                <w:sz w:val="20"/>
                <w:szCs w:val="20"/>
              </w:rPr>
              <w:t>Year 10 (60 months%)</w:t>
            </w:r>
          </w:p>
        </w:tc>
        <w:tc>
          <w:tcPr>
            <w:tcW w:w="2270"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0"/>
              <w:ind w:hanging="0" w:start="0" w:end="0"/>
              <w:rPr/>
            </w:pPr>
            <w:r>
              <w:rPr>
                <w:rStyle w:val="Strong"/>
                <w:rFonts w:ascii="Liberation Serif" w:hAnsi="Liberation Serif"/>
                <w:color w:val="auto"/>
                <w:sz w:val="20"/>
                <w:szCs w:val="20"/>
              </w:rPr>
              <w:t>Year 15 (120 months%)</w:t>
            </w:r>
          </w:p>
        </w:tc>
        <w:tc>
          <w:tcPr>
            <w:tcW w:w="2316"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0"/>
              <w:ind w:hanging="0" w:start="0" w:end="0"/>
              <w:rPr/>
            </w:pPr>
            <w:r>
              <w:rPr>
                <w:rStyle w:val="Strong"/>
                <w:rFonts w:ascii="Liberation Serif" w:hAnsi="Liberation Serif"/>
                <w:color w:val="auto"/>
                <w:sz w:val="20"/>
                <w:szCs w:val="20"/>
              </w:rPr>
              <w:t>Year 20 (180 months%)</w:t>
            </w:r>
          </w:p>
        </w:tc>
      </w:tr>
      <w:tr>
        <w:trPr/>
        <w:tc>
          <w:tcPr>
            <w:tcW w:w="289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Localized</w:t>
            </w:r>
          </w:p>
        </w:tc>
        <w:tc>
          <w:tcPr>
            <w:tcW w:w="2156"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2.81%</w:t>
            </w:r>
          </w:p>
        </w:tc>
        <w:tc>
          <w:tcPr>
            <w:tcW w:w="2270"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5.79%</w:t>
            </w:r>
          </w:p>
        </w:tc>
        <w:tc>
          <w:tcPr>
            <w:tcW w:w="2316"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8.73%</w:t>
            </w:r>
          </w:p>
        </w:tc>
      </w:tr>
      <w:tr>
        <w:trPr/>
        <w:tc>
          <w:tcPr>
            <w:tcW w:w="289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Regional</w:t>
            </w:r>
          </w:p>
        </w:tc>
        <w:tc>
          <w:tcPr>
            <w:tcW w:w="2156"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2.22%</w:t>
            </w:r>
          </w:p>
        </w:tc>
        <w:tc>
          <w:tcPr>
            <w:tcW w:w="2270"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4.43%</w:t>
            </w:r>
          </w:p>
        </w:tc>
        <w:tc>
          <w:tcPr>
            <w:tcW w:w="2316"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6.68%</w:t>
            </w:r>
          </w:p>
        </w:tc>
      </w:tr>
      <w:tr>
        <w:trPr/>
        <w:tc>
          <w:tcPr>
            <w:tcW w:w="289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Distant</w:t>
            </w:r>
          </w:p>
        </w:tc>
        <w:tc>
          <w:tcPr>
            <w:tcW w:w="2156"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2.15%</w:t>
            </w:r>
          </w:p>
        </w:tc>
        <w:tc>
          <w:tcPr>
            <w:tcW w:w="2270"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3.45%</w:t>
            </w:r>
          </w:p>
        </w:tc>
        <w:tc>
          <w:tcPr>
            <w:tcW w:w="2316"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4.30%</w:t>
            </w:r>
          </w:p>
        </w:tc>
      </w:tr>
    </w:tbl>
    <w:p>
      <w:pPr>
        <w:pStyle w:val="BodyText"/>
        <w:bidi w:val="0"/>
        <w:spacing w:lineRule="auto" w:line="271" w:before="0" w:after="120"/>
        <w:ind w:hanging="0" w:start="0" w:end="0"/>
        <w:jc w:val="start"/>
        <w:rPr>
          <w:sz w:val="22"/>
          <w:szCs w:val="22"/>
        </w:rPr>
      </w:pPr>
      <w:r>
        <w:rPr>
          <w:sz w:val="22"/>
          <w:szCs w:val="22"/>
        </w:rPr>
      </w:r>
    </w:p>
    <w:p>
      <w:pPr>
        <w:pStyle w:val="normal1"/>
        <w:widowControl/>
        <w:shd w:val="clear" w:fill="auto"/>
        <w:spacing w:lineRule="auto" w:line="276" w:before="0" w:after="0"/>
        <w:ind w:hanging="0" w:start="0" w:end="0"/>
        <w:jc w:val="start"/>
        <w:rPr>
          <w:rFonts w:ascii="Liberation Serif" w:hAnsi="Liberation Serif" w:eastAsia="Liberation Serif" w:cs="Liberation Serif"/>
          <w:b w:val="false"/>
          <w:bCs w:val="false"/>
          <w:i w:val="false"/>
          <w:i w:val="false"/>
          <w:iCs w:val="false"/>
          <w:caps w:val="false"/>
          <w:smallCaps w:val="false"/>
          <w:strike w:val="false"/>
          <w:dstrike w:val="false"/>
          <w:color w:val="000000"/>
          <w:sz w:val="20"/>
          <w:szCs w:val="20"/>
          <w:u w:val="none"/>
          <w:shd w:fill="auto" w:val="clear"/>
        </w:rPr>
      </w:pPr>
      <w:r>
        <w:rPr>
          <w:rFonts w:eastAsia="Liberation Serif" w:cs="Liberation Serif" w:ascii="Liberation Serif" w:hAnsi="Liberation Serif"/>
          <w:b/>
          <w:bCs/>
          <w:i w:val="false"/>
          <w:iCs w:val="false"/>
          <w:caps w:val="false"/>
          <w:smallCaps w:val="false"/>
          <w:strike w:val="false"/>
          <w:dstrike w:val="false"/>
          <w:color w:val="000000"/>
          <w:sz w:val="22"/>
          <w:szCs w:val="22"/>
          <w:u w:val="none"/>
          <w:shd w:fill="auto" w:val="clear"/>
        </w:rPr>
        <w:t xml:space="preserve">Table 5: </w:t>
      </w:r>
      <w:r>
        <w:rPr>
          <w:rFonts w:eastAsia="Liberation Serif" w:cs="Liberation Serif" w:ascii="Liberation Serif" w:hAnsi="Liberation Serif"/>
          <w:b w:val="false"/>
          <w:bCs w:val="false"/>
          <w:i w:val="false"/>
          <w:iCs w:val="false"/>
          <w:caps w:val="false"/>
          <w:smallCaps w:val="false"/>
          <w:strike w:val="false"/>
          <w:dstrike w:val="false"/>
          <w:color w:val="000000"/>
          <w:sz w:val="22"/>
          <w:szCs w:val="22"/>
          <w:u w:val="none"/>
          <w:shd w:fill="auto" w:val="clear"/>
        </w:rPr>
        <w:t>Fine-Gray Subdistribution Hazard Analysis of Cardiovascular Mortality by Cancer Stage</w:t>
      </w:r>
    </w:p>
    <w:tbl>
      <w:tblPr>
        <w:tblW w:w="9137" w:type="dxa"/>
        <w:jc w:val="start"/>
        <w:tblInd w:w="0" w:type="dxa"/>
        <w:tblLayout w:type="fixed"/>
        <w:tblCellMar>
          <w:top w:w="0" w:type="dxa"/>
          <w:start w:w="0" w:type="dxa"/>
          <w:bottom w:w="0" w:type="dxa"/>
          <w:end w:w="0" w:type="dxa"/>
        </w:tblCellMar>
      </w:tblPr>
      <w:tblGrid>
        <w:gridCol w:w="3059"/>
        <w:gridCol w:w="3918"/>
        <w:gridCol w:w="1198"/>
        <w:gridCol w:w="961"/>
      </w:tblGrid>
      <w:tr>
        <w:trPr/>
        <w:tc>
          <w:tcPr>
            <w:tcW w:w="3059"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2"/>
                <w:szCs w:val="22"/>
                <w:u w:val="none"/>
              </w:rPr>
              <w:t>Stage at Diagnosis</w:t>
            </w:r>
          </w:p>
        </w:tc>
        <w:tc>
          <w:tcPr>
            <w:tcW w:w="3918"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2"/>
                <w:szCs w:val="22"/>
                <w:u w:val="none"/>
              </w:rPr>
              <w:t>Subdistribution Hazard Ratio (sHR%)</w:t>
            </w:r>
          </w:p>
        </w:tc>
        <w:tc>
          <w:tcPr>
            <w:tcW w:w="1198"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2"/>
                <w:szCs w:val="22"/>
                <w:u w:val="none"/>
              </w:rPr>
              <w:t>95% CI</w:t>
            </w:r>
          </w:p>
        </w:tc>
        <w:tc>
          <w:tcPr>
            <w:tcW w:w="961"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2"/>
                <w:szCs w:val="22"/>
                <w:u w:val="none"/>
              </w:rPr>
              <w:t>P-value</w:t>
            </w:r>
          </w:p>
        </w:tc>
      </w:tr>
      <w:tr>
        <w:trPr/>
        <w:tc>
          <w:tcPr>
            <w:tcW w:w="3059"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2"/>
                <w:szCs w:val="22"/>
                <w:u w:val="none"/>
              </w:rPr>
              <w:t>Localized</w:t>
            </w:r>
          </w:p>
        </w:tc>
        <w:tc>
          <w:tcPr>
            <w:tcW w:w="3918"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2"/>
                <w:szCs w:val="22"/>
                <w:u w:val="none"/>
              </w:rPr>
              <w:t>1.00 (Ref%)</w:t>
            </w:r>
          </w:p>
        </w:tc>
        <w:tc>
          <w:tcPr>
            <w:tcW w:w="1198"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2"/>
                <w:szCs w:val="22"/>
                <w:u w:val="none"/>
              </w:rPr>
              <w:t>—</w:t>
            </w:r>
          </w:p>
        </w:tc>
        <w:tc>
          <w:tcPr>
            <w:tcW w:w="961"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2"/>
                <w:szCs w:val="22"/>
                <w:u w:val="none"/>
              </w:rPr>
              <w:t>—</w:t>
            </w:r>
          </w:p>
        </w:tc>
      </w:tr>
      <w:tr>
        <w:trPr/>
        <w:tc>
          <w:tcPr>
            <w:tcW w:w="3059"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2"/>
                <w:szCs w:val="22"/>
                <w:u w:val="none"/>
              </w:rPr>
              <w:t>Regional</w:t>
            </w:r>
          </w:p>
        </w:tc>
        <w:tc>
          <w:tcPr>
            <w:tcW w:w="3918"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2"/>
                <w:szCs w:val="22"/>
                <w:u w:val="none"/>
              </w:rPr>
              <w:t>0.76</w:t>
            </w:r>
          </w:p>
        </w:tc>
        <w:tc>
          <w:tcPr>
            <w:tcW w:w="1198"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2"/>
                <w:szCs w:val="22"/>
                <w:u w:val="none"/>
              </w:rPr>
              <w:t>0.72 – 0.80</w:t>
            </w:r>
          </w:p>
        </w:tc>
        <w:tc>
          <w:tcPr>
            <w:tcW w:w="961"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2"/>
                <w:szCs w:val="22"/>
                <w:u w:val="none"/>
              </w:rPr>
              <w:t>&lt;0.001</w:t>
            </w:r>
          </w:p>
        </w:tc>
      </w:tr>
      <w:tr>
        <w:trPr/>
        <w:tc>
          <w:tcPr>
            <w:tcW w:w="3059"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2"/>
                <w:szCs w:val="22"/>
                <w:u w:val="none"/>
              </w:rPr>
              <w:t>Distant</w:t>
            </w:r>
          </w:p>
        </w:tc>
        <w:tc>
          <w:tcPr>
            <w:tcW w:w="3918"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2"/>
                <w:szCs w:val="22"/>
                <w:u w:val="none"/>
              </w:rPr>
              <w:t>0.58</w:t>
            </w:r>
          </w:p>
        </w:tc>
        <w:tc>
          <w:tcPr>
            <w:tcW w:w="1198"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2"/>
                <w:szCs w:val="22"/>
                <w:u w:val="none"/>
              </w:rPr>
              <w:t>0.46 – 0.74</w:t>
            </w:r>
          </w:p>
        </w:tc>
        <w:tc>
          <w:tcPr>
            <w:tcW w:w="961"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2"/>
                <w:szCs w:val="22"/>
                <w:u w:val="none"/>
              </w:rPr>
              <w:t>&lt;0.001</w:t>
            </w:r>
          </w:p>
        </w:tc>
      </w:tr>
    </w:tbl>
    <w:p>
      <w:pPr>
        <w:pStyle w:val="Heading3"/>
        <w:widowControl/>
        <w:shd w:val="clear" w:fill="auto"/>
        <w:spacing w:lineRule="auto" w:line="276" w:before="0" w:after="0"/>
        <w:ind w:hanging="0" w:start="0" w:end="0"/>
        <w:jc w:val="start"/>
        <w:rPr>
          <w:rFonts w:ascii="Liberation Serif" w:hAnsi="Liberation Serif"/>
          <w:sz w:val="20"/>
          <w:szCs w:val="20"/>
        </w:rPr>
      </w:pPr>
      <w:r>
        <w:rPr>
          <w:rFonts w:ascii="Liberation Serif" w:hAnsi="Liberation Serif"/>
          <w:b w:val="false"/>
          <w:bCs w:val="false"/>
          <w:color w:val="auto"/>
          <w:sz w:val="22"/>
          <w:szCs w:val="22"/>
        </w:rPr>
        <w:t xml:space="preserve">* </w:t>
      </w:r>
      <w:r>
        <w:rPr>
          <w:rFonts w:ascii="Liberation Serif" w:hAnsi="Liberation Serif"/>
          <w:b w:val="false"/>
          <w:bCs w:val="false"/>
          <w:color w:val="auto"/>
          <w:spacing w:val="0"/>
          <w:sz w:val="22"/>
          <w:szCs w:val="22"/>
        </w:rPr>
        <w:t>Data was shown as sHR (95% CI%). Ref, reference; sHR:  subdistribution hazard ratio; CI, confidence interval</w:t>
      </w:r>
      <w:r>
        <w:br w:type="page"/>
      </w:r>
    </w:p>
    <w:p>
      <w:pPr>
        <w:pStyle w:val="normal1"/>
        <w:widowControl/>
        <w:shd w:val="clear" w:fill="auto"/>
        <w:spacing w:lineRule="auto" w:line="276" w:before="0" w:after="0"/>
        <w:ind w:hanging="0" w:start="0" w:end="0"/>
        <w:jc w:val="start"/>
        <w:rPr>
          <w:b/>
          <w:bCs/>
        </w:rPr>
      </w:pPr>
      <w:r>
        <w:rPr>
          <w:rFonts w:eastAsia="Liberation Serif" w:cs="Liberation Serif" w:ascii="Liberation Serif" w:hAnsi="Liberation Serif"/>
          <w:b/>
          <w:bCs/>
          <w:i w:val="false"/>
          <w:iCs w:val="false"/>
          <w:caps w:val="false"/>
          <w:smallCaps w:val="false"/>
          <w:strike w:val="false"/>
          <w:dstrike w:val="false"/>
          <w:color w:val="000000"/>
          <w:position w:val="0"/>
          <w:sz w:val="22"/>
          <w:sz w:val="22"/>
          <w:szCs w:val="22"/>
          <w:u w:val="none"/>
          <w:shd w:fill="auto" w:val="clear"/>
          <w:vertAlign w:val="baseline"/>
        </w:rPr>
        <w:t>7. Cumulative Incidence of Cardiovascular Mortality Among Long-Term Female Breast Cancer Survivors</w:t>
      </w:r>
      <w:r>
        <w:rPr>
          <w:rFonts w:eastAsia="Liberation Serif" w:cs="Liberation Serif" w:ascii="Liberation Serif" w:hAnsi="Liberation Serif"/>
          <w:b/>
          <w:bCs w:val="false"/>
          <w:i w:val="false"/>
          <w:iCs w:val="false"/>
          <w:caps w:val="false"/>
          <w:smallCaps w:val="false"/>
          <w:strike w:val="false"/>
          <w:dstrike w:val="false"/>
          <w:color w:val="000000"/>
          <w:position w:val="0"/>
          <w:sz w:val="22"/>
          <w:sz w:val="22"/>
          <w:szCs w:val="22"/>
          <w:u w:val="none"/>
          <w:shd w:fill="auto" w:val="clear"/>
          <w:vertAlign w:val="baseline"/>
        </w:rPr>
        <w:t xml:space="preserve">, </w:t>
      </w:r>
      <w:r>
        <w:rPr>
          <w:rFonts w:eastAsia="Liberation Serif" w:cs="Liberation Serif" w:ascii="Liberation Serif" w:hAnsi="Liberation Serif"/>
          <w:b/>
          <w:bCs/>
          <w:i w:val="false"/>
          <w:iCs w:val="false"/>
          <w:caps w:val="false"/>
          <w:smallCaps w:val="false"/>
          <w:strike w:val="false"/>
          <w:dstrike w:val="false"/>
          <w:color w:val="000000"/>
          <w:position w:val="0"/>
          <w:sz w:val="22"/>
          <w:sz w:val="22"/>
          <w:szCs w:val="22"/>
          <w:u w:val="none"/>
          <w:shd w:fill="auto" w:val="clear"/>
          <w:vertAlign w:val="baseline"/>
        </w:rPr>
        <w:t>by Cancer Treatment</w:t>
      </w:r>
    </w:p>
    <w:p>
      <w:pPr>
        <w:pStyle w:val="normal1"/>
        <w:widowControl/>
        <w:shd w:val="clear" w:fill="auto"/>
        <w:spacing w:lineRule="auto" w:line="276" w:before="0" w:after="0"/>
        <w:ind w:hanging="0" w:start="0" w:end="0"/>
        <w:jc w:val="start"/>
        <w:rPr>
          <w:rFonts w:ascii="Liberation Serif" w:hAnsi="Liberation Serif" w:eastAsia="Liberation Serif" w:cs="Liberation Serif"/>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6120130" cy="3671570"/>
            <wp:effectExtent l="0" t="0" r="0" b="0"/>
            <wp:wrapSquare wrapText="largest"/>
            <wp:docPr id="7"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8" descr="" title=""/>
                    <pic:cNvPicPr>
                      <a:picLocks noChangeAspect="1" noChangeArrowheads="1"/>
                    </pic:cNvPicPr>
                  </pic:nvPicPr>
                  <pic:blipFill>
                    <a:blip r:embed="rId8"/>
                    <a:stretch>
                      <a:fillRect/>
                    </a:stretch>
                  </pic:blipFill>
                  <pic:spPr bwMode="auto">
                    <a:xfrm>
                      <a:off x="0" y="0"/>
                      <a:ext cx="6120130" cy="3671570"/>
                    </a:xfrm>
                    <a:prstGeom prst="rect">
                      <a:avLst/>
                    </a:prstGeom>
                  </pic:spPr>
                </pic:pic>
              </a:graphicData>
            </a:graphic>
          </wp:anchor>
        </w:drawing>
      </w:r>
      <w:r>
        <w:rPr>
          <w:rFonts w:eastAsia="Liberation Serif" w:cs="Liberation Serif" w:ascii="Liberation Serif" w:hAnsi="Liberation Serif"/>
          <w:b/>
          <w:bCs/>
          <w:i w:val="false"/>
          <w:iCs w:val="false"/>
          <w:caps w:val="false"/>
          <w:smallCaps w:val="false"/>
          <w:strike w:val="false"/>
          <w:dstrike w:val="false"/>
          <w:color w:val="000000"/>
          <w:position w:val="0"/>
          <w:sz w:val="22"/>
          <w:sz w:val="22"/>
          <w:szCs w:val="22"/>
          <w:u w:val="none"/>
          <w:shd w:fill="auto" w:val="clear"/>
          <w:vertAlign w:val="baseline"/>
        </w:rPr>
        <w:t xml:space="preserve">Figure 7: </w:t>
      </w:r>
      <w:r>
        <w:rPr>
          <w:rFonts w:eastAsia="Liberation Serif" w:cs="Liberation Serif" w:ascii="Liberation Serif" w:hAnsi="Liberation Serif"/>
          <w:b w:val="false"/>
          <w:bCs w:val="false"/>
          <w:i w:val="false"/>
          <w:iCs w:val="false"/>
          <w:caps w:val="false"/>
          <w:smallCaps w:val="false"/>
          <w:strike w:val="false"/>
          <w:dstrike w:val="false"/>
          <w:color w:val="000000"/>
          <w:position w:val="0"/>
          <w:sz w:val="22"/>
          <w:sz w:val="22"/>
          <w:szCs w:val="22"/>
          <w:u w:val="none"/>
          <w:shd w:fill="auto" w:val="clear"/>
          <w:vertAlign w:val="baseline"/>
        </w:rPr>
        <w:t>Cumulative Incidence of Cardiovascular Death by Cancer Treatment</w:t>
      </w:r>
    </w:p>
    <w:p>
      <w:pPr>
        <w:pStyle w:val="normal1"/>
        <w:widowControl/>
        <w:shd w:val="clear" w:fill="auto"/>
        <w:spacing w:lineRule="auto" w:line="276" w:before="0" w:after="0"/>
        <w:ind w:hanging="0" w:start="0" w:end="0"/>
        <w:jc w:val="start"/>
        <w:rPr>
          <w:rFonts w:ascii="Liberation Serif" w:hAnsi="Liberation Serif" w:eastAsia="Liberation Serif" w:cs="Liberation Serif"/>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Liberation Serif" w:cs="Liberation Serif" w:ascii="Liberation Serif" w:hAnsi="Liberation Serif"/>
          <w:b w:val="false"/>
          <w:bCs w:val="false"/>
          <w:i w:val="false"/>
          <w:iCs w:val="false"/>
          <w:caps w:val="false"/>
          <w:smallCaps w:val="false"/>
          <w:strike w:val="false"/>
          <w:dstrike w:val="false"/>
          <w:color w:val="000000"/>
          <w:position w:val="0"/>
          <w:sz w:val="22"/>
          <w:sz w:val="22"/>
          <w:szCs w:val="22"/>
          <w:u w:val="none"/>
          <w:shd w:fill="auto" w:val="clear"/>
          <w:vertAlign w:val="baseline"/>
        </w:rPr>
      </w:r>
    </w:p>
    <w:tbl>
      <w:tblPr>
        <w:tblW w:w="9645" w:type="dxa"/>
        <w:jc w:val="start"/>
        <w:tblInd w:w="0" w:type="dxa"/>
        <w:tblLayout w:type="fixed"/>
        <w:tblCellMar>
          <w:top w:w="0" w:type="dxa"/>
          <w:start w:w="0" w:type="dxa"/>
          <w:bottom w:w="0" w:type="dxa"/>
          <w:end w:w="0" w:type="dxa"/>
        </w:tblCellMar>
      </w:tblPr>
      <w:tblGrid>
        <w:gridCol w:w="2253"/>
        <w:gridCol w:w="1240"/>
        <w:gridCol w:w="1906"/>
        <w:gridCol w:w="1711"/>
        <w:gridCol w:w="1529"/>
        <w:gridCol w:w="1005"/>
      </w:tblGrid>
      <w:tr>
        <w:trPr/>
        <w:tc>
          <w:tcPr>
            <w:tcW w:w="2253" w:type="dxa"/>
            <w:tcBorders>
              <w:top w:val="single" w:sz="6" w:space="0" w:color="000000"/>
              <w:bottom w:val="single" w:sz="6" w:space="0" w:color="000000"/>
            </w:tcBorders>
            <w:vAlign w:val="center"/>
          </w:tcPr>
          <w:p>
            <w:pPr>
              <w:pStyle w:val="TableContents"/>
              <w:spacing w:lineRule="auto" w:line="271" w:before="0" w:after="0"/>
              <w:ind w:hanging="0" w:start="0" w:end="0"/>
              <w:jc w:val="start"/>
              <w:rPr/>
            </w:pPr>
            <w:r>
              <w:rPr>
                <w:rStyle w:val="Strong"/>
                <w:rFonts w:ascii="Liberation Serif" w:hAnsi="Liberation Serif"/>
                <w:i w:val="false"/>
                <w:iCs w:val="false"/>
                <w:strike w:val="false"/>
                <w:dstrike w:val="false"/>
                <w:outline w:val="false"/>
                <w:shadow w:val="false"/>
                <w:color w:val="auto"/>
                <w:sz w:val="20"/>
                <w:szCs w:val="20"/>
                <w:u w:val="none"/>
              </w:rPr>
              <w:t>Treatment Groups</w:t>
            </w:r>
          </w:p>
        </w:tc>
        <w:tc>
          <w:tcPr>
            <w:tcW w:w="1240" w:type="dxa"/>
            <w:tcBorders>
              <w:top w:val="single" w:sz="6" w:space="0" w:color="000000"/>
              <w:bottom w:val="single" w:sz="6" w:space="0" w:color="000000"/>
            </w:tcBorders>
            <w:vAlign w:val="center"/>
          </w:tcPr>
          <w:p>
            <w:pPr>
              <w:pStyle w:val="TableContents"/>
              <w:spacing w:lineRule="auto" w:line="271" w:before="0" w:after="0"/>
              <w:ind w:hanging="0" w:start="0" w:end="0"/>
              <w:jc w:val="start"/>
              <w:rPr/>
            </w:pPr>
            <w:r>
              <w:rPr>
                <w:rStyle w:val="Strong"/>
                <w:rFonts w:ascii="Liberation Serif" w:hAnsi="Liberation Serif"/>
                <w:i w:val="false"/>
                <w:iCs w:val="false"/>
                <w:strike w:val="false"/>
                <w:dstrike w:val="false"/>
                <w:outline w:val="false"/>
                <w:shadow w:val="false"/>
                <w:color w:val="auto"/>
                <w:sz w:val="20"/>
                <w:szCs w:val="20"/>
                <w:u w:val="none"/>
              </w:rPr>
              <w:t>Cohort Size (N%)</w:t>
            </w:r>
          </w:p>
        </w:tc>
        <w:tc>
          <w:tcPr>
            <w:tcW w:w="1906" w:type="dxa"/>
            <w:tcBorders>
              <w:top w:val="single" w:sz="6" w:space="0" w:color="000000"/>
              <w:bottom w:val="single" w:sz="6" w:space="0" w:color="000000"/>
            </w:tcBorders>
            <w:vAlign w:val="center"/>
          </w:tcPr>
          <w:p>
            <w:pPr>
              <w:pStyle w:val="TableContents"/>
              <w:spacing w:lineRule="auto" w:line="271" w:before="0" w:after="0"/>
              <w:ind w:hanging="0" w:start="0" w:end="0"/>
              <w:jc w:val="start"/>
              <w:rPr/>
            </w:pPr>
            <w:r>
              <w:rPr>
                <w:rStyle w:val="Strong"/>
                <w:rFonts w:ascii="Liberation Serif" w:hAnsi="Liberation Serif"/>
                <w:i w:val="false"/>
                <w:iCs w:val="false"/>
                <w:strike w:val="false"/>
                <w:dstrike w:val="false"/>
                <w:outline w:val="false"/>
                <w:shadow w:val="false"/>
                <w:color w:val="auto"/>
                <w:sz w:val="20"/>
                <w:szCs w:val="20"/>
                <w:u w:val="none"/>
              </w:rPr>
              <w:t>Final Follow-up (Months%)</w:t>
            </w:r>
          </w:p>
        </w:tc>
        <w:tc>
          <w:tcPr>
            <w:tcW w:w="1711" w:type="dxa"/>
            <w:tcBorders>
              <w:top w:val="single" w:sz="6" w:space="0" w:color="000000"/>
              <w:bottom w:val="single" w:sz="6" w:space="0" w:color="000000"/>
            </w:tcBorders>
            <w:vAlign w:val="center"/>
          </w:tcPr>
          <w:p>
            <w:pPr>
              <w:pStyle w:val="TableContents"/>
              <w:spacing w:lineRule="auto" w:line="271" w:before="0" w:after="0"/>
              <w:ind w:hanging="0" w:start="0" w:end="0"/>
              <w:jc w:val="start"/>
              <w:rPr/>
            </w:pPr>
            <w:r>
              <w:rPr>
                <w:rStyle w:val="Strong"/>
                <w:rFonts w:ascii="Liberation Serif" w:hAnsi="Liberation Serif"/>
                <w:i w:val="false"/>
                <w:iCs w:val="false"/>
                <w:strike w:val="false"/>
                <w:dstrike w:val="false"/>
                <w:outline w:val="false"/>
                <w:shadow w:val="false"/>
                <w:color w:val="auto"/>
                <w:sz w:val="20"/>
                <w:szCs w:val="20"/>
                <w:u w:val="none"/>
              </w:rPr>
              <w:t>Cumulative Incidence (%%)</w:t>
            </w:r>
          </w:p>
        </w:tc>
        <w:tc>
          <w:tcPr>
            <w:tcW w:w="1529" w:type="dxa"/>
            <w:tcBorders>
              <w:top w:val="single" w:sz="6" w:space="0" w:color="000000"/>
              <w:bottom w:val="single" w:sz="6" w:space="0" w:color="000000"/>
            </w:tcBorders>
            <w:vAlign w:val="center"/>
          </w:tcPr>
          <w:p>
            <w:pPr>
              <w:pStyle w:val="TableContents"/>
              <w:spacing w:lineRule="auto" w:line="271" w:before="0" w:after="0"/>
              <w:ind w:hanging="0" w:start="0" w:end="0"/>
              <w:jc w:val="start"/>
              <w:rPr/>
            </w:pPr>
            <w:r>
              <w:rPr>
                <w:rStyle w:val="Strong"/>
                <w:rFonts w:ascii="Liberation Serif" w:hAnsi="Liberation Serif"/>
                <w:i w:val="false"/>
                <w:iCs w:val="false"/>
                <w:strike w:val="false"/>
                <w:dstrike w:val="false"/>
                <w:outline w:val="false"/>
                <w:shadow w:val="false"/>
                <w:color w:val="auto"/>
                <w:sz w:val="20"/>
                <w:szCs w:val="20"/>
                <w:u w:val="none"/>
              </w:rPr>
              <w:t>95% CI</w:t>
            </w:r>
          </w:p>
        </w:tc>
        <w:tc>
          <w:tcPr>
            <w:tcW w:w="1005"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sz w:val="20"/>
                <w:szCs w:val="20"/>
              </w:rPr>
            </w:pPr>
            <w:r>
              <w:rPr>
                <w:rFonts w:ascii="Liberation Serif" w:hAnsi="Liberation Serif"/>
                <w:b/>
                <w:bCs/>
                <w:i w:val="false"/>
                <w:iCs w:val="false"/>
                <w:strike w:val="false"/>
                <w:dstrike w:val="false"/>
                <w:outline w:val="false"/>
                <w:shadow w:val="false"/>
                <w:color w:val="auto"/>
                <w:sz w:val="20"/>
                <w:szCs w:val="20"/>
                <w:u w:val="none"/>
              </w:rPr>
              <w:t>SE</w:t>
            </w:r>
          </w:p>
        </w:tc>
      </w:tr>
      <w:tr>
        <w:trPr/>
        <w:tc>
          <w:tcPr>
            <w:tcW w:w="2253" w:type="dxa"/>
            <w:tcBorders/>
            <w:vAlign w:val="center"/>
          </w:tcPr>
          <w:p>
            <w:pPr>
              <w:pStyle w:val="TableContents"/>
              <w:spacing w:lineRule="auto" w:line="271" w:before="0" w:after="140"/>
              <w:ind w:hanging="0" w:start="0" w:end="0"/>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auto"/>
                <w:sz w:val="20"/>
                <w:szCs w:val="20"/>
                <w:u w:val="none"/>
              </w:rPr>
              <w:t>Surgery Only</w:t>
            </w:r>
          </w:p>
        </w:tc>
        <w:tc>
          <w:tcPr>
            <w:tcW w:w="1240" w:type="dxa"/>
            <w:tcBorders/>
            <w:vAlign w:val="center"/>
          </w:tcPr>
          <w:p>
            <w:pPr>
              <w:pStyle w:val="TableContents"/>
              <w:spacing w:lineRule="auto" w:line="271" w:before="0" w:after="140"/>
              <w:ind w:hanging="0" w:start="0" w:end="0"/>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auto"/>
                <w:sz w:val="20"/>
                <w:szCs w:val="20"/>
                <w:u w:val="none"/>
              </w:rPr>
              <w:t>221,050</w:t>
            </w:r>
          </w:p>
        </w:tc>
        <w:tc>
          <w:tcPr>
            <w:tcW w:w="1906" w:type="dxa"/>
            <w:tcBorders/>
            <w:vAlign w:val="center"/>
          </w:tcPr>
          <w:p>
            <w:pPr>
              <w:pStyle w:val="TableContents"/>
              <w:spacing w:lineRule="auto" w:line="271" w:before="0" w:after="140"/>
              <w:ind w:hanging="0" w:start="0" w:end="0"/>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auto"/>
                <w:sz w:val="20"/>
                <w:szCs w:val="20"/>
                <w:u w:val="none"/>
              </w:rPr>
              <w:t>215</w:t>
            </w:r>
          </w:p>
        </w:tc>
        <w:tc>
          <w:tcPr>
            <w:tcW w:w="1711" w:type="dxa"/>
            <w:tcBorders/>
            <w:vAlign w:val="center"/>
          </w:tcPr>
          <w:p>
            <w:pPr>
              <w:pStyle w:val="TableContents"/>
              <w:spacing w:lineRule="auto" w:line="271" w:before="0" w:after="140"/>
              <w:ind w:hanging="0" w:start="0" w:end="0"/>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auto"/>
                <w:sz w:val="20"/>
                <w:szCs w:val="20"/>
                <w:u w:val="none"/>
              </w:rPr>
              <w:t>13.11</w:t>
            </w:r>
          </w:p>
        </w:tc>
        <w:tc>
          <w:tcPr>
            <w:tcW w:w="1529" w:type="dxa"/>
            <w:tcBorders/>
            <w:vAlign w:val="center"/>
          </w:tcPr>
          <w:p>
            <w:pPr>
              <w:pStyle w:val="TableContents"/>
              <w:spacing w:lineRule="auto" w:line="271" w:before="0" w:after="140"/>
              <w:ind w:hanging="0" w:start="0" w:end="0"/>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auto"/>
                <w:sz w:val="20"/>
                <w:szCs w:val="20"/>
                <w:u w:val="none"/>
              </w:rPr>
              <w:t>12.74 – 13.49</w:t>
            </w:r>
          </w:p>
        </w:tc>
        <w:tc>
          <w:tcPr>
            <w:tcW w:w="1005" w:type="dxa"/>
            <w:tcBorders/>
            <w:vAlign w:val="center"/>
          </w:tcPr>
          <w:p>
            <w:pPr>
              <w:pStyle w:val="TableContents"/>
              <w:spacing w:lineRule="auto" w:line="271" w:before="0" w:after="140"/>
              <w:ind w:hanging="0" w:start="0" w:end="0"/>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auto"/>
                <w:sz w:val="20"/>
                <w:szCs w:val="20"/>
                <w:u w:val="none"/>
              </w:rPr>
              <w:t>0.002</w:t>
            </w:r>
          </w:p>
        </w:tc>
      </w:tr>
      <w:tr>
        <w:trPr/>
        <w:tc>
          <w:tcPr>
            <w:tcW w:w="2253"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auto"/>
                <w:sz w:val="20"/>
                <w:szCs w:val="20"/>
                <w:u w:val="none"/>
              </w:rPr>
              <w:t>Radiation Alone</w:t>
            </w:r>
          </w:p>
        </w:tc>
        <w:tc>
          <w:tcPr>
            <w:tcW w:w="1240"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auto"/>
                <w:sz w:val="20"/>
                <w:szCs w:val="20"/>
                <w:u w:val="none"/>
              </w:rPr>
              <w:t>211,414</w:t>
            </w:r>
          </w:p>
        </w:tc>
        <w:tc>
          <w:tcPr>
            <w:tcW w:w="1906"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auto"/>
                <w:sz w:val="20"/>
                <w:szCs w:val="20"/>
                <w:u w:val="none"/>
              </w:rPr>
              <w:t>215</w:t>
            </w:r>
          </w:p>
        </w:tc>
        <w:tc>
          <w:tcPr>
            <w:tcW w:w="1711"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auto"/>
                <w:sz w:val="20"/>
                <w:szCs w:val="20"/>
                <w:u w:val="none"/>
              </w:rPr>
              <w:t>11.56</w:t>
            </w:r>
          </w:p>
        </w:tc>
        <w:tc>
          <w:tcPr>
            <w:tcW w:w="1529"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auto"/>
                <w:sz w:val="20"/>
                <w:szCs w:val="20"/>
                <w:u w:val="none"/>
              </w:rPr>
              <w:t>11.19 – 11.94</w:t>
            </w:r>
          </w:p>
        </w:tc>
        <w:tc>
          <w:tcPr>
            <w:tcW w:w="1005"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auto"/>
                <w:sz w:val="20"/>
                <w:szCs w:val="20"/>
                <w:u w:val="none"/>
              </w:rPr>
              <w:t>0.002</w:t>
            </w:r>
          </w:p>
        </w:tc>
      </w:tr>
      <w:tr>
        <w:trPr/>
        <w:tc>
          <w:tcPr>
            <w:tcW w:w="2253"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Chemotherapy Alone</w:t>
            </w:r>
          </w:p>
        </w:tc>
        <w:tc>
          <w:tcPr>
            <w:tcW w:w="1240"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color w:val="auto"/>
                <w:sz w:val="20"/>
                <w:szCs w:val="20"/>
              </w:rPr>
            </w:pPr>
            <w:r>
              <w:rPr>
                <w:rFonts w:ascii="Liberation Serif" w:hAnsi="Liberation Serif"/>
                <w:color w:val="auto"/>
                <w:sz w:val="20"/>
                <w:szCs w:val="20"/>
              </w:rPr>
              <w:t>125,419</w:t>
            </w:r>
          </w:p>
        </w:tc>
        <w:tc>
          <w:tcPr>
            <w:tcW w:w="1906"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color w:val="auto"/>
                <w:sz w:val="20"/>
                <w:szCs w:val="20"/>
              </w:rPr>
            </w:pPr>
            <w:r>
              <w:rPr>
                <w:rFonts w:ascii="Liberation Serif" w:hAnsi="Liberation Serif"/>
                <w:color w:val="auto"/>
                <w:sz w:val="20"/>
                <w:szCs w:val="20"/>
              </w:rPr>
              <w:t>215</w:t>
            </w:r>
          </w:p>
        </w:tc>
        <w:tc>
          <w:tcPr>
            <w:tcW w:w="1711"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5.78</w:t>
            </w:r>
          </w:p>
        </w:tc>
        <w:tc>
          <w:tcPr>
            <w:tcW w:w="1529"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5.46 – 6.12</w:t>
            </w:r>
          </w:p>
        </w:tc>
        <w:tc>
          <w:tcPr>
            <w:tcW w:w="1005"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0.002</w:t>
            </w:r>
          </w:p>
        </w:tc>
      </w:tr>
      <w:tr>
        <w:trPr/>
        <w:tc>
          <w:tcPr>
            <w:tcW w:w="2253"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Chemo + Radiation</w:t>
            </w:r>
          </w:p>
        </w:tc>
        <w:tc>
          <w:tcPr>
            <w:tcW w:w="1240"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color w:val="auto"/>
                <w:sz w:val="20"/>
                <w:szCs w:val="20"/>
              </w:rPr>
            </w:pPr>
            <w:r>
              <w:rPr>
                <w:rFonts w:ascii="Liberation Serif" w:hAnsi="Liberation Serif"/>
                <w:color w:val="auto"/>
                <w:sz w:val="20"/>
                <w:szCs w:val="20"/>
              </w:rPr>
              <w:t>173,406</w:t>
            </w:r>
          </w:p>
        </w:tc>
        <w:tc>
          <w:tcPr>
            <w:tcW w:w="1906"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color w:val="auto"/>
                <w:sz w:val="20"/>
                <w:szCs w:val="20"/>
              </w:rPr>
            </w:pPr>
            <w:r>
              <w:rPr>
                <w:rFonts w:ascii="Liberation Serif" w:hAnsi="Liberation Serif"/>
                <w:color w:val="auto"/>
                <w:sz w:val="20"/>
                <w:szCs w:val="20"/>
              </w:rPr>
              <w:t>215</w:t>
            </w:r>
          </w:p>
        </w:tc>
        <w:tc>
          <w:tcPr>
            <w:tcW w:w="1711"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5.46</w:t>
            </w:r>
          </w:p>
        </w:tc>
        <w:tc>
          <w:tcPr>
            <w:tcW w:w="1529"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5.05 – 5.89</w:t>
            </w:r>
          </w:p>
        </w:tc>
        <w:tc>
          <w:tcPr>
            <w:tcW w:w="1005"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0.002</w:t>
            </w:r>
          </w:p>
        </w:tc>
      </w:tr>
    </w:tbl>
    <w:p>
      <w:pPr>
        <w:pStyle w:val="normal1"/>
        <w:widowControl/>
        <w:shd w:val="clear" w:fill="auto"/>
        <w:spacing w:lineRule="auto" w:line="276" w:before="0" w:after="0"/>
        <w:ind w:hanging="0" w:start="0" w:end="0"/>
        <w:jc w:val="start"/>
        <w:rPr>
          <w:rFonts w:ascii="Liberation Serif" w:hAnsi="Liberation Serif" w:eastAsia="Liberation Serif" w:cs="Liberation Serif"/>
          <w:b/>
          <w:bCs/>
          <w:i w:val="false"/>
          <w:i w:val="false"/>
          <w:iCs w:val="false"/>
          <w:caps w:val="false"/>
          <w:smallCaps w:val="false"/>
          <w:strike w:val="false"/>
          <w:dstrike w:val="false"/>
          <w:color w:val="auto"/>
          <w:sz w:val="22"/>
          <w:szCs w:val="22"/>
          <w:u w:val="none"/>
          <w:shd w:fill="auto" w:val="clear"/>
        </w:rPr>
      </w:pPr>
      <w:r>
        <w:rPr>
          <w:rFonts w:eastAsia="Liberation Serif" w:cs="Liberation Serif" w:ascii="Liberation Serif" w:hAnsi="Liberation Serif"/>
          <w:b/>
          <w:bCs/>
          <w:i w:val="false"/>
          <w:iCs w:val="false"/>
          <w:caps w:val="false"/>
          <w:smallCaps w:val="false"/>
          <w:strike w:val="false"/>
          <w:dstrike w:val="false"/>
          <w:color w:val="000000"/>
          <w:sz w:val="22"/>
          <w:szCs w:val="22"/>
          <w:u w:val="none"/>
          <w:shd w:fill="auto" w:val="clear"/>
        </w:rPr>
      </w:r>
    </w:p>
    <w:p>
      <w:pPr>
        <w:pStyle w:val="BodyText"/>
        <w:bidi w:val="0"/>
        <w:spacing w:lineRule="auto" w:line="271" w:before="0" w:after="120"/>
        <w:ind w:hanging="0" w:start="0" w:end="0"/>
        <w:jc w:val="start"/>
        <w:rPr>
          <w:sz w:val="22"/>
          <w:szCs w:val="22"/>
        </w:rPr>
      </w:pPr>
      <w:r>
        <w:rPr>
          <w:b/>
          <w:bCs/>
          <w:color w:val="auto"/>
          <w:sz w:val="22"/>
          <w:szCs w:val="22"/>
        </w:rPr>
        <w:t>Cumulative Incidence post 5+ years milestones of Cardiovascular Mortality by Cancer Treatment:</w:t>
      </w:r>
    </w:p>
    <w:tbl>
      <w:tblPr>
        <w:tblW w:w="9638" w:type="dxa"/>
        <w:jc w:val="start"/>
        <w:tblInd w:w="0" w:type="dxa"/>
        <w:tblLayout w:type="fixed"/>
        <w:tblCellMar>
          <w:top w:w="28" w:type="dxa"/>
          <w:start w:w="28" w:type="dxa"/>
          <w:bottom w:w="28" w:type="dxa"/>
          <w:end w:w="28" w:type="dxa"/>
        </w:tblCellMar>
      </w:tblPr>
      <w:tblGrid>
        <w:gridCol w:w="3061"/>
        <w:gridCol w:w="2104"/>
        <w:gridCol w:w="2209"/>
        <w:gridCol w:w="2263"/>
      </w:tblGrid>
      <w:tr>
        <w:trPr>
          <w:tblHeader w:val="true"/>
        </w:trPr>
        <w:tc>
          <w:tcPr>
            <w:tcW w:w="3061"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0"/>
              <w:ind w:hanging="0" w:start="0" w:end="0"/>
              <w:rPr/>
            </w:pPr>
            <w:r>
              <w:rPr>
                <w:rStyle w:val="Strong"/>
                <w:rFonts w:ascii="Liberation Serif" w:hAnsi="Liberation Serif"/>
                <w:color w:val="auto"/>
                <w:sz w:val="20"/>
                <w:szCs w:val="20"/>
              </w:rPr>
              <w:t>Treatment Groups</w:t>
            </w:r>
          </w:p>
        </w:tc>
        <w:tc>
          <w:tcPr>
            <w:tcW w:w="210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0"/>
              <w:ind w:hanging="0" w:start="0" w:end="0"/>
              <w:rPr/>
            </w:pPr>
            <w:r>
              <w:rPr>
                <w:rStyle w:val="Strong"/>
                <w:rFonts w:ascii="Liberation Serif" w:hAnsi="Liberation Serif"/>
                <w:color w:val="auto"/>
                <w:sz w:val="20"/>
                <w:szCs w:val="20"/>
              </w:rPr>
              <w:t>Year 10 (60 months%)</w:t>
            </w:r>
          </w:p>
        </w:tc>
        <w:tc>
          <w:tcPr>
            <w:tcW w:w="2209"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0"/>
              <w:ind w:hanging="0" w:start="0" w:end="0"/>
              <w:rPr/>
            </w:pPr>
            <w:r>
              <w:rPr>
                <w:rStyle w:val="Strong"/>
                <w:rFonts w:ascii="Liberation Serif" w:hAnsi="Liberation Serif"/>
                <w:color w:val="auto"/>
                <w:sz w:val="20"/>
                <w:szCs w:val="20"/>
              </w:rPr>
              <w:t>Year 15 (120 months%)</w:t>
            </w:r>
          </w:p>
        </w:tc>
        <w:tc>
          <w:tcPr>
            <w:tcW w:w="2263"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0"/>
              <w:ind w:hanging="0" w:start="0" w:end="0"/>
              <w:rPr/>
            </w:pPr>
            <w:r>
              <w:rPr>
                <w:rStyle w:val="Strong"/>
                <w:rFonts w:ascii="Liberation Serif" w:hAnsi="Liberation Serif"/>
                <w:color w:val="auto"/>
                <w:sz w:val="20"/>
                <w:szCs w:val="20"/>
              </w:rPr>
              <w:t>Year 20 (180 months%)</w:t>
            </w:r>
          </w:p>
        </w:tc>
      </w:tr>
      <w:tr>
        <w:trPr/>
        <w:tc>
          <w:tcPr>
            <w:tcW w:w="3061"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Surgery Only</w:t>
            </w:r>
          </w:p>
        </w:tc>
        <w:tc>
          <w:tcPr>
            <w:tcW w:w="210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4.46%</w:t>
            </w:r>
          </w:p>
        </w:tc>
        <w:tc>
          <w:tcPr>
            <w:tcW w:w="2209"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8.33%</w:t>
            </w:r>
          </w:p>
        </w:tc>
        <w:tc>
          <w:tcPr>
            <w:tcW w:w="2263"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11.41%</w:t>
            </w:r>
          </w:p>
        </w:tc>
      </w:tr>
      <w:tr>
        <w:trPr/>
        <w:tc>
          <w:tcPr>
            <w:tcW w:w="3061"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Radiation Alone</w:t>
            </w:r>
          </w:p>
        </w:tc>
        <w:tc>
          <w:tcPr>
            <w:tcW w:w="210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2.75%</w:t>
            </w:r>
          </w:p>
        </w:tc>
        <w:tc>
          <w:tcPr>
            <w:tcW w:w="2209"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6.17%</w:t>
            </w:r>
          </w:p>
        </w:tc>
        <w:tc>
          <w:tcPr>
            <w:tcW w:w="2263"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9.61%</w:t>
            </w:r>
          </w:p>
        </w:tc>
      </w:tr>
      <w:tr>
        <w:trPr/>
        <w:tc>
          <w:tcPr>
            <w:tcW w:w="3061"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Chemotherapy Alone</w:t>
            </w:r>
          </w:p>
        </w:tc>
        <w:tc>
          <w:tcPr>
            <w:tcW w:w="210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1.21%</w:t>
            </w:r>
          </w:p>
        </w:tc>
        <w:tc>
          <w:tcPr>
            <w:tcW w:w="2209"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2.77%</w:t>
            </w:r>
          </w:p>
        </w:tc>
        <w:tc>
          <w:tcPr>
            <w:tcW w:w="2263"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4.76%</w:t>
            </w:r>
          </w:p>
        </w:tc>
      </w:tr>
      <w:tr>
        <w:trPr/>
        <w:tc>
          <w:tcPr>
            <w:tcW w:w="3061"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Chemo + Radiation</w:t>
            </w:r>
          </w:p>
        </w:tc>
        <w:tc>
          <w:tcPr>
            <w:tcW w:w="210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0.94%</w:t>
            </w:r>
          </w:p>
        </w:tc>
        <w:tc>
          <w:tcPr>
            <w:tcW w:w="2209"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2.21%</w:t>
            </w:r>
          </w:p>
        </w:tc>
        <w:tc>
          <w:tcPr>
            <w:tcW w:w="2263"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4.05%</w:t>
            </w:r>
          </w:p>
        </w:tc>
      </w:tr>
    </w:tbl>
    <w:p>
      <w:pPr>
        <w:pStyle w:val="BodyText"/>
        <w:bidi w:val="0"/>
        <w:spacing w:lineRule="auto" w:line="271" w:before="0" w:after="120"/>
        <w:ind w:hanging="0" w:start="0" w:end="0"/>
        <w:jc w:val="start"/>
        <w:rPr>
          <w:sz w:val="22"/>
          <w:szCs w:val="22"/>
        </w:rPr>
      </w:pPr>
      <w:r>
        <w:rPr>
          <w:sz w:val="22"/>
          <w:szCs w:val="22"/>
        </w:rPr>
      </w:r>
    </w:p>
    <w:p>
      <w:pPr>
        <w:pStyle w:val="Heading3"/>
        <w:widowControl/>
        <w:shd w:val="clear" w:fill="auto"/>
        <w:spacing w:lineRule="auto" w:line="276" w:before="0" w:after="0"/>
        <w:ind w:hanging="0" w:start="0" w:end="0"/>
        <w:jc w:val="start"/>
        <w:rPr>
          <w:rFonts w:ascii="Google Sans;sans-serif" w:hAnsi="Google Sans;sans-serif" w:eastAsia="Liberation Serif" w:cs="Liberation Serif"/>
          <w:b w:val="false"/>
          <w:bCs w:val="false"/>
          <w:i w:val="false"/>
          <w:i w:val="false"/>
          <w:iCs w:val="false"/>
          <w:caps w:val="false"/>
          <w:smallCaps w:val="false"/>
          <w:strike w:val="false"/>
          <w:dstrike w:val="false"/>
          <w:color w:val="000000"/>
          <w:sz w:val="22"/>
          <w:szCs w:val="22"/>
          <w:u w:val="none"/>
          <w:shd w:fill="auto" w:val="clear"/>
        </w:rPr>
      </w:pPr>
      <w:r>
        <w:rPr>
          <w:rFonts w:eastAsia="Liberation Serif" w:cs="Liberation Serif" w:ascii="Google Sans;sans-serif" w:hAnsi="Google Sans;sans-serif"/>
          <w:b w:val="false"/>
          <w:bCs w:val="false"/>
          <w:i w:val="false"/>
          <w:iCs w:val="false"/>
          <w:caps w:val="false"/>
          <w:smallCaps w:val="false"/>
          <w:strike w:val="false"/>
          <w:dstrike w:val="false"/>
          <w:color w:val="000000"/>
          <w:sz w:val="22"/>
          <w:szCs w:val="22"/>
          <w:u w:val="none"/>
          <w:shd w:fill="auto" w:val="clear"/>
        </w:rPr>
      </w:r>
      <w:r>
        <w:br w:type="page"/>
      </w:r>
    </w:p>
    <w:p>
      <w:pPr>
        <w:pStyle w:val="Heading3"/>
        <w:widowControl/>
        <w:shd w:val="clear" w:fill="auto"/>
        <w:spacing w:lineRule="auto" w:line="276" w:before="0" w:after="0"/>
        <w:ind w:hanging="0" w:start="0" w:end="0"/>
        <w:jc w:val="start"/>
        <w:rPr>
          <w:rFonts w:ascii="Google Sans;sans-serif" w:hAnsi="Google Sans;sans-serif" w:eastAsia="Liberation Serif" w:cs="Liberation Serif"/>
          <w:b w:val="false"/>
          <w:bCs w:val="false"/>
          <w:i w:val="false"/>
          <w:i w:val="false"/>
          <w:iCs w:val="false"/>
          <w:caps w:val="false"/>
          <w:smallCaps w:val="false"/>
          <w:strike w:val="false"/>
          <w:dstrike w:val="false"/>
          <w:color w:val="000000"/>
          <w:sz w:val="22"/>
          <w:szCs w:val="22"/>
          <w:u w:val="none"/>
          <w:shd w:fill="auto" w:val="clear"/>
        </w:rPr>
      </w:pPr>
      <w:r>
        <w:rPr>
          <w:rFonts w:eastAsia="Liberation Serif" w:cs="Liberation Serif" w:ascii="Liberation Serif" w:hAnsi="Liberation Serif"/>
          <w:b/>
          <w:bCs/>
          <w:i w:val="false"/>
          <w:iCs w:val="false"/>
          <w:caps w:val="false"/>
          <w:smallCaps w:val="false"/>
          <w:strike w:val="false"/>
          <w:dstrike w:val="false"/>
          <w:color w:val="000000"/>
          <w:sz w:val="22"/>
          <w:szCs w:val="22"/>
          <w:u w:val="none"/>
          <w:shd w:fill="auto" w:val="clear"/>
        </w:rPr>
        <w:t>Table 6:</w:t>
      </w:r>
      <w:r>
        <w:rPr>
          <w:rFonts w:eastAsia="Liberation Serif" w:cs="Liberation Serif" w:ascii="Liberation Serif" w:hAnsi="Liberation Serif"/>
          <w:b w:val="false"/>
          <w:bCs w:val="false"/>
          <w:i w:val="false"/>
          <w:iCs w:val="false"/>
          <w:caps w:val="false"/>
          <w:smallCaps w:val="false"/>
          <w:strike w:val="false"/>
          <w:dstrike w:val="false"/>
          <w:color w:val="000000"/>
          <w:sz w:val="22"/>
          <w:szCs w:val="22"/>
          <w:u w:val="none"/>
          <w:shd w:fill="auto" w:val="clear"/>
        </w:rPr>
        <w:t xml:space="preserve"> Fine-Gray Subdistribution Hazard Analysis of Cardiovascular Mortality by Cancer Treatment</w:t>
      </w:r>
    </w:p>
    <w:tbl>
      <w:tblPr>
        <w:tblW w:w="9337" w:type="dxa"/>
        <w:jc w:val="start"/>
        <w:tblInd w:w="0" w:type="dxa"/>
        <w:tblLayout w:type="fixed"/>
        <w:tblCellMar>
          <w:top w:w="0" w:type="dxa"/>
          <w:start w:w="0" w:type="dxa"/>
          <w:bottom w:w="0" w:type="dxa"/>
          <w:end w:w="0" w:type="dxa"/>
        </w:tblCellMar>
      </w:tblPr>
      <w:tblGrid>
        <w:gridCol w:w="3253"/>
        <w:gridCol w:w="3918"/>
        <w:gridCol w:w="1208"/>
        <w:gridCol w:w="957"/>
      </w:tblGrid>
      <w:tr>
        <w:trPr/>
        <w:tc>
          <w:tcPr>
            <w:tcW w:w="3253"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0"/>
                <w:szCs w:val="20"/>
                <w:u w:val="none"/>
              </w:rPr>
              <w:t>Treatment Groups</w:t>
            </w:r>
          </w:p>
        </w:tc>
        <w:tc>
          <w:tcPr>
            <w:tcW w:w="3918"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0"/>
                <w:szCs w:val="20"/>
                <w:u w:val="none"/>
              </w:rPr>
              <w:t>Subdistribution Hazard Ratio (sHR%)</w:t>
            </w:r>
          </w:p>
        </w:tc>
        <w:tc>
          <w:tcPr>
            <w:tcW w:w="1208"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0"/>
                <w:szCs w:val="20"/>
                <w:u w:val="none"/>
              </w:rPr>
              <w:t>95% CI</w:t>
            </w:r>
          </w:p>
        </w:tc>
        <w:tc>
          <w:tcPr>
            <w:tcW w:w="957"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0"/>
                <w:szCs w:val="20"/>
                <w:u w:val="none"/>
              </w:rPr>
              <w:t>P-value</w:t>
            </w:r>
          </w:p>
        </w:tc>
      </w:tr>
      <w:tr>
        <w:trPr/>
        <w:tc>
          <w:tcPr>
            <w:tcW w:w="3253"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Surgery Only</w:t>
            </w:r>
          </w:p>
        </w:tc>
        <w:tc>
          <w:tcPr>
            <w:tcW w:w="3918"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1.00 (Ref%)</w:t>
            </w:r>
          </w:p>
        </w:tc>
        <w:tc>
          <w:tcPr>
            <w:tcW w:w="1208"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w:t>
            </w:r>
          </w:p>
        </w:tc>
        <w:tc>
          <w:tcPr>
            <w:tcW w:w="957"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w:t>
            </w:r>
          </w:p>
        </w:tc>
      </w:tr>
      <w:tr>
        <w:trPr/>
        <w:tc>
          <w:tcPr>
            <w:tcW w:w="3253"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Radiation Alone</w:t>
            </w:r>
          </w:p>
        </w:tc>
        <w:tc>
          <w:tcPr>
            <w:tcW w:w="3918"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0.71</w:t>
            </w:r>
          </w:p>
        </w:tc>
        <w:tc>
          <w:tcPr>
            <w:tcW w:w="1208"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0.67 – 0.75</w:t>
            </w:r>
          </w:p>
        </w:tc>
        <w:tc>
          <w:tcPr>
            <w:tcW w:w="957"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&lt;0.001</w:t>
            </w:r>
          </w:p>
        </w:tc>
      </w:tr>
      <w:tr>
        <w:trPr/>
        <w:tc>
          <w:tcPr>
            <w:tcW w:w="3253"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Chemotherapy Alone</w:t>
            </w:r>
          </w:p>
        </w:tc>
        <w:tc>
          <w:tcPr>
            <w:tcW w:w="3918"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0.33</w:t>
            </w:r>
          </w:p>
        </w:tc>
        <w:tc>
          <w:tcPr>
            <w:tcW w:w="1208"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0.30 – 0.36</w:t>
            </w:r>
          </w:p>
        </w:tc>
        <w:tc>
          <w:tcPr>
            <w:tcW w:w="957"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&lt;0.001</w:t>
            </w:r>
          </w:p>
        </w:tc>
      </w:tr>
      <w:tr>
        <w:trPr/>
        <w:tc>
          <w:tcPr>
            <w:tcW w:w="3253"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Chemo + Radiation</w:t>
            </w:r>
          </w:p>
        </w:tc>
        <w:tc>
          <w:tcPr>
            <w:tcW w:w="3918"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0.29</w:t>
            </w:r>
          </w:p>
        </w:tc>
        <w:tc>
          <w:tcPr>
            <w:tcW w:w="1208"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0.27 – 0.31</w:t>
            </w:r>
          </w:p>
        </w:tc>
        <w:tc>
          <w:tcPr>
            <w:tcW w:w="957"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&lt;0.001</w:t>
            </w:r>
          </w:p>
        </w:tc>
      </w:tr>
    </w:tbl>
    <w:p>
      <w:pPr>
        <w:pStyle w:val="Heading3"/>
        <w:widowControl/>
        <w:shd w:val="clear" w:fill="auto"/>
        <w:spacing w:lineRule="auto" w:line="276" w:before="0" w:after="0"/>
        <w:ind w:hanging="0" w:start="0" w:end="0"/>
        <w:jc w:val="start"/>
        <w:rPr>
          <w:rFonts w:ascii="Google Sans;sans-serif" w:hAnsi="Google Sans;sans-serif" w:eastAsia="Liberation Serif" w:cs="Liberation Serif"/>
          <w:b w:val="false"/>
          <w:bCs w:val="false"/>
          <w:i w:val="false"/>
          <w:i w:val="false"/>
          <w:iCs w:val="false"/>
          <w:caps w:val="false"/>
          <w:smallCaps w:val="false"/>
          <w:strike w:val="false"/>
          <w:dstrike w:val="false"/>
          <w:color w:val="000000"/>
          <w:sz w:val="22"/>
          <w:szCs w:val="22"/>
          <w:u w:val="none"/>
          <w:shd w:fill="auto" w:val="clear"/>
        </w:rPr>
      </w:pPr>
      <w:r>
        <w:rPr>
          <w:rFonts w:ascii="Liberation Serif" w:hAnsi="Liberation Serif"/>
          <w:b w:val="false"/>
          <w:bCs w:val="false"/>
          <w:color w:val="auto"/>
          <w:sz w:val="22"/>
          <w:szCs w:val="22"/>
        </w:rPr>
        <w:t xml:space="preserve">* </w:t>
      </w:r>
      <w:r>
        <w:rPr>
          <w:rFonts w:ascii="Liberation Serif" w:hAnsi="Liberation Serif"/>
          <w:b w:val="false"/>
          <w:bCs w:val="false"/>
          <w:color w:val="auto"/>
          <w:spacing w:val="0"/>
          <w:sz w:val="22"/>
          <w:szCs w:val="22"/>
        </w:rPr>
        <w:t>Data was shown as sHR (95% CI%). Ref, reference; sHR:  subdistribution hazard ratio; CI, confidence interval</w:t>
      </w:r>
      <w:r>
        <w:rPr>
          <w:rFonts w:eastAsia="Liberation Serif" w:cs="Liberation Serif" w:ascii="Liberation Serif" w:hAnsi="Liberation Serif"/>
          <w:b w:val="false"/>
          <w:bCs w:val="false"/>
          <w:i w:val="false"/>
          <w:iCs w:val="false"/>
          <w:caps w:val="false"/>
          <w:smallCaps w:val="false"/>
          <w:strike w:val="false"/>
          <w:dstrike w:val="false"/>
          <w:color w:val="000000"/>
          <w:spacing w:val="0"/>
          <w:sz w:val="22"/>
          <w:szCs w:val="22"/>
          <w:u w:val="none"/>
          <w:shd w:fill="auto" w:val="clear"/>
        </w:rPr>
        <w:br/>
      </w:r>
      <w:r>
        <w:br w:type="page"/>
      </w:r>
    </w:p>
    <w:p>
      <w:pPr>
        <w:pStyle w:val="normal1"/>
        <w:widowControl/>
        <w:shd w:val="clear" w:fill="auto"/>
        <w:spacing w:lineRule="auto" w:line="276" w:before="0" w:after="0"/>
        <w:ind w:hanging="0" w:start="0" w:end="0"/>
        <w:jc w:val="start"/>
        <w:rPr>
          <w:b/>
          <w:bCs/>
        </w:rPr>
      </w:pPr>
      <w:r>
        <w:rPr>
          <w:rFonts w:eastAsia="Liberation Serif" w:cs="Liberation Serif" w:ascii="Liberation Serif" w:hAnsi="Liberation Serif"/>
          <w:b/>
          <w:bCs/>
          <w:i w:val="false"/>
          <w:iCs w:val="false"/>
          <w:caps w:val="false"/>
          <w:smallCaps w:val="false"/>
          <w:strike w:val="false"/>
          <w:dstrike w:val="false"/>
          <w:color w:val="000000"/>
          <w:position w:val="0"/>
          <w:sz w:val="22"/>
          <w:sz w:val="22"/>
          <w:szCs w:val="22"/>
          <w:u w:val="none"/>
          <w:shd w:fill="auto" w:val="clear"/>
          <w:vertAlign w:val="baseline"/>
        </w:rPr>
        <w:t>8. Cumulative Incidence of Cardiovascular Mortality Among Long-Term Female Breast Cancer Survivors</w:t>
      </w:r>
      <w:r>
        <w:rPr>
          <w:rFonts w:eastAsia="Liberation Serif" w:cs="Liberation Serif" w:ascii="Liberation Serif" w:hAnsi="Liberation Serif"/>
          <w:b/>
          <w:bCs w:val="false"/>
          <w:i w:val="false"/>
          <w:iCs w:val="false"/>
          <w:caps w:val="false"/>
          <w:smallCaps w:val="false"/>
          <w:strike w:val="false"/>
          <w:dstrike w:val="false"/>
          <w:color w:val="000000"/>
          <w:position w:val="0"/>
          <w:sz w:val="22"/>
          <w:sz w:val="22"/>
          <w:szCs w:val="22"/>
          <w:u w:val="none"/>
          <w:shd w:fill="auto" w:val="clear"/>
          <w:vertAlign w:val="baseline"/>
        </w:rPr>
        <w:t>,</w:t>
      </w:r>
      <w:r>
        <w:rPr>
          <w:rFonts w:eastAsia="Liberation Serif" w:cs="Liberation Serif" w:ascii="Liberation Serif" w:hAnsi="Liberation Serif"/>
          <w:b/>
          <w:bCs/>
          <w:i w:val="false"/>
          <w:iCs w:val="false"/>
          <w:caps w:val="false"/>
          <w:smallCaps w:val="false"/>
          <w:strike w:val="false"/>
          <w:dstrike w:val="false"/>
          <w:color w:val="000000"/>
          <w:position w:val="0"/>
          <w:sz w:val="22"/>
          <w:sz w:val="22"/>
          <w:szCs w:val="22"/>
          <w:u w:val="none"/>
          <w:shd w:fill="auto" w:val="clear"/>
          <w:vertAlign w:val="baseline"/>
        </w:rPr>
        <w:t xml:space="preserve"> </w:t>
      </w:r>
      <w:r>
        <w:rPr>
          <w:rFonts w:ascii="Liberation Serif" w:hAnsi="Liberation Serif"/>
          <w:b/>
          <w:bCs/>
          <w:color w:val="auto"/>
        </w:rPr>
        <w:t>in Radiation-Exposed groups by Tumor Laterality</w:t>
      </w:r>
    </w:p>
    <w:p>
      <w:pPr>
        <w:pStyle w:val="normal1"/>
        <w:widowControl/>
        <w:shd w:val="clear" w:fill="auto"/>
        <w:spacing w:lineRule="auto" w:line="276" w:before="0" w:after="0"/>
        <w:ind w:hanging="0" w:start="0" w:end="0"/>
        <w:jc w:val="start"/>
        <w:rPr>
          <w:rFonts w:ascii="Liberation Serif" w:hAnsi="Liberation Serif" w:eastAsia="Liberation Serif" w:cs="Liberation Serif"/>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6120130" cy="3671570"/>
            <wp:effectExtent l="0" t="0" r="0" b="0"/>
            <wp:wrapSquare wrapText="largest"/>
            <wp:docPr id="8"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9" descr="" title=""/>
                    <pic:cNvPicPr>
                      <a:picLocks noChangeAspect="1" noChangeArrowheads="1"/>
                    </pic:cNvPicPr>
                  </pic:nvPicPr>
                  <pic:blipFill>
                    <a:blip r:embed="rId9"/>
                    <a:stretch>
                      <a:fillRect/>
                    </a:stretch>
                  </pic:blipFill>
                  <pic:spPr bwMode="auto">
                    <a:xfrm>
                      <a:off x="0" y="0"/>
                      <a:ext cx="6120130" cy="3671570"/>
                    </a:xfrm>
                    <a:prstGeom prst="rect">
                      <a:avLst/>
                    </a:prstGeom>
                  </pic:spPr>
                </pic:pic>
              </a:graphicData>
            </a:graphic>
          </wp:anchor>
        </w:drawing>
      </w:r>
      <w:r>
        <w:rPr>
          <w:rFonts w:eastAsia="Liberation Serif" w:cs="Liberation Serif" w:ascii="Liberation Serif" w:hAnsi="Liberation Serif"/>
          <w:b/>
          <w:bCs/>
          <w:i w:val="false"/>
          <w:iCs w:val="false"/>
          <w:caps w:val="false"/>
          <w:smallCaps w:val="false"/>
          <w:strike w:val="false"/>
          <w:dstrike w:val="false"/>
          <w:color w:val="000000"/>
          <w:position w:val="0"/>
          <w:sz w:val="22"/>
          <w:sz w:val="22"/>
          <w:szCs w:val="22"/>
          <w:u w:val="none"/>
          <w:shd w:fill="auto" w:val="clear"/>
          <w:vertAlign w:val="baseline"/>
        </w:rPr>
        <w:t xml:space="preserve">Figure 8: </w:t>
      </w:r>
      <w:r>
        <w:rPr>
          <w:rFonts w:eastAsia="Liberation Serif" w:cs="Liberation Serif" w:ascii="Liberation Serif" w:hAnsi="Liberation Serif"/>
          <w:b w:val="false"/>
          <w:bCs w:val="false"/>
          <w:i w:val="false"/>
          <w:iCs w:val="false"/>
          <w:caps w:val="false"/>
          <w:smallCaps w:val="false"/>
          <w:strike w:val="false"/>
          <w:dstrike w:val="false"/>
          <w:color w:val="000000"/>
          <w:position w:val="0"/>
          <w:sz w:val="22"/>
          <w:sz w:val="22"/>
          <w:szCs w:val="22"/>
          <w:u w:val="none"/>
          <w:shd w:fill="auto" w:val="clear"/>
          <w:vertAlign w:val="baseline"/>
        </w:rPr>
        <w:t>Cumulative Incidence of Cardiovascular Death in Radiation-Exposed Groups by Laterality</w:t>
      </w:r>
    </w:p>
    <w:tbl>
      <w:tblPr>
        <w:tblW w:w="9645" w:type="dxa"/>
        <w:jc w:val="start"/>
        <w:tblInd w:w="0" w:type="dxa"/>
        <w:tblLayout w:type="fixed"/>
        <w:tblCellMar>
          <w:top w:w="0" w:type="dxa"/>
          <w:start w:w="0" w:type="dxa"/>
          <w:bottom w:w="0" w:type="dxa"/>
          <w:end w:w="0" w:type="dxa"/>
        </w:tblCellMar>
      </w:tblPr>
      <w:tblGrid>
        <w:gridCol w:w="2253"/>
        <w:gridCol w:w="1240"/>
        <w:gridCol w:w="1906"/>
        <w:gridCol w:w="1711"/>
        <w:gridCol w:w="1529"/>
        <w:gridCol w:w="1005"/>
      </w:tblGrid>
      <w:tr>
        <w:trPr/>
        <w:tc>
          <w:tcPr>
            <w:tcW w:w="2253" w:type="dxa"/>
            <w:tcBorders>
              <w:top w:val="single" w:sz="6" w:space="0" w:color="000000"/>
              <w:bottom w:val="single" w:sz="6" w:space="0" w:color="000000"/>
            </w:tcBorders>
            <w:vAlign w:val="center"/>
          </w:tcPr>
          <w:p>
            <w:pPr>
              <w:pStyle w:val="TableContents"/>
              <w:spacing w:lineRule="auto" w:line="271" w:before="0" w:after="0"/>
              <w:ind w:hanging="0" w:start="0" w:end="0"/>
              <w:jc w:val="start"/>
              <w:rPr/>
            </w:pPr>
            <w:r>
              <w:rPr>
                <w:rStyle w:val="Strong"/>
                <w:rFonts w:ascii="Liberation Serif" w:hAnsi="Liberation Serif"/>
                <w:i w:val="false"/>
                <w:iCs w:val="false"/>
                <w:strike w:val="false"/>
                <w:dstrike w:val="false"/>
                <w:outline w:val="false"/>
                <w:shadow w:val="false"/>
                <w:color w:val="auto"/>
                <w:sz w:val="20"/>
                <w:szCs w:val="20"/>
                <w:u w:val="none"/>
              </w:rPr>
              <w:t>Laterality</w:t>
            </w:r>
          </w:p>
        </w:tc>
        <w:tc>
          <w:tcPr>
            <w:tcW w:w="1240" w:type="dxa"/>
            <w:tcBorders>
              <w:top w:val="single" w:sz="6" w:space="0" w:color="000000"/>
              <w:bottom w:val="single" w:sz="6" w:space="0" w:color="000000"/>
            </w:tcBorders>
            <w:vAlign w:val="center"/>
          </w:tcPr>
          <w:p>
            <w:pPr>
              <w:pStyle w:val="TableContents"/>
              <w:spacing w:lineRule="auto" w:line="271" w:before="0" w:after="0"/>
              <w:ind w:hanging="0" w:start="0" w:end="0"/>
              <w:jc w:val="start"/>
              <w:rPr/>
            </w:pPr>
            <w:r>
              <w:rPr>
                <w:rStyle w:val="Strong"/>
                <w:rFonts w:ascii="Liberation Serif" w:hAnsi="Liberation Serif"/>
                <w:i w:val="false"/>
                <w:iCs w:val="false"/>
                <w:strike w:val="false"/>
                <w:dstrike w:val="false"/>
                <w:outline w:val="false"/>
                <w:shadow w:val="false"/>
                <w:color w:val="auto"/>
                <w:sz w:val="20"/>
                <w:szCs w:val="20"/>
                <w:u w:val="none"/>
              </w:rPr>
              <w:t>Cohort Size (N%)</w:t>
            </w:r>
          </w:p>
        </w:tc>
        <w:tc>
          <w:tcPr>
            <w:tcW w:w="1906" w:type="dxa"/>
            <w:tcBorders>
              <w:top w:val="single" w:sz="6" w:space="0" w:color="000000"/>
              <w:bottom w:val="single" w:sz="6" w:space="0" w:color="000000"/>
            </w:tcBorders>
            <w:vAlign w:val="center"/>
          </w:tcPr>
          <w:p>
            <w:pPr>
              <w:pStyle w:val="TableContents"/>
              <w:spacing w:lineRule="auto" w:line="271" w:before="0" w:after="0"/>
              <w:ind w:hanging="0" w:start="0" w:end="0"/>
              <w:jc w:val="start"/>
              <w:rPr/>
            </w:pPr>
            <w:r>
              <w:rPr>
                <w:rStyle w:val="Strong"/>
                <w:rFonts w:ascii="Liberation Serif" w:hAnsi="Liberation Serif"/>
                <w:i w:val="false"/>
                <w:iCs w:val="false"/>
                <w:strike w:val="false"/>
                <w:dstrike w:val="false"/>
                <w:outline w:val="false"/>
                <w:shadow w:val="false"/>
                <w:color w:val="auto"/>
                <w:sz w:val="20"/>
                <w:szCs w:val="20"/>
                <w:u w:val="none"/>
              </w:rPr>
              <w:t>Final Follow-up (Months%)</w:t>
            </w:r>
          </w:p>
        </w:tc>
        <w:tc>
          <w:tcPr>
            <w:tcW w:w="1711" w:type="dxa"/>
            <w:tcBorders>
              <w:top w:val="single" w:sz="6" w:space="0" w:color="000000"/>
              <w:bottom w:val="single" w:sz="6" w:space="0" w:color="000000"/>
            </w:tcBorders>
            <w:vAlign w:val="center"/>
          </w:tcPr>
          <w:p>
            <w:pPr>
              <w:pStyle w:val="TableContents"/>
              <w:spacing w:lineRule="auto" w:line="271" w:before="0" w:after="0"/>
              <w:ind w:hanging="0" w:start="0" w:end="0"/>
              <w:jc w:val="start"/>
              <w:rPr/>
            </w:pPr>
            <w:r>
              <w:rPr>
                <w:rStyle w:val="Strong"/>
                <w:rFonts w:ascii="Liberation Serif" w:hAnsi="Liberation Serif"/>
                <w:i w:val="false"/>
                <w:iCs w:val="false"/>
                <w:strike w:val="false"/>
                <w:dstrike w:val="false"/>
                <w:outline w:val="false"/>
                <w:shadow w:val="false"/>
                <w:color w:val="auto"/>
                <w:sz w:val="20"/>
                <w:szCs w:val="20"/>
                <w:u w:val="none"/>
              </w:rPr>
              <w:t>Cumulative Incidence (%%)</w:t>
            </w:r>
          </w:p>
        </w:tc>
        <w:tc>
          <w:tcPr>
            <w:tcW w:w="1529" w:type="dxa"/>
            <w:tcBorders>
              <w:top w:val="single" w:sz="6" w:space="0" w:color="000000"/>
              <w:bottom w:val="single" w:sz="6" w:space="0" w:color="000000"/>
            </w:tcBorders>
            <w:vAlign w:val="center"/>
          </w:tcPr>
          <w:p>
            <w:pPr>
              <w:pStyle w:val="TableContents"/>
              <w:spacing w:lineRule="auto" w:line="271" w:before="0" w:after="0"/>
              <w:ind w:hanging="0" w:start="0" w:end="0"/>
              <w:jc w:val="start"/>
              <w:rPr/>
            </w:pPr>
            <w:r>
              <w:rPr>
                <w:rStyle w:val="Strong"/>
                <w:rFonts w:ascii="Liberation Serif" w:hAnsi="Liberation Serif"/>
                <w:i w:val="false"/>
                <w:iCs w:val="false"/>
                <w:strike w:val="false"/>
                <w:dstrike w:val="false"/>
                <w:outline w:val="false"/>
                <w:shadow w:val="false"/>
                <w:color w:val="auto"/>
                <w:sz w:val="20"/>
                <w:szCs w:val="20"/>
                <w:u w:val="none"/>
              </w:rPr>
              <w:t>95% CI</w:t>
            </w:r>
          </w:p>
        </w:tc>
        <w:tc>
          <w:tcPr>
            <w:tcW w:w="1005"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sz w:val="20"/>
                <w:szCs w:val="20"/>
              </w:rPr>
            </w:pPr>
            <w:r>
              <w:rPr>
                <w:rFonts w:ascii="Liberation Serif" w:hAnsi="Liberation Serif"/>
                <w:b/>
                <w:bCs/>
                <w:i w:val="false"/>
                <w:iCs w:val="false"/>
                <w:strike w:val="false"/>
                <w:dstrike w:val="false"/>
                <w:outline w:val="false"/>
                <w:shadow w:val="false"/>
                <w:color w:val="auto"/>
                <w:sz w:val="20"/>
                <w:szCs w:val="20"/>
                <w:u w:val="none"/>
              </w:rPr>
              <w:t>SE</w:t>
            </w:r>
          </w:p>
        </w:tc>
      </w:tr>
      <w:tr>
        <w:trPr/>
        <w:tc>
          <w:tcPr>
            <w:tcW w:w="2253" w:type="dxa"/>
            <w:tcBorders/>
            <w:vAlign w:val="center"/>
          </w:tcPr>
          <w:p>
            <w:pPr>
              <w:pStyle w:val="TableContents"/>
              <w:spacing w:lineRule="auto" w:line="271" w:before="0" w:after="140"/>
              <w:ind w:hanging="0" w:start="0" w:end="0"/>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auto"/>
                <w:sz w:val="20"/>
                <w:szCs w:val="20"/>
                <w:u w:val="none"/>
              </w:rPr>
              <w:t>Right-Sided Radiation</w:t>
            </w:r>
          </w:p>
        </w:tc>
        <w:tc>
          <w:tcPr>
            <w:tcW w:w="1240" w:type="dxa"/>
            <w:tcBorders/>
            <w:vAlign w:val="center"/>
          </w:tcPr>
          <w:p>
            <w:pPr>
              <w:pStyle w:val="TableContents"/>
              <w:spacing w:lineRule="auto" w:line="271" w:before="0" w:after="140"/>
              <w:ind w:hanging="0" w:start="0" w:end="0"/>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auto"/>
                <w:sz w:val="20"/>
                <w:szCs w:val="20"/>
                <w:u w:val="none"/>
              </w:rPr>
              <w:t>190,518</w:t>
            </w:r>
          </w:p>
        </w:tc>
        <w:tc>
          <w:tcPr>
            <w:tcW w:w="1906" w:type="dxa"/>
            <w:tcBorders/>
            <w:vAlign w:val="center"/>
          </w:tcPr>
          <w:p>
            <w:pPr>
              <w:pStyle w:val="TableContents"/>
              <w:spacing w:lineRule="auto" w:line="271" w:before="0" w:after="140"/>
              <w:ind w:hanging="0" w:start="0" w:end="0"/>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auto"/>
                <w:sz w:val="20"/>
                <w:szCs w:val="20"/>
                <w:u w:val="none"/>
              </w:rPr>
              <w:t>215</w:t>
            </w:r>
          </w:p>
        </w:tc>
        <w:tc>
          <w:tcPr>
            <w:tcW w:w="1711" w:type="dxa"/>
            <w:tcBorders/>
            <w:vAlign w:val="center"/>
          </w:tcPr>
          <w:p>
            <w:pPr>
              <w:pStyle w:val="TableContents"/>
              <w:spacing w:lineRule="auto" w:line="271" w:before="0" w:after="140"/>
              <w:ind w:hanging="0" w:start="0" w:end="0"/>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auto"/>
                <w:sz w:val="20"/>
                <w:szCs w:val="20"/>
                <w:u w:val="none"/>
              </w:rPr>
              <w:t>8.81</w:t>
            </w:r>
          </w:p>
        </w:tc>
        <w:tc>
          <w:tcPr>
            <w:tcW w:w="1529" w:type="dxa"/>
            <w:tcBorders/>
            <w:vAlign w:val="center"/>
          </w:tcPr>
          <w:p>
            <w:pPr>
              <w:pStyle w:val="TableContents"/>
              <w:spacing w:lineRule="auto" w:line="271" w:before="0" w:after="140"/>
              <w:ind w:hanging="0" w:start="0" w:end="0"/>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auto"/>
                <w:sz w:val="20"/>
                <w:szCs w:val="20"/>
                <w:u w:val="none"/>
              </w:rPr>
              <w:t>8.28 – 9.36</w:t>
            </w:r>
          </w:p>
        </w:tc>
        <w:tc>
          <w:tcPr>
            <w:tcW w:w="1005" w:type="dxa"/>
            <w:tcBorders/>
            <w:vAlign w:val="center"/>
          </w:tcPr>
          <w:p>
            <w:pPr>
              <w:pStyle w:val="TableContents"/>
              <w:spacing w:lineRule="auto" w:line="271" w:before="0" w:after="140"/>
              <w:ind w:hanging="0" w:start="0" w:end="0"/>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auto"/>
                <w:sz w:val="20"/>
                <w:szCs w:val="20"/>
                <w:u w:val="none"/>
              </w:rPr>
              <w:t>0.003</w:t>
            </w:r>
          </w:p>
        </w:tc>
      </w:tr>
      <w:tr>
        <w:trPr/>
        <w:tc>
          <w:tcPr>
            <w:tcW w:w="2253"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auto"/>
                <w:sz w:val="20"/>
                <w:szCs w:val="20"/>
                <w:u w:val="none"/>
              </w:rPr>
              <w:t>Left-Sided Radiation</w:t>
            </w:r>
          </w:p>
        </w:tc>
        <w:tc>
          <w:tcPr>
            <w:tcW w:w="1240"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auto"/>
                <w:sz w:val="20"/>
                <w:szCs w:val="20"/>
                <w:u w:val="none"/>
              </w:rPr>
              <w:t>193,943</w:t>
            </w:r>
          </w:p>
        </w:tc>
        <w:tc>
          <w:tcPr>
            <w:tcW w:w="1906"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auto"/>
                <w:sz w:val="20"/>
                <w:szCs w:val="20"/>
                <w:u w:val="none"/>
              </w:rPr>
              <w:t>215</w:t>
            </w:r>
          </w:p>
        </w:tc>
        <w:tc>
          <w:tcPr>
            <w:tcW w:w="1711"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auto"/>
                <w:sz w:val="20"/>
                <w:szCs w:val="20"/>
                <w:u w:val="none"/>
              </w:rPr>
              <w:t>8.69</w:t>
            </w:r>
          </w:p>
        </w:tc>
        <w:tc>
          <w:tcPr>
            <w:tcW w:w="1529"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auto"/>
                <w:sz w:val="20"/>
                <w:szCs w:val="20"/>
                <w:u w:val="none"/>
              </w:rPr>
              <w:t>8.37 – 9.02</w:t>
            </w:r>
          </w:p>
        </w:tc>
        <w:tc>
          <w:tcPr>
            <w:tcW w:w="1005"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auto"/>
                <w:sz w:val="20"/>
                <w:szCs w:val="20"/>
                <w:u w:val="none"/>
              </w:rPr>
              <w:t>0.002</w:t>
            </w:r>
          </w:p>
        </w:tc>
      </w:tr>
    </w:tbl>
    <w:p>
      <w:pPr>
        <w:pStyle w:val="normal1"/>
        <w:widowControl/>
        <w:shd w:val="clear" w:fill="auto"/>
        <w:spacing w:lineRule="auto" w:line="276" w:before="0" w:after="0"/>
        <w:ind w:hanging="0" w:start="0" w:end="0"/>
        <w:jc w:val="start"/>
        <w:rPr>
          <w:rFonts w:ascii="Liberation Serif" w:hAnsi="Liberation Serif" w:eastAsia="Liberation Serif" w:cs="Liberation Serif"/>
          <w:b/>
          <w:bCs/>
          <w:i w:val="false"/>
          <w:i w:val="false"/>
          <w:iCs w:val="false"/>
          <w:caps w:val="false"/>
          <w:smallCaps w:val="false"/>
          <w:strike w:val="false"/>
          <w:dstrike w:val="false"/>
          <w:color w:val="auto"/>
          <w:sz w:val="22"/>
          <w:szCs w:val="22"/>
          <w:u w:val="none"/>
          <w:shd w:fill="auto" w:val="clear"/>
        </w:rPr>
      </w:pPr>
      <w:r>
        <w:rPr>
          <w:rFonts w:eastAsia="Liberation Serif" w:cs="Liberation Serif" w:ascii="Liberation Serif" w:hAnsi="Liberation Serif"/>
          <w:b/>
          <w:bCs/>
          <w:i w:val="false"/>
          <w:iCs w:val="false"/>
          <w:caps w:val="false"/>
          <w:smallCaps w:val="false"/>
          <w:strike w:val="false"/>
          <w:dstrike w:val="false"/>
          <w:color w:val="000000"/>
          <w:sz w:val="22"/>
          <w:szCs w:val="22"/>
          <w:u w:val="none"/>
          <w:shd w:fill="auto" w:val="clear"/>
        </w:rPr>
      </w:r>
    </w:p>
    <w:p>
      <w:pPr>
        <w:pStyle w:val="BodyText"/>
        <w:bidi w:val="0"/>
        <w:spacing w:lineRule="auto" w:line="271" w:before="0" w:after="120"/>
        <w:ind w:hanging="0" w:start="0" w:end="0"/>
        <w:jc w:val="start"/>
        <w:rPr>
          <w:sz w:val="22"/>
          <w:szCs w:val="22"/>
        </w:rPr>
      </w:pPr>
      <w:r>
        <w:rPr>
          <w:b/>
          <w:bCs/>
          <w:color w:val="auto"/>
          <w:sz w:val="22"/>
          <w:szCs w:val="22"/>
        </w:rPr>
        <w:t>Cumulative Incidence post 5+ years milestones of Cardiovascular Mortality in Radiation-Exposed Groups by Laterality:</w:t>
      </w:r>
    </w:p>
    <w:tbl>
      <w:tblPr>
        <w:tblW w:w="9616" w:type="dxa"/>
        <w:jc w:val="start"/>
        <w:tblInd w:w="0" w:type="dxa"/>
        <w:tblLayout w:type="fixed"/>
        <w:tblCellMar>
          <w:top w:w="28" w:type="dxa"/>
          <w:start w:w="28" w:type="dxa"/>
          <w:bottom w:w="28" w:type="dxa"/>
          <w:end w:w="28" w:type="dxa"/>
        </w:tblCellMar>
      </w:tblPr>
      <w:tblGrid>
        <w:gridCol w:w="2497"/>
        <w:gridCol w:w="2274"/>
        <w:gridCol w:w="2399"/>
        <w:gridCol w:w="2445"/>
      </w:tblGrid>
      <w:tr>
        <w:trPr>
          <w:tblHeader w:val="true"/>
        </w:trPr>
        <w:tc>
          <w:tcPr>
            <w:tcW w:w="2497"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0"/>
              <w:ind w:hanging="0" w:start="0" w:end="0"/>
              <w:rPr/>
            </w:pPr>
            <w:r>
              <w:rPr>
                <w:rStyle w:val="Strong"/>
                <w:rFonts w:ascii="Liberation Serif" w:hAnsi="Liberation Serif"/>
                <w:color w:val="auto"/>
                <w:sz w:val="20"/>
                <w:szCs w:val="20"/>
              </w:rPr>
              <w:t>Laterality</w:t>
            </w:r>
          </w:p>
        </w:tc>
        <w:tc>
          <w:tcPr>
            <w:tcW w:w="227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0"/>
              <w:ind w:hanging="0" w:start="0" w:end="0"/>
              <w:rPr/>
            </w:pPr>
            <w:r>
              <w:rPr>
                <w:rStyle w:val="Strong"/>
                <w:rFonts w:ascii="Liberation Serif" w:hAnsi="Liberation Serif"/>
                <w:color w:val="auto"/>
                <w:sz w:val="20"/>
                <w:szCs w:val="20"/>
              </w:rPr>
              <w:t>Year 10 (60 months%)</w:t>
            </w:r>
          </w:p>
        </w:tc>
        <w:tc>
          <w:tcPr>
            <w:tcW w:w="2399"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0"/>
              <w:ind w:hanging="0" w:start="0" w:end="0"/>
              <w:rPr/>
            </w:pPr>
            <w:r>
              <w:rPr>
                <w:rStyle w:val="Strong"/>
                <w:rFonts w:ascii="Liberation Serif" w:hAnsi="Liberation Serif"/>
                <w:color w:val="auto"/>
                <w:sz w:val="20"/>
                <w:szCs w:val="20"/>
              </w:rPr>
              <w:t>Year 15 (120 months%)</w:t>
            </w:r>
          </w:p>
        </w:tc>
        <w:tc>
          <w:tcPr>
            <w:tcW w:w="244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0"/>
              <w:ind w:hanging="0" w:start="0" w:end="0"/>
              <w:rPr/>
            </w:pPr>
            <w:r>
              <w:rPr>
                <w:rStyle w:val="Strong"/>
                <w:rFonts w:ascii="Liberation Serif" w:hAnsi="Liberation Serif"/>
                <w:color w:val="auto"/>
                <w:sz w:val="20"/>
                <w:szCs w:val="20"/>
              </w:rPr>
              <w:t>Year 20 (180 months%)</w:t>
            </w:r>
          </w:p>
        </w:tc>
      </w:tr>
      <w:tr>
        <w:trPr/>
        <w:tc>
          <w:tcPr>
            <w:tcW w:w="2497"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color w:val="auto"/>
                <w:sz w:val="20"/>
                <w:szCs w:val="20"/>
              </w:rPr>
            </w:pPr>
            <w:r>
              <w:rPr>
                <w:rFonts w:ascii="Liberation Serif" w:hAnsi="Liberation Serif"/>
                <w:b w:val="false"/>
                <w:bCs w:val="false"/>
                <w:color w:val="auto"/>
                <w:sz w:val="20"/>
                <w:szCs w:val="20"/>
              </w:rPr>
              <w:t>Right-Sided Radiation</w:t>
            </w:r>
          </w:p>
        </w:tc>
        <w:tc>
          <w:tcPr>
            <w:tcW w:w="227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color w:val="auto"/>
                <w:sz w:val="20"/>
                <w:szCs w:val="20"/>
              </w:rPr>
            </w:pPr>
            <w:r>
              <w:rPr>
                <w:rFonts w:ascii="Liberation Serif" w:hAnsi="Liberation Serif"/>
                <w:b w:val="false"/>
                <w:bCs w:val="false"/>
                <w:color w:val="auto"/>
                <w:sz w:val="20"/>
                <w:szCs w:val="20"/>
              </w:rPr>
              <w:t>1.91%</w:t>
            </w:r>
          </w:p>
        </w:tc>
        <w:tc>
          <w:tcPr>
            <w:tcW w:w="2399"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color w:val="auto"/>
                <w:sz w:val="20"/>
                <w:szCs w:val="20"/>
              </w:rPr>
            </w:pPr>
            <w:r>
              <w:rPr>
                <w:rFonts w:ascii="Liberation Serif" w:hAnsi="Liberation Serif"/>
                <w:b w:val="false"/>
                <w:bCs w:val="false"/>
                <w:color w:val="auto"/>
                <w:sz w:val="20"/>
                <w:szCs w:val="20"/>
              </w:rPr>
              <w:t>4.27%</w:t>
            </w:r>
          </w:p>
        </w:tc>
        <w:tc>
          <w:tcPr>
            <w:tcW w:w="244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color w:val="auto"/>
                <w:sz w:val="20"/>
                <w:szCs w:val="20"/>
              </w:rPr>
            </w:pPr>
            <w:r>
              <w:rPr>
                <w:rFonts w:ascii="Liberation Serif" w:hAnsi="Liberation Serif"/>
                <w:b w:val="false"/>
                <w:bCs w:val="false"/>
                <w:color w:val="auto"/>
                <w:sz w:val="20"/>
                <w:szCs w:val="20"/>
              </w:rPr>
              <w:t>6.92%</w:t>
            </w:r>
          </w:p>
        </w:tc>
      </w:tr>
      <w:tr>
        <w:trPr/>
        <w:tc>
          <w:tcPr>
            <w:tcW w:w="2497"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color w:val="auto"/>
                <w:sz w:val="20"/>
                <w:szCs w:val="20"/>
              </w:rPr>
            </w:pPr>
            <w:r>
              <w:rPr>
                <w:rFonts w:ascii="Liberation Serif" w:hAnsi="Liberation Serif"/>
                <w:b w:val="false"/>
                <w:bCs w:val="false"/>
                <w:color w:val="auto"/>
                <w:sz w:val="20"/>
                <w:szCs w:val="20"/>
              </w:rPr>
              <w:t>Left-Sided Radiation</w:t>
            </w:r>
          </w:p>
        </w:tc>
        <w:tc>
          <w:tcPr>
            <w:tcW w:w="227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color w:val="auto"/>
                <w:sz w:val="20"/>
                <w:szCs w:val="20"/>
              </w:rPr>
            </w:pPr>
            <w:r>
              <w:rPr>
                <w:rFonts w:ascii="Liberation Serif" w:hAnsi="Liberation Serif"/>
                <w:b w:val="false"/>
                <w:bCs w:val="false"/>
                <w:color w:val="auto"/>
                <w:sz w:val="20"/>
                <w:szCs w:val="20"/>
              </w:rPr>
              <w:t>1.93%</w:t>
            </w:r>
          </w:p>
        </w:tc>
        <w:tc>
          <w:tcPr>
            <w:tcW w:w="2399"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color w:val="auto"/>
                <w:sz w:val="20"/>
                <w:szCs w:val="20"/>
              </w:rPr>
            </w:pPr>
            <w:r>
              <w:rPr>
                <w:rFonts w:ascii="Liberation Serif" w:hAnsi="Liberation Serif"/>
                <w:b w:val="false"/>
                <w:bCs w:val="false"/>
                <w:color w:val="auto"/>
                <w:sz w:val="20"/>
                <w:szCs w:val="20"/>
              </w:rPr>
              <w:t>4.40%</w:t>
            </w:r>
          </w:p>
        </w:tc>
        <w:tc>
          <w:tcPr>
            <w:tcW w:w="244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color w:val="auto"/>
                <w:sz w:val="20"/>
                <w:szCs w:val="20"/>
              </w:rPr>
            </w:pPr>
            <w:r>
              <w:rPr>
                <w:rFonts w:ascii="Liberation Serif" w:hAnsi="Liberation Serif"/>
                <w:b w:val="false"/>
                <w:bCs w:val="false"/>
                <w:color w:val="auto"/>
                <w:sz w:val="20"/>
                <w:szCs w:val="20"/>
              </w:rPr>
              <w:t>7.12%</w:t>
            </w:r>
          </w:p>
        </w:tc>
      </w:tr>
    </w:tbl>
    <w:p>
      <w:pPr>
        <w:pStyle w:val="BodyText"/>
        <w:bidi w:val="0"/>
        <w:spacing w:lineRule="auto" w:line="271" w:before="0" w:after="120"/>
        <w:ind w:hanging="0" w:start="0" w:end="0"/>
        <w:jc w:val="start"/>
        <w:rPr>
          <w:sz w:val="22"/>
          <w:szCs w:val="22"/>
        </w:rPr>
      </w:pPr>
      <w:r>
        <w:rPr>
          <w:sz w:val="22"/>
          <w:szCs w:val="22"/>
        </w:rPr>
      </w:r>
    </w:p>
    <w:p>
      <w:pPr>
        <w:pStyle w:val="Heading3"/>
        <w:widowControl/>
        <w:shd w:val="clear" w:fill="auto"/>
        <w:spacing w:lineRule="auto" w:line="276" w:before="0" w:after="0"/>
        <w:ind w:hanging="0" w:start="0" w:end="0"/>
        <w:jc w:val="start"/>
        <w:rPr>
          <w:rFonts w:ascii="Liberation Serif" w:hAnsi="Liberation Serif" w:eastAsia="Liberation Serif" w:cs="Liberation Serif"/>
          <w:b w:val="false"/>
          <w:bCs w:val="false"/>
          <w:i w:val="false"/>
          <w:i w:val="false"/>
          <w:iCs w:val="false"/>
          <w:caps w:val="false"/>
          <w:smallCaps w:val="false"/>
          <w:strike w:val="false"/>
          <w:dstrike w:val="false"/>
          <w:color w:val="000000"/>
          <w:spacing w:val="0"/>
          <w:sz w:val="22"/>
          <w:szCs w:val="22"/>
          <w:u w:val="none"/>
          <w:shd w:fill="auto" w:val="clear"/>
        </w:rPr>
      </w:pPr>
      <w:r>
        <w:rPr>
          <w:rFonts w:eastAsia="Liberation Serif" w:cs="Liberation Serif" w:ascii="Liberation Serif" w:hAnsi="Liberation Serif"/>
          <w:b/>
          <w:bCs/>
          <w:i w:val="false"/>
          <w:iCs w:val="false"/>
          <w:caps w:val="false"/>
          <w:smallCaps w:val="false"/>
          <w:strike w:val="false"/>
          <w:dstrike w:val="false"/>
          <w:color w:val="000000"/>
          <w:spacing w:val="0"/>
          <w:sz w:val="22"/>
          <w:szCs w:val="22"/>
          <w:u w:val="none"/>
          <w:shd w:fill="auto" w:val="clear"/>
        </w:rPr>
        <w:t>Table 7:</w:t>
      </w:r>
      <w:r>
        <w:rPr>
          <w:rFonts w:eastAsia="Liberation Serif" w:cs="Liberation Serif" w:ascii="Liberation Serif" w:hAnsi="Liberation Serif"/>
          <w:b w:val="false"/>
          <w:bCs w:val="false"/>
          <w:i w:val="false"/>
          <w:iCs w:val="false"/>
          <w:caps w:val="false"/>
          <w:smallCaps w:val="false"/>
          <w:strike w:val="false"/>
          <w:dstrike w:val="false"/>
          <w:color w:val="000000"/>
          <w:spacing w:val="0"/>
          <w:sz w:val="22"/>
          <w:szCs w:val="22"/>
          <w:u w:val="none"/>
          <w:shd w:fill="auto" w:val="clear"/>
        </w:rPr>
        <w:t xml:space="preserve"> Fine-Gray Subdistribution Hazard Analysis of Cardiovascular Mortality in Radiation-Exposed Groups by Laterality</w:t>
      </w:r>
    </w:p>
    <w:tbl>
      <w:tblPr>
        <w:tblW w:w="8572" w:type="dxa"/>
        <w:jc w:val="start"/>
        <w:tblInd w:w="0" w:type="dxa"/>
        <w:tblLayout w:type="fixed"/>
        <w:tblCellMar>
          <w:top w:w="0" w:type="dxa"/>
          <w:start w:w="0" w:type="dxa"/>
          <w:bottom w:w="0" w:type="dxa"/>
          <w:end w:w="0" w:type="dxa"/>
        </w:tblCellMar>
      </w:tblPr>
      <w:tblGrid>
        <w:gridCol w:w="2497"/>
        <w:gridCol w:w="3913"/>
        <w:gridCol w:w="1202"/>
        <w:gridCol w:w="959"/>
      </w:tblGrid>
      <w:tr>
        <w:trPr/>
        <w:tc>
          <w:tcPr>
            <w:tcW w:w="2497"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2"/>
                <w:szCs w:val="22"/>
                <w:u w:val="none"/>
              </w:rPr>
              <w:t>Laterality</w:t>
            </w:r>
          </w:p>
        </w:tc>
        <w:tc>
          <w:tcPr>
            <w:tcW w:w="3913"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2"/>
                <w:szCs w:val="22"/>
                <w:u w:val="none"/>
              </w:rPr>
              <w:t>Subdistribution Hazard Ratio (sHR%)</w:t>
            </w:r>
          </w:p>
        </w:tc>
        <w:tc>
          <w:tcPr>
            <w:tcW w:w="1202"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2"/>
                <w:szCs w:val="22"/>
                <w:u w:val="none"/>
              </w:rPr>
              <w:t>95% CI</w:t>
            </w:r>
          </w:p>
        </w:tc>
        <w:tc>
          <w:tcPr>
            <w:tcW w:w="959"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2"/>
                <w:szCs w:val="22"/>
                <w:u w:val="none"/>
              </w:rPr>
              <w:t>P-value</w:t>
            </w:r>
          </w:p>
        </w:tc>
      </w:tr>
      <w:tr>
        <w:trPr/>
        <w:tc>
          <w:tcPr>
            <w:tcW w:w="2497"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2"/>
                <w:szCs w:val="22"/>
                <w:u w:val="none"/>
              </w:rPr>
              <w:t>Right-Sided Radiation</w:t>
            </w:r>
          </w:p>
        </w:tc>
        <w:tc>
          <w:tcPr>
            <w:tcW w:w="3913"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2"/>
                <w:szCs w:val="22"/>
                <w:u w:val="none"/>
              </w:rPr>
              <w:t>1.00 (Ref%)</w:t>
            </w:r>
          </w:p>
        </w:tc>
        <w:tc>
          <w:tcPr>
            <w:tcW w:w="1202"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2"/>
                <w:szCs w:val="22"/>
                <w:u w:val="none"/>
              </w:rPr>
              <w:t>—</w:t>
            </w:r>
          </w:p>
        </w:tc>
        <w:tc>
          <w:tcPr>
            <w:tcW w:w="959" w:type="dxa"/>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2"/>
                <w:szCs w:val="22"/>
                <w:u w:val="none"/>
              </w:rPr>
              <w:t>—</w:t>
            </w:r>
          </w:p>
        </w:tc>
      </w:tr>
      <w:tr>
        <w:trPr/>
        <w:tc>
          <w:tcPr>
            <w:tcW w:w="2497"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2"/>
                <w:szCs w:val="22"/>
                <w:u w:val="none"/>
              </w:rPr>
              <w:t>Left-Sided Radiation</w:t>
            </w:r>
          </w:p>
        </w:tc>
        <w:tc>
          <w:tcPr>
            <w:tcW w:w="3913"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2"/>
                <w:szCs w:val="22"/>
                <w:u w:val="none"/>
              </w:rPr>
              <w:t>1.05</w:t>
            </w:r>
          </w:p>
        </w:tc>
        <w:tc>
          <w:tcPr>
            <w:tcW w:w="1202"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2"/>
                <w:szCs w:val="22"/>
                <w:u w:val="none"/>
              </w:rPr>
              <w:t>0.97 – 1.13</w:t>
            </w:r>
          </w:p>
        </w:tc>
        <w:tc>
          <w:tcPr>
            <w:tcW w:w="959"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2"/>
                <w:szCs w:val="22"/>
                <w:u w:val="none"/>
              </w:rPr>
              <w:t>0.21</w:t>
            </w:r>
          </w:p>
        </w:tc>
      </w:tr>
    </w:tbl>
    <w:p>
      <w:pPr>
        <w:pStyle w:val="Heading3"/>
        <w:widowControl/>
        <w:shd w:val="clear" w:fill="auto"/>
        <w:spacing w:lineRule="auto" w:line="276" w:before="0" w:after="0"/>
        <w:ind w:hanging="0" w:start="0" w:end="0"/>
        <w:jc w:val="start"/>
        <w:rPr>
          <w:rFonts w:ascii="Liberation Serif" w:hAnsi="Liberation Serif"/>
          <w:b w:val="false"/>
          <w:bCs w:val="false"/>
        </w:rPr>
      </w:pPr>
      <w:r>
        <w:rPr>
          <w:rFonts w:ascii="Liberation Serif" w:hAnsi="Liberation Serif"/>
          <w:b w:val="false"/>
          <w:bCs w:val="false"/>
          <w:color w:val="auto"/>
          <w:sz w:val="22"/>
          <w:szCs w:val="22"/>
        </w:rPr>
        <w:t>* Data was shown as sHR (95% CI%). Ref, reference; sHR:  subdistribution hazard ratio; CI, confidence interval</w:t>
      </w:r>
      <w:r>
        <w:br w:type="page"/>
      </w:r>
    </w:p>
    <w:p>
      <w:pPr>
        <w:pStyle w:val="Heading3"/>
        <w:widowControl/>
        <w:shd w:val="clear" w:fill="auto"/>
        <w:spacing w:lineRule="auto" w:line="331" w:before="0" w:after="0"/>
        <w:ind w:hanging="0" w:start="0" w:end="0"/>
        <w:jc w:val="start"/>
        <w:rPr>
          <w:rFonts w:ascii="Liberation Serif" w:hAnsi="Liberation Serif"/>
          <w:b/>
          <w:bCs/>
          <w:sz w:val="24"/>
          <w:szCs w:val="24"/>
        </w:rPr>
      </w:pPr>
      <w:r>
        <w:rPr>
          <w:rFonts w:ascii="Liberation Serif" w:hAnsi="Liberation Serif"/>
          <w:b/>
          <w:bCs/>
          <w:color w:val="auto"/>
          <w:sz w:val="22"/>
          <w:szCs w:val="22"/>
        </w:rPr>
        <w:t>Study Population</w:t>
      </w:r>
    </w:p>
    <w:p>
      <w:pPr>
        <w:pStyle w:val="BodyText"/>
        <w:bidi w:val="0"/>
        <w:jc w:val="start"/>
        <w:rPr>
          <w:rFonts w:ascii="Liberation Serif" w:hAnsi="Liberation Serif"/>
          <w:sz w:val="22"/>
          <w:szCs w:val="22"/>
        </w:rPr>
      </w:pPr>
      <w:r>
        <w:rPr>
          <w:sz w:val="22"/>
          <w:szCs w:val="22"/>
        </w:rPr>
        <w:t>We conducted a retrospective, cohort study examining the incidence of cardiovascular disease (CVD%) mortality among long-term female breast cancer survivors. The data was obtained from the Surveillance, Epidemiology, and End Results (SEER%) database. We limited our population to women diagnosed with a first primary, invasive breast cancer (localized, regional, or distant stage%) who survived 60 months or more (5+ years%) post-diagnosis. We evaluated patients across key demographic, socioeconomic, and clinical categories, including age at diagnosis, median household income, race and ethnicity (Non-Hispanic White, Non-Hispanic Black, Hispanic, Asian/Pacific Islander, and American Indian/Alaska Native%), geographic location (urban/metropolitan vs rural/nonmetropolitan%), and cancer stage. Patients with unknown, unstaged, or missing data for a respective variable of interest were excluded from that specific analysis. Information regarding survival time and cause of death was obtained through the SEER cause-specific death classification variables.</w:t>
      </w:r>
    </w:p>
    <w:p>
      <w:pPr>
        <w:pStyle w:val="BodyText"/>
        <w:bidi w:val="0"/>
        <w:jc w:val="start"/>
        <w:rPr>
          <w:rFonts w:ascii="Liberation Serif" w:hAnsi="Liberation Serif"/>
          <w:sz w:val="22"/>
          <w:szCs w:val="22"/>
        </w:rPr>
      </w:pPr>
      <w:r>
        <w:rPr>
          <w:sz w:val="22"/>
          <w:szCs w:val="22"/>
        </w:rPr>
      </w:r>
    </w:p>
    <w:p>
      <w:pPr>
        <w:pStyle w:val="Heading3"/>
        <w:widowControl/>
        <w:shd w:val="clear" w:fill="auto"/>
        <w:spacing w:lineRule="auto" w:line="331" w:before="0" w:after="0"/>
        <w:ind w:hanging="0" w:start="0" w:end="0"/>
        <w:jc w:val="start"/>
        <w:rPr>
          <w:rFonts w:ascii="Liberation Serif" w:hAnsi="Liberation Serif"/>
          <w:b/>
          <w:bCs/>
          <w:sz w:val="24"/>
          <w:szCs w:val="24"/>
        </w:rPr>
      </w:pPr>
      <w:r>
        <w:rPr>
          <w:rFonts w:ascii="Liberation Serif" w:hAnsi="Liberation Serif"/>
          <w:b/>
          <w:bCs/>
          <w:color w:val="auto"/>
          <w:sz w:val="22"/>
          <w:szCs w:val="22"/>
        </w:rPr>
        <w:t>Treatment Analysis</w:t>
      </w:r>
    </w:p>
    <w:p>
      <w:pPr>
        <w:pStyle w:val="BodyText"/>
        <w:bidi w:val="0"/>
        <w:jc w:val="start"/>
        <w:rPr>
          <w:rFonts w:ascii="Liberation Serif" w:hAnsi="Liberation Serif"/>
          <w:sz w:val="22"/>
          <w:szCs w:val="22"/>
        </w:rPr>
      </w:pPr>
      <w:r>
        <w:rPr>
          <w:sz w:val="22"/>
          <w:szCs w:val="22"/>
        </w:rPr>
        <w:t xml:space="preserve">We classified women according to their primary breast cancer treatment, </w:t>
      </w:r>
      <w:r>
        <w:rPr>
          <w:b/>
          <w:sz w:val="22"/>
          <w:szCs w:val="22"/>
        </w:rPr>
        <w:t>surgery only</w:t>
      </w:r>
      <w:r>
        <w:rPr>
          <w:sz w:val="22"/>
          <w:szCs w:val="22"/>
        </w:rPr>
        <w:t xml:space="preserve"> (women who received surgical resection but no or unknown history of chemotherapy or radiotherapy%), </w:t>
      </w:r>
      <w:r>
        <w:rPr>
          <w:b/>
          <w:sz w:val="22"/>
          <w:szCs w:val="22"/>
        </w:rPr>
        <w:t>chemotherapy alone</w:t>
      </w:r>
      <w:r>
        <w:rPr>
          <w:sz w:val="22"/>
          <w:szCs w:val="22"/>
        </w:rPr>
        <w:t xml:space="preserve"> (women who received chemotherapy, with or without surgery, but had no or unknown history of radiotherapy%), </w:t>
      </w:r>
      <w:r>
        <w:rPr>
          <w:b/>
          <w:sz w:val="22"/>
          <w:szCs w:val="22"/>
        </w:rPr>
        <w:t>chemotherapy plus radiotherapy</w:t>
      </w:r>
      <w:r>
        <w:rPr>
          <w:sz w:val="22"/>
          <w:szCs w:val="22"/>
        </w:rPr>
        <w:t xml:space="preserve"> (women who received both chemotherapy and radiotherapy, with or without surgery%), and </w:t>
      </w:r>
      <w:r>
        <w:rPr>
          <w:b/>
          <w:sz w:val="22"/>
          <w:szCs w:val="22"/>
        </w:rPr>
        <w:t>radiotherapy alone</w:t>
      </w:r>
      <w:r>
        <w:rPr>
          <w:sz w:val="22"/>
          <w:szCs w:val="22"/>
        </w:rPr>
        <w:t xml:space="preserve"> (women who received radiotherapy, with or without surgery, but had no or unknown history of chemotherapy%). Patients who received no active treatment, or those with unknown treatment statuses, were excluded from the treatment analysis. Furthermore, to evaluate the potential anatomical cardiotoxicity of radiation therapy, we conducted a targeted subgroup analysis strictly restricted to the radiation-exposed cohort (combining the 'radiotherapy alone' and 'chemotherapy plus radiotherapy' groups%), stratified by the laterality of the primary tumor (left-sided vs right-sided%).</w:t>
      </w:r>
    </w:p>
    <w:p>
      <w:pPr>
        <w:pStyle w:val="normal1"/>
        <w:widowControl/>
        <w:shd w:val="clear" w:fill="auto"/>
        <w:spacing w:lineRule="auto" w:line="331" w:before="0" w:after="0"/>
        <w:ind w:hanging="0" w:start="0" w:end="0"/>
        <w:jc w:val="start"/>
        <w:rPr>
          <w:rFonts w:ascii="Liberation Serif" w:hAnsi="Liberation Serif"/>
          <w:b/>
          <w:bCs/>
          <w:sz w:val="24"/>
          <w:szCs w:val="24"/>
        </w:rPr>
      </w:pPr>
      <w:r>
        <w:rPr>
          <w:rFonts w:ascii="Liberation Serif" w:hAnsi="Liberation Serif"/>
          <w:b/>
          <w:bCs/>
          <w:sz w:val="24"/>
          <w:szCs w:val="24"/>
        </w:rPr>
      </w:r>
    </w:p>
    <w:p>
      <w:pPr>
        <w:pStyle w:val="Heading3"/>
        <w:widowControl/>
        <w:shd w:val="clear" w:fill="auto"/>
        <w:spacing w:lineRule="auto" w:line="331" w:before="0" w:after="0"/>
        <w:ind w:hanging="0" w:start="0" w:end="0"/>
        <w:jc w:val="start"/>
        <w:rPr>
          <w:rFonts w:ascii="Liberation Serif" w:hAnsi="Liberation Serif"/>
          <w:b/>
          <w:bCs/>
          <w:sz w:val="24"/>
          <w:szCs w:val="24"/>
        </w:rPr>
      </w:pPr>
      <w:r>
        <w:rPr>
          <w:rFonts w:ascii="Liberation Serif" w:hAnsi="Liberation Serif"/>
          <w:b/>
          <w:bCs/>
          <w:i w:val="false"/>
          <w:caps w:val="false"/>
          <w:smallCaps w:val="false"/>
          <w:color w:val="auto"/>
          <w:spacing w:val="0"/>
          <w:sz w:val="22"/>
          <w:szCs w:val="22"/>
        </w:rPr>
        <w:t>Statistical Analysis</w:t>
      </w:r>
    </w:p>
    <w:p>
      <w:pPr>
        <w:pStyle w:val="BodyText"/>
        <w:bidi w:val="0"/>
        <w:jc w:val="start"/>
        <w:rPr/>
      </w:pPr>
      <w:r>
        <w:rPr>
          <w:sz w:val="22"/>
          <w:szCs w:val="22"/>
        </w:rPr>
        <w:t xml:space="preserve">To quantify the absolute risk of Cardiovascular Disease (CVD%) mortality, we conducted a competing risks analysis using the Aalen-Johansen estimator to calculate cumulative incidence. All non-CVD related deaths, including breast cancer-specific mortality and other non-cancer causes, were strictly treated as competing events. Cumulative incidence were extracted at 10, 15, and 20 years post-survivorship (i.e., 60, 120, and 180 months from the 5-year survivorship mark%). To ensure statistical stability and prevent tail-end artifacting, final incidence estimates and their corresponding 95% confidence intervals (CIs%) were dynamically truncated when the number of at-risk individuals dropped below 100. All unadjusted incidence analyses and visualizations were conducted using Python 3.13.12 (using the </w:t>
      </w:r>
      <w:r>
        <w:rPr>
          <w:rStyle w:val="SourceText"/>
          <w:sz w:val="22"/>
          <w:szCs w:val="22"/>
        </w:rPr>
        <w:t>lifelines</w:t>
      </w:r>
      <w:r>
        <w:rPr>
          <w:sz w:val="22"/>
          <w:szCs w:val="22"/>
        </w:rPr>
        <w:t xml:space="preserve"> package%).</w:t>
      </w:r>
    </w:p>
    <w:p>
      <w:pPr>
        <w:pStyle w:val="BodyText"/>
        <w:bidi w:val="0"/>
        <w:jc w:val="start"/>
        <w:rPr/>
      </w:pPr>
      <w:r>
        <w:rPr>
          <w:sz w:val="22"/>
          <w:szCs w:val="22"/>
        </w:rPr>
        <w:t xml:space="preserve">To evaluate the independent mathematical effect of demographic, socioeconomic, and clinical variables on CVD mortality while accounting for competing risks, we constructed Fine-Gray proportional subdistribution hazard models. This approach generated Subdistribution Hazard Ratios (sHRs%) and 95% CIs. Reference groups were established for each univariable model (e.g., Non-Hispanic White for race, surgery only for treatment, etc%). Furthermore, to evaluate anatomical cardiotoxicity, a targeted laterality analysis (left-sided versus right-sided tumors%) was conducted strictly within the radiation-exposed cohort. Competing risk hazard modeling was performed using Rstudio version 4.3.3 (using the </w:t>
      </w:r>
      <w:r>
        <w:rPr>
          <w:rStyle w:val="SourceText"/>
          <w:sz w:val="22"/>
          <w:szCs w:val="22"/>
        </w:rPr>
        <w:t>survival</w:t>
      </w:r>
      <w:r>
        <w:rPr>
          <w:sz w:val="22"/>
          <w:szCs w:val="22"/>
        </w:rPr>
        <w:t xml:space="preserve"> package%).</w:t>
      </w:r>
    </w:p>
    <w:p>
      <w:pPr>
        <w:pStyle w:val="normal1"/>
        <w:widowControl/>
        <w:shd w:val="clear" w:fill="auto"/>
        <w:spacing w:lineRule="auto" w:line="331" w:before="0" w:after="0"/>
        <w:ind w:hanging="0" w:start="0" w:end="0"/>
        <w:jc w:val="start"/>
        <w:rPr>
          <w:rFonts w:ascii="Liberation Serif" w:hAnsi="Liberation Serif"/>
          <w:b/>
          <w:bCs/>
          <w:sz w:val="24"/>
          <w:szCs w:val="24"/>
        </w:rPr>
      </w:pPr>
      <w:r>
        <w:rPr>
          <w:rFonts w:ascii="Liberation Serif" w:hAnsi="Liberation Serif"/>
          <w:b/>
          <w:bCs/>
          <w:sz w:val="24"/>
          <w:szCs w:val="24"/>
        </w:rPr>
      </w:r>
    </w:p>
    <w:sectPr>
      <w:type w:val="nextPage"/>
      <w:pgSz w:w="11906" w:h="16838"/>
      <w:pgMar w:left="1134" w:right="1134" w:gutter="0" w:header="0" w:top="1134" w:footer="0" w:bottom="1134"/>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swiss"/>
    <w:pitch w:val="variable"/>
  </w:font>
  <w:font w:name="Liberation Mono">
    <w:altName w:val="Courier New"/>
    <w:charset w:val="01" w:characterSet="utf-8"/>
    <w:family w:val="roman"/>
    <w:pitch w:val="variable"/>
  </w:font>
  <w:font w:name="Liberation Sans">
    <w:altName w:val="Arial"/>
    <w:charset w:val="01" w:characterSet="utf-8"/>
    <w:family w:val="roman"/>
    <w:pitch w:val="variable"/>
  </w:font>
  <w:font w:name="Cambria">
    <w:charset w:val="01" w:characterSet="utf-8"/>
    <w:family w:val="roman"/>
    <w:pitch w:val="variable"/>
  </w:font>
  <w:font w:name="Arial">
    <w:charset w:val="01" w:characterSet="utf-8"/>
    <w:family w:val="roman"/>
    <w:pitch w:val="variable"/>
  </w:font>
  <w:font w:name="Google Sans Text">
    <w:altName w:val="sans-serif"/>
    <w:charset w:val="01" w:characterSet="utf-8"/>
    <w:family w:val="roman"/>
    <w:pitch w:val="variable"/>
  </w:font>
  <w:font w:name="Google Sans">
    <w:altName w:val="sans-serif"/>
    <w:charset w:val="01" w:characterSet="utf-8"/>
    <w:family w:val="roman"/>
    <w:pitch w:val="variable"/>
  </w:font>
  <w:font w:name="Google Sans">
    <w:altName w:val="sans-serif"/>
    <w:charset w:val="01" w:characterSet="utf-8"/>
    <w:family w:val="swiss"/>
    <w:pitch w:val="variable"/>
  </w:font>
</w:fonts>
</file>

<file path=word/settings.xml><?xml version="1.0" encoding="utf-8"?>
<w:settings xmlns:w="http://schemas.openxmlformats.org/wordprocessingml/2006/main">
  <w:zoom w:percent="75"/>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normal1"/>
    <w:next w:val="normal1"/>
    <w:qFormat/>
    <w:pPr>
      <w:keepNext w:val="true"/>
      <w:keepLines/>
      <w:spacing w:lineRule="auto" w:line="240" w:before="480" w:after="0"/>
    </w:pPr>
    <w:rPr>
      <w:rFonts w:ascii="Calibri" w:hAnsi="Calibri" w:eastAsia="Calibri" w:cs="Calibri"/>
      <w:b/>
      <w:bCs/>
      <w:color w:val="366091"/>
      <w:sz w:val="28"/>
      <w:szCs w:val="28"/>
    </w:rPr>
  </w:style>
  <w:style w:type="paragraph" w:styleId="Heading3">
    <w:name w:val="Heading 3"/>
    <w:basedOn w:val="normal1"/>
    <w:next w:val="normal1"/>
    <w:qFormat/>
    <w:pPr>
      <w:keepNext w:val="true"/>
      <w:keepLines/>
      <w:spacing w:lineRule="auto" w:line="240" w:before="200" w:after="0"/>
    </w:pPr>
    <w:rPr>
      <w:rFonts w:ascii="Calibri" w:hAnsi="Calibri" w:eastAsia="Calibri" w:cs="Calibri"/>
      <w:b/>
      <w:bCs/>
      <w:color w:val="4F81BD"/>
    </w:rPr>
  </w:style>
  <w:style w:type="character" w:styleId="DefaultParagraphFont">
    <w:name w:val="Default Paragraph Font"/>
    <w:qFormat/>
    <w:rPr/>
  </w:style>
  <w:style w:type="character" w:styleId="Strong">
    <w:name w:val="Strong"/>
    <w:basedOn w:val="DefaultParagraphFont"/>
    <w:qFormat/>
    <w:rPr>
      <w:b/>
      <w:bCs/>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name w:val="normal1"/>
    <w:qFormat/>
    <w:pPr>
      <w:widowControl/>
      <w:suppressAutoHyphens w:val="true"/>
      <w:bidi w:val="0"/>
      <w:spacing w:lineRule="auto" w:line="276" w:before="0" w:after="200"/>
      <w:jc w:val="start"/>
    </w:pPr>
    <w:rPr>
      <w:rFonts w:ascii="Cambria" w:hAnsi="Cambria" w:eastAsia="Cambria" w:cs="Cambria"/>
      <w:color w:val="auto"/>
      <w:kern w:val="0"/>
      <w:sz w:val="22"/>
      <w:szCs w:val="22"/>
      <w:lang w:val="en-US" w:eastAsia="zh-CN" w:bidi="hi-IN"/>
    </w:rPr>
  </w:style>
  <w:style w:type="paragraph" w:styleId="TableContents">
    <w:name w:val="Table Contents"/>
    <w:basedOn w:val="normal1"/>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2294</TotalTime>
  <Application>LibreOffice/24.2.7.2$Linux_X86_64 LibreOffice_project/420$Build-2</Application>
  <AppVersion>15.0000</AppVersion>
  <Pages>16</Pages>
  <Words>2261</Words>
  <Characters>13646</Characters>
  <CharactersWithSpaces>15363</CharactersWithSpaces>
  <Paragraphs>612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2026-05-29T23:15:22Z</dcterms:created>
  <dc:creator/>
  <dc:description/>
  <dc:language>en-US</dc:language>
  <cp:lastModifiedBy/>
  <dcterms:modified xsi:type="dcterms:W3CDTF">2026-06-02T23:47:43Z</dcterms:modified>
  <cp:revision>62</cp:revision>
  <dc:subject/>
  <dc:title/>
</cp:coreProperties>
</file>

<file path=docProps/custom.xml><?xml version="1.0" encoding="utf-8"?>
<Properties xmlns="http://schemas.openxmlformats.org/officeDocument/2006/custom-properties" xmlns:vt="http://schemas.openxmlformats.org/officeDocument/2006/docPropsVTypes"/>
</file>