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9FB" w:rsidRDefault="00D829FB">
      <w:r>
        <w:t>5.1 Simple and weighted results</w:t>
      </w:r>
      <w:r w:rsidRPr="00523814">
        <w:t xml:space="preserve"> </w:t>
      </w:r>
    </w:p>
    <w:p w:rsidR="00436986" w:rsidRDefault="00523814">
      <w:r w:rsidRPr="00523814">
        <w:t>The underlying calculations</w:t>
      </w:r>
    </w:p>
    <w:p w:rsidR="00523814" w:rsidRDefault="00523814">
      <w:r>
        <w:t>The underlying calculations can be expressed as follows.</w:t>
      </w:r>
    </w:p>
    <w:p w:rsidR="00523814" w:rsidRDefault="00523814">
      <w:r w:rsidRPr="00523814">
        <w:rPr>
          <w:noProof/>
        </w:rPr>
        <w:drawing>
          <wp:inline distT="0" distB="0" distL="0" distR="0" wp14:anchorId="181ED3CE" wp14:editId="104BA6F9">
            <wp:extent cx="2997354" cy="1320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E36" w:rsidRDefault="00566E36">
      <w:r>
        <w:t>5.3 Indicator weighting and global prior multipliers</w:t>
      </w:r>
    </w:p>
    <w:p w:rsidR="00566E36" w:rsidRDefault="00566E36">
      <w:r>
        <w:t>The workbook's Prior Multipliers sheet describes a composite priority score based on prevalence, reliability and lead time:</w:t>
      </w:r>
      <w:r>
        <w:t xml:space="preserve"> </w:t>
      </w:r>
    </w:p>
    <w:p w:rsidR="00566E36" w:rsidRDefault="00566E36">
      <w:r w:rsidRPr="00566E36">
        <w:drawing>
          <wp:inline distT="0" distB="0" distL="0" distR="0" wp14:anchorId="08527883" wp14:editId="344073CF">
            <wp:extent cx="3587934" cy="406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E36" w:rsidRDefault="00566E36">
      <w:r w:rsidRPr="00566E36">
        <w:t>Here, \(P\), \(R\) and \(L\) denote the prevalence, reliability and lead-time scores used by the workbook's priority matrix. The proposed multiplier is obtained by normalizing the composite score against its mean.</w:t>
      </w:r>
    </w:p>
    <w:p w:rsidR="008E525B" w:rsidRPr="008E525B" w:rsidRDefault="008E525B" w:rsidP="008E5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8E525B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The tally</w:t>
      </w:r>
      <w:bookmarkStart w:id="0" w:name="_GoBack"/>
      <w:bookmarkEnd w:id="0"/>
    </w:p>
    <w:p w:rsidR="008E525B" w:rsidRDefault="008E525B">
      <w:r w:rsidRPr="008E525B">
        <w:drawing>
          <wp:inline distT="0" distB="0" distL="0" distR="0" wp14:anchorId="6A5881FA" wp14:editId="0E9C494E">
            <wp:extent cx="3245017" cy="8191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14"/>
    <w:rsid w:val="000F176E"/>
    <w:rsid w:val="000F71CE"/>
    <w:rsid w:val="00162AEF"/>
    <w:rsid w:val="001801C8"/>
    <w:rsid w:val="001C16B8"/>
    <w:rsid w:val="00252538"/>
    <w:rsid w:val="003073C9"/>
    <w:rsid w:val="00380429"/>
    <w:rsid w:val="00436986"/>
    <w:rsid w:val="00523814"/>
    <w:rsid w:val="00566E36"/>
    <w:rsid w:val="005E4D11"/>
    <w:rsid w:val="005F39ED"/>
    <w:rsid w:val="006B7E30"/>
    <w:rsid w:val="006E7701"/>
    <w:rsid w:val="00775414"/>
    <w:rsid w:val="007A4A33"/>
    <w:rsid w:val="008E525B"/>
    <w:rsid w:val="00902A05"/>
    <w:rsid w:val="00985C9B"/>
    <w:rsid w:val="00A73E7B"/>
    <w:rsid w:val="00B11CE7"/>
    <w:rsid w:val="00B67186"/>
    <w:rsid w:val="00BE58F7"/>
    <w:rsid w:val="00C257F8"/>
    <w:rsid w:val="00D30D5B"/>
    <w:rsid w:val="00D829FB"/>
    <w:rsid w:val="00EF2BE4"/>
    <w:rsid w:val="00F80825"/>
    <w:rsid w:val="00FC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F104"/>
  <w15:chartTrackingRefBased/>
  <w15:docId w15:val="{AFB46D7D-B7BD-4EA1-9F16-511A343B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8E52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525B"/>
    <w:rPr>
      <w:rFonts w:ascii="Times New Roman" w:eastAsia="Times New Roman" w:hAnsi="Times New Roman" w:cs="Times New Roman"/>
      <w:b/>
      <w:bCs/>
      <w:sz w:val="27"/>
      <w:szCs w:val="27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The tally</vt:lpstr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Armil</dc:creator>
  <cp:keywords/>
  <dc:description/>
  <cp:lastModifiedBy>Armil</cp:lastModifiedBy>
  <cp:revision>3</cp:revision>
  <dcterms:created xsi:type="dcterms:W3CDTF">2026-10-19T21:42:00Z</dcterms:created>
  <dcterms:modified xsi:type="dcterms:W3CDTF">2026-10-19T21:57:00Z</dcterms:modified>
</cp:coreProperties>
</file>