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B2F0F" w14:textId="43E7F595" w:rsidR="00910145" w:rsidRPr="009F1756" w:rsidRDefault="0075032D">
      <w:pPr>
        <w:rPr>
          <w:rFonts w:eastAsia="Malgun Gothic"/>
          <w:b/>
          <w:bCs/>
          <w:color w:val="000000" w:themeColor="text1"/>
          <w:lang w:eastAsia="ko-KR"/>
        </w:rPr>
      </w:pPr>
      <w:r w:rsidRPr="009F1756">
        <w:rPr>
          <w:rFonts w:eastAsia="Malgun Gothic"/>
          <w:b/>
          <w:bCs/>
          <w:color w:val="000000" w:themeColor="text1"/>
          <w:lang w:eastAsia="ko-KR"/>
        </w:rPr>
        <w:t xml:space="preserve">AI-Guided Chemotherapy Optimization in Lung Cancer </w:t>
      </w:r>
      <w:r w:rsidR="00EB3D77" w:rsidRPr="009F1756">
        <w:rPr>
          <w:rFonts w:eastAsia="Malgun Gothic"/>
          <w:b/>
          <w:bCs/>
          <w:color w:val="000000" w:themeColor="text1"/>
          <w:lang w:eastAsia="ko-KR"/>
        </w:rPr>
        <w:t>Using Genomic and Survival Data</w:t>
      </w:r>
    </w:p>
    <w:p w14:paraId="180CD694" w14:textId="451DB4D8" w:rsidR="00A5370B" w:rsidRDefault="001E00B5">
      <w:pPr>
        <w:rPr>
          <w:rFonts w:eastAsia="Malgun Gothic"/>
          <w:color w:val="000000" w:themeColor="text1"/>
          <w:lang w:eastAsia="ko-KR"/>
        </w:rPr>
      </w:pPr>
      <w:r>
        <w:rPr>
          <w:rFonts w:eastAsia="Malgun Gothic"/>
          <w:color w:val="000000" w:themeColor="text1"/>
          <w:lang w:eastAsia="ko-KR"/>
        </w:rPr>
        <w:t xml:space="preserve">Moon, </w:t>
      </w:r>
      <w:proofErr w:type="spellStart"/>
      <w:r>
        <w:rPr>
          <w:rFonts w:eastAsia="Malgun Gothic"/>
          <w:color w:val="000000" w:themeColor="text1"/>
          <w:lang w:eastAsia="ko-KR"/>
        </w:rPr>
        <w:t>Phanny</w:t>
      </w:r>
      <w:proofErr w:type="spellEnd"/>
      <w:r>
        <w:rPr>
          <w:rFonts w:eastAsia="Malgun Gothic"/>
          <w:color w:val="000000" w:themeColor="text1"/>
          <w:lang w:eastAsia="ko-KR"/>
        </w:rPr>
        <w:t>, Jenny, Minho, Liz</w:t>
      </w:r>
    </w:p>
    <w:p w14:paraId="06DA84FB" w14:textId="77777777" w:rsidR="00943616" w:rsidRDefault="00943616">
      <w:pPr>
        <w:rPr>
          <w:rFonts w:eastAsia="Malgun Gothic"/>
          <w:color w:val="000000" w:themeColor="text1"/>
          <w:lang w:eastAsia="ko-KR"/>
        </w:rPr>
      </w:pPr>
    </w:p>
    <w:p w14:paraId="516575F6" w14:textId="28A84999" w:rsidR="00972D7F" w:rsidRPr="00A37220" w:rsidRDefault="00972D7F">
      <w:pPr>
        <w:rPr>
          <w:b/>
          <w:bCs/>
          <w:color w:val="000000" w:themeColor="text1"/>
        </w:rPr>
      </w:pPr>
      <w:r w:rsidRPr="00A37220">
        <w:rPr>
          <w:b/>
          <w:bCs/>
          <w:color w:val="000000" w:themeColor="text1"/>
        </w:rPr>
        <w:t>Abstract</w:t>
      </w:r>
    </w:p>
    <w:p w14:paraId="238E97AA" w14:textId="0DBB3FB4" w:rsidR="00087D0D" w:rsidRPr="00162D61" w:rsidRDefault="00972D7F">
      <w:pPr>
        <w:rPr>
          <w:rFonts w:eastAsia="Malgun Gothic"/>
          <w:color w:val="000000" w:themeColor="text1"/>
          <w:lang w:eastAsia="ko-KR"/>
        </w:rPr>
      </w:pPr>
      <w:r w:rsidRPr="00537886">
        <w:rPr>
          <w:color w:val="000000" w:themeColor="text1"/>
        </w:rPr>
        <w:t xml:space="preserve">The research aims to integrate </w:t>
      </w:r>
      <w:r w:rsidR="003D2927">
        <w:rPr>
          <w:rFonts w:eastAsia="Malgun Gothic" w:hint="eastAsia"/>
          <w:color w:val="000000" w:themeColor="text1"/>
          <w:lang w:eastAsia="ko-KR"/>
        </w:rPr>
        <w:t>various</w:t>
      </w:r>
      <w:r w:rsidRPr="00537886">
        <w:rPr>
          <w:color w:val="000000" w:themeColor="text1"/>
        </w:rPr>
        <w:t xml:space="preserve"> bioinformatics methodologies to develop prognostic genomic prediction markers for lung cancer patients. These </w:t>
      </w:r>
      <w:r w:rsidR="00D254B4">
        <w:rPr>
          <w:rFonts w:eastAsia="Malgun Gothic" w:hint="eastAsia"/>
          <w:color w:val="000000" w:themeColor="text1"/>
          <w:lang w:eastAsia="ko-KR"/>
        </w:rPr>
        <w:t xml:space="preserve">predictive </w:t>
      </w:r>
      <w:r w:rsidRPr="00537886">
        <w:rPr>
          <w:color w:val="000000" w:themeColor="text1"/>
        </w:rPr>
        <w:t xml:space="preserve">markers </w:t>
      </w:r>
      <w:r w:rsidR="00FA2AD4">
        <w:rPr>
          <w:rFonts w:eastAsia="Malgun Gothic" w:hint="eastAsia"/>
          <w:color w:val="000000" w:themeColor="text1"/>
          <w:lang w:eastAsia="ko-KR"/>
        </w:rPr>
        <w:t>play a</w:t>
      </w:r>
      <w:r w:rsidR="00A3761A">
        <w:rPr>
          <w:rFonts w:eastAsia="Malgun Gothic" w:hint="eastAsia"/>
          <w:color w:val="000000" w:themeColor="text1"/>
          <w:lang w:eastAsia="ko-KR"/>
        </w:rPr>
        <w:t xml:space="preserve"> pivotal role in</w:t>
      </w:r>
      <w:r w:rsidRPr="00537886">
        <w:rPr>
          <w:color w:val="000000" w:themeColor="text1"/>
        </w:rPr>
        <w:t xml:space="preserve"> optimizing chemotherapy efficacy while minimizing adverse effects</w:t>
      </w:r>
      <w:r w:rsidR="000970E1">
        <w:rPr>
          <w:rFonts w:eastAsia="Malgun Gothic" w:hint="eastAsia"/>
          <w:color w:val="000000" w:themeColor="text1"/>
          <w:lang w:eastAsia="ko-KR"/>
        </w:rPr>
        <w:t xml:space="preserve">. This approach seeks to </w:t>
      </w:r>
      <w:r w:rsidR="00D21273">
        <w:rPr>
          <w:rFonts w:eastAsia="Malgun Gothic" w:hint="eastAsia"/>
          <w:color w:val="000000" w:themeColor="text1"/>
          <w:lang w:eastAsia="ko-KR"/>
        </w:rPr>
        <w:t>replace conventional</w:t>
      </w:r>
      <w:r w:rsidRPr="00537886">
        <w:rPr>
          <w:color w:val="000000" w:themeColor="text1"/>
        </w:rPr>
        <w:t xml:space="preserve"> one-size-fits-all medications with customized treatments tailored to individual patient needs. </w:t>
      </w:r>
      <w:r w:rsidR="00E409F4">
        <w:rPr>
          <w:color w:val="000000" w:themeColor="text1"/>
        </w:rPr>
        <w:t>H</w:t>
      </w:r>
      <w:r w:rsidRPr="00537886">
        <w:rPr>
          <w:color w:val="000000" w:themeColor="text1"/>
        </w:rPr>
        <w:t>igh-dimensional meta-</w:t>
      </w:r>
      <w:proofErr w:type="gramStart"/>
      <w:r w:rsidRPr="00537886">
        <w:rPr>
          <w:color w:val="000000" w:themeColor="text1"/>
        </w:rPr>
        <w:t>database</w:t>
      </w:r>
      <w:proofErr w:type="gramEnd"/>
      <w:r w:rsidRPr="00537886">
        <w:rPr>
          <w:color w:val="000000" w:themeColor="text1"/>
        </w:rPr>
        <w:t xml:space="preserve"> </w:t>
      </w:r>
      <w:r w:rsidR="00D0720D">
        <w:rPr>
          <w:rFonts w:eastAsia="Malgun Gothic" w:hint="eastAsia"/>
          <w:color w:val="000000" w:themeColor="text1"/>
          <w:lang w:eastAsia="ko-KR"/>
        </w:rPr>
        <w:t>are</w:t>
      </w:r>
      <w:r w:rsidRPr="00537886">
        <w:rPr>
          <w:color w:val="000000" w:themeColor="text1"/>
        </w:rPr>
        <w:t xml:space="preserve"> constructed </w:t>
      </w:r>
      <w:r w:rsidR="00FB2A7E">
        <w:rPr>
          <w:rFonts w:eastAsia="Malgun Gothic" w:hint="eastAsia"/>
          <w:color w:val="000000" w:themeColor="text1"/>
          <w:lang w:eastAsia="ko-KR"/>
        </w:rPr>
        <w:t>utilizing</w:t>
      </w:r>
      <w:r w:rsidRPr="00537886">
        <w:rPr>
          <w:color w:val="000000" w:themeColor="text1"/>
        </w:rPr>
        <w:t xml:space="preserve"> genomic datasets </w:t>
      </w:r>
      <w:r w:rsidR="00FB2A7E">
        <w:rPr>
          <w:rFonts w:eastAsia="Malgun Gothic" w:hint="eastAsia"/>
          <w:color w:val="000000" w:themeColor="text1"/>
          <w:lang w:eastAsia="ko-KR"/>
        </w:rPr>
        <w:t xml:space="preserve">sourced </w:t>
      </w:r>
      <w:r w:rsidRPr="00537886">
        <w:rPr>
          <w:color w:val="000000" w:themeColor="text1"/>
        </w:rPr>
        <w:t xml:space="preserve">from </w:t>
      </w:r>
      <w:r w:rsidR="00FB2A7E">
        <w:rPr>
          <w:rFonts w:eastAsia="Malgun Gothic" w:hint="eastAsia"/>
          <w:color w:val="000000" w:themeColor="text1"/>
          <w:lang w:eastAsia="ko-KR"/>
        </w:rPr>
        <w:t>diverse</w:t>
      </w:r>
      <w:r w:rsidRPr="00537886">
        <w:rPr>
          <w:color w:val="000000" w:themeColor="text1"/>
        </w:rPr>
        <w:t xml:space="preserve"> independent clinical trials available in the NCBI (National Center for Biotechnology Information) Gene Expression Omnibus (GEO) data repository. </w:t>
      </w:r>
      <w:r w:rsidRPr="00B933FB">
        <w:rPr>
          <w:color w:val="000000" w:themeColor="text1"/>
        </w:rPr>
        <w:t xml:space="preserve">To address population heterogeneity, new algorithms </w:t>
      </w:r>
      <w:r w:rsidR="00C419A2" w:rsidRPr="00B933FB">
        <w:rPr>
          <w:rFonts w:eastAsia="Malgun Gothic" w:hint="eastAsia"/>
          <w:color w:val="000000" w:themeColor="text1"/>
          <w:lang w:eastAsia="ko-KR"/>
        </w:rPr>
        <w:t>are</w:t>
      </w:r>
      <w:r w:rsidRPr="00B933FB">
        <w:rPr>
          <w:color w:val="000000" w:themeColor="text1"/>
        </w:rPr>
        <w:t xml:space="preserve"> </w:t>
      </w:r>
      <w:r w:rsidR="00C419A2" w:rsidRPr="00B933FB">
        <w:rPr>
          <w:rFonts w:eastAsia="Malgun Gothic" w:hint="eastAsia"/>
          <w:color w:val="000000" w:themeColor="text1"/>
          <w:lang w:eastAsia="ko-KR"/>
        </w:rPr>
        <w:t>considered</w:t>
      </w:r>
      <w:r w:rsidRPr="00B933FB">
        <w:rPr>
          <w:color w:val="000000" w:themeColor="text1"/>
        </w:rPr>
        <w:t xml:space="preserve">. </w:t>
      </w:r>
      <w:r w:rsidR="00873935" w:rsidRPr="00B933FB">
        <w:rPr>
          <w:rFonts w:eastAsia="Malgun Gothic" w:hint="eastAsia"/>
          <w:color w:val="000000" w:themeColor="text1"/>
          <w:lang w:eastAsia="ko-KR"/>
        </w:rPr>
        <w:t>Beginning with</w:t>
      </w:r>
      <w:r w:rsidRPr="00B933FB">
        <w:rPr>
          <w:color w:val="000000" w:themeColor="text1"/>
        </w:rPr>
        <w:t xml:space="preserve"> univariate Cox regression for gene prescreening, ensemble methods </w:t>
      </w:r>
      <w:r w:rsidR="007C718D" w:rsidRPr="00B933FB">
        <w:rPr>
          <w:rFonts w:eastAsia="Malgun Gothic" w:hint="eastAsia"/>
          <w:color w:val="000000" w:themeColor="text1"/>
          <w:lang w:eastAsia="ko-KR"/>
        </w:rPr>
        <w:t>incorporating</w:t>
      </w:r>
      <w:r w:rsidRPr="00B933FB">
        <w:rPr>
          <w:color w:val="000000" w:themeColor="text1"/>
        </w:rPr>
        <w:t xml:space="preserve"> regularized Cox Proportional Hazards (PH) models, Random Survival Forests, and Deep </w:t>
      </w:r>
      <w:r w:rsidR="00423203">
        <w:rPr>
          <w:rFonts w:eastAsia="Malgun Gothic" w:hint="eastAsia"/>
          <w:color w:val="000000" w:themeColor="text1"/>
          <w:lang w:eastAsia="ko-KR"/>
        </w:rPr>
        <w:t>Survival</w:t>
      </w:r>
      <w:r w:rsidR="00E61780">
        <w:rPr>
          <w:rFonts w:eastAsia="Malgun Gothic" w:hint="eastAsia"/>
          <w:color w:val="000000" w:themeColor="text1"/>
          <w:lang w:eastAsia="ko-KR"/>
        </w:rPr>
        <w:t xml:space="preserve"> </w:t>
      </w:r>
      <w:r w:rsidRPr="00B933FB">
        <w:rPr>
          <w:color w:val="000000" w:themeColor="text1"/>
        </w:rPr>
        <w:t>Networks (D</w:t>
      </w:r>
      <w:r w:rsidR="00E61780">
        <w:rPr>
          <w:rFonts w:eastAsia="Malgun Gothic" w:hint="eastAsia"/>
          <w:color w:val="000000" w:themeColor="text1"/>
          <w:lang w:eastAsia="ko-KR"/>
        </w:rPr>
        <w:t>S</w:t>
      </w:r>
      <w:r w:rsidRPr="00B933FB">
        <w:rPr>
          <w:color w:val="000000" w:themeColor="text1"/>
        </w:rPr>
        <w:t>Ns)</w:t>
      </w:r>
      <w:r w:rsidR="005E3819" w:rsidRPr="00B933FB">
        <w:rPr>
          <w:rFonts w:eastAsia="Malgun Gothic" w:hint="eastAsia"/>
          <w:color w:val="000000" w:themeColor="text1"/>
          <w:lang w:eastAsia="ko-KR"/>
        </w:rPr>
        <w:t xml:space="preserve"> are </w:t>
      </w:r>
      <w:r w:rsidR="00CC05E3">
        <w:rPr>
          <w:rFonts w:eastAsia="Malgun Gothic"/>
          <w:color w:val="000000" w:themeColor="text1"/>
          <w:lang w:eastAsia="ko-KR"/>
        </w:rPr>
        <w:t>utilized</w:t>
      </w:r>
      <w:r w:rsidRPr="00B933FB">
        <w:rPr>
          <w:color w:val="000000" w:themeColor="text1"/>
        </w:rPr>
        <w:t>. These</w:t>
      </w:r>
      <w:r w:rsidR="008E6D34" w:rsidRPr="00B933FB">
        <w:rPr>
          <w:rFonts w:eastAsia="Malgun Gothic" w:hint="eastAsia"/>
          <w:color w:val="000000" w:themeColor="text1"/>
          <w:lang w:eastAsia="ko-KR"/>
        </w:rPr>
        <w:t xml:space="preserve"> advanced computational</w:t>
      </w:r>
      <w:r w:rsidRPr="00B933FB">
        <w:rPr>
          <w:color w:val="000000" w:themeColor="text1"/>
        </w:rPr>
        <w:t xml:space="preserve"> algorithms </w:t>
      </w:r>
      <w:r w:rsidR="0095548D" w:rsidRPr="00B933FB">
        <w:rPr>
          <w:rFonts w:eastAsia="Malgun Gothic" w:hint="eastAsia"/>
          <w:color w:val="000000" w:themeColor="text1"/>
          <w:lang w:eastAsia="ko-KR"/>
        </w:rPr>
        <w:t xml:space="preserve">aim to </w:t>
      </w:r>
      <w:r w:rsidR="0095548D" w:rsidRPr="00B933FB">
        <w:rPr>
          <w:rFonts w:eastAsia="Malgun Gothic"/>
          <w:color w:val="000000" w:themeColor="text1"/>
          <w:lang w:eastAsia="ko-KR"/>
        </w:rPr>
        <w:t>support</w:t>
      </w:r>
      <w:r w:rsidR="0061410E" w:rsidRPr="00B933FB">
        <w:rPr>
          <w:rFonts w:eastAsia="Malgun Gothic" w:hint="eastAsia"/>
          <w:color w:val="000000" w:themeColor="text1"/>
          <w:lang w:eastAsia="ko-KR"/>
        </w:rPr>
        <w:t xml:space="preserve"> complex</w:t>
      </w:r>
      <w:r w:rsidRPr="00B933FB">
        <w:rPr>
          <w:color w:val="000000" w:themeColor="text1"/>
        </w:rPr>
        <w:t xml:space="preserve"> clinical decision-making </w:t>
      </w:r>
      <w:r w:rsidR="0061410E" w:rsidRPr="00B933FB">
        <w:rPr>
          <w:rFonts w:eastAsia="Malgun Gothic" w:hint="eastAsia"/>
          <w:color w:val="000000" w:themeColor="text1"/>
          <w:lang w:eastAsia="ko-KR"/>
        </w:rPr>
        <w:t>in</w:t>
      </w:r>
      <w:r w:rsidRPr="00B933FB">
        <w:rPr>
          <w:color w:val="000000" w:themeColor="text1"/>
        </w:rPr>
        <w:t xml:space="preserve"> cancer treatment. </w:t>
      </w:r>
      <w:r w:rsidR="0061410E" w:rsidRPr="00B933FB">
        <w:rPr>
          <w:rFonts w:eastAsia="Malgun Gothic" w:hint="eastAsia"/>
          <w:color w:val="000000" w:themeColor="text1"/>
          <w:lang w:eastAsia="ko-KR"/>
        </w:rPr>
        <w:t xml:space="preserve">The anticipated </w:t>
      </w:r>
      <w:r w:rsidR="0061410E" w:rsidRPr="00B933FB">
        <w:rPr>
          <w:rFonts w:eastAsia="Malgun Gothic"/>
          <w:color w:val="000000" w:themeColor="text1"/>
          <w:lang w:eastAsia="ko-KR"/>
        </w:rPr>
        <w:t>outco</w:t>
      </w:r>
      <w:r w:rsidR="00BE60C0" w:rsidRPr="00B933FB">
        <w:rPr>
          <w:rFonts w:eastAsia="Malgun Gothic" w:hint="eastAsia"/>
          <w:color w:val="000000" w:themeColor="text1"/>
          <w:lang w:eastAsia="ko-KR"/>
        </w:rPr>
        <w:t>me of t</w:t>
      </w:r>
      <w:r w:rsidRPr="00B933FB">
        <w:rPr>
          <w:color w:val="000000" w:themeColor="text1"/>
        </w:rPr>
        <w:t>his research</w:t>
      </w:r>
      <w:r w:rsidR="00BE60C0" w:rsidRPr="00B933FB">
        <w:rPr>
          <w:rFonts w:eastAsia="Malgun Gothic" w:hint="eastAsia"/>
          <w:color w:val="000000" w:themeColor="text1"/>
          <w:lang w:eastAsia="ko-KR"/>
        </w:rPr>
        <w:t xml:space="preserve"> is to </w:t>
      </w:r>
      <w:r w:rsidRPr="00B933FB">
        <w:rPr>
          <w:color w:val="000000" w:themeColor="text1"/>
        </w:rPr>
        <w:t>significantly enhance cancer treatment</w:t>
      </w:r>
      <w:r w:rsidR="00BE60C0" w:rsidRPr="00B933FB">
        <w:rPr>
          <w:rFonts w:eastAsia="Malgun Gothic" w:hint="eastAsia"/>
          <w:color w:val="000000" w:themeColor="text1"/>
          <w:lang w:eastAsia="ko-KR"/>
        </w:rPr>
        <w:t xml:space="preserve"> survival outcomes</w:t>
      </w:r>
      <w:r w:rsidRPr="00B933FB">
        <w:rPr>
          <w:color w:val="000000" w:themeColor="text1"/>
        </w:rPr>
        <w:t xml:space="preserve"> by improving treatment efficacy and reducing toxicity risks in a specific </w:t>
      </w:r>
      <w:r w:rsidR="00504498" w:rsidRPr="00B933FB">
        <w:rPr>
          <w:color w:val="000000" w:themeColor="text1"/>
        </w:rPr>
        <w:t xml:space="preserve">patient </w:t>
      </w:r>
      <w:r w:rsidRPr="00B933FB">
        <w:rPr>
          <w:color w:val="000000" w:themeColor="text1"/>
        </w:rPr>
        <w:t xml:space="preserve">population. </w:t>
      </w:r>
      <w:r w:rsidR="00162D61" w:rsidRPr="00B933FB">
        <w:rPr>
          <w:rFonts w:eastAsia="Malgun Gothic" w:hint="eastAsia"/>
          <w:color w:val="000000" w:themeColor="text1"/>
          <w:lang w:eastAsia="ko-KR"/>
        </w:rPr>
        <w:t>Moreover</w:t>
      </w:r>
      <w:r w:rsidRPr="00B933FB">
        <w:rPr>
          <w:color w:val="000000" w:themeColor="text1"/>
        </w:rPr>
        <w:t xml:space="preserve">, </w:t>
      </w:r>
      <w:r w:rsidR="00504498" w:rsidRPr="00B933FB">
        <w:rPr>
          <w:color w:val="000000" w:themeColor="text1"/>
        </w:rPr>
        <w:t>it</w:t>
      </w:r>
      <w:r w:rsidRPr="00B933FB">
        <w:rPr>
          <w:color w:val="000000" w:themeColor="text1"/>
        </w:rPr>
        <w:t xml:space="preserve"> </w:t>
      </w:r>
      <w:r w:rsidR="00162D61" w:rsidRPr="00B933FB">
        <w:rPr>
          <w:rFonts w:eastAsia="Malgun Gothic" w:hint="eastAsia"/>
          <w:color w:val="000000" w:themeColor="text1"/>
          <w:lang w:eastAsia="ko-KR"/>
        </w:rPr>
        <w:t>offer</w:t>
      </w:r>
      <w:r w:rsidR="00222D79">
        <w:rPr>
          <w:rFonts w:eastAsia="Malgun Gothic" w:hint="eastAsia"/>
          <w:color w:val="000000" w:themeColor="text1"/>
          <w:lang w:eastAsia="ko-KR"/>
        </w:rPr>
        <w:t>s</w:t>
      </w:r>
      <w:r w:rsidRPr="00B933FB">
        <w:rPr>
          <w:color w:val="000000" w:themeColor="text1"/>
        </w:rPr>
        <w:t xml:space="preserve"> </w:t>
      </w:r>
      <w:r w:rsidR="00504498" w:rsidRPr="00B933FB">
        <w:rPr>
          <w:color w:val="000000" w:themeColor="text1"/>
        </w:rPr>
        <w:t>invaluable support</w:t>
      </w:r>
      <w:r w:rsidRPr="00B933FB">
        <w:rPr>
          <w:color w:val="000000" w:themeColor="text1"/>
        </w:rPr>
        <w:t xml:space="preserve"> for</w:t>
      </w:r>
      <w:r w:rsidR="00504498" w:rsidRPr="00B933FB">
        <w:rPr>
          <w:color w:val="000000" w:themeColor="text1"/>
        </w:rPr>
        <w:t xml:space="preserve"> navigating</w:t>
      </w:r>
      <w:r w:rsidRPr="00B933FB">
        <w:rPr>
          <w:color w:val="000000" w:themeColor="text1"/>
        </w:rPr>
        <w:t xml:space="preserve"> the complexities of clinical decision-making</w:t>
      </w:r>
      <w:r w:rsidR="00162D61" w:rsidRPr="00B933FB">
        <w:rPr>
          <w:rFonts w:eastAsia="Malgun Gothic" w:hint="eastAsia"/>
          <w:color w:val="000000" w:themeColor="text1"/>
          <w:lang w:eastAsia="ko-KR"/>
        </w:rPr>
        <w:t>,</w:t>
      </w:r>
      <w:r w:rsidR="00162D61">
        <w:rPr>
          <w:rFonts w:eastAsia="Malgun Gothic" w:hint="eastAsia"/>
          <w:color w:val="000000" w:themeColor="text1"/>
          <w:lang w:eastAsia="ko-KR"/>
        </w:rPr>
        <w:t xml:space="preserve"> </w:t>
      </w:r>
      <w:r w:rsidR="00B933FB">
        <w:rPr>
          <w:rFonts w:eastAsia="Malgun Gothic" w:hint="eastAsia"/>
          <w:color w:val="000000" w:themeColor="text1"/>
          <w:lang w:eastAsia="ko-KR"/>
        </w:rPr>
        <w:t>thereby contributing to the advancement of personalized medicine.</w:t>
      </w:r>
    </w:p>
    <w:p w14:paraId="66646055" w14:textId="77777777" w:rsidR="00C43576" w:rsidRDefault="00C43576">
      <w:pPr>
        <w:rPr>
          <w:rFonts w:eastAsia="Malgun Gothic"/>
          <w:color w:val="000000" w:themeColor="text1"/>
          <w:lang w:eastAsia="ko-KR"/>
        </w:rPr>
      </w:pPr>
    </w:p>
    <w:p w14:paraId="7690AF98" w14:textId="1061CB95" w:rsidR="00341926" w:rsidRPr="0028358D" w:rsidRDefault="00341926" w:rsidP="0028358D">
      <w:pPr>
        <w:pStyle w:val="ListParagraph"/>
        <w:numPr>
          <w:ilvl w:val="0"/>
          <w:numId w:val="2"/>
        </w:numPr>
        <w:rPr>
          <w:rFonts w:eastAsia="Malgun Gothic"/>
          <w:b/>
          <w:bCs/>
          <w:color w:val="000000" w:themeColor="text1"/>
          <w:lang w:eastAsia="ko-KR"/>
        </w:rPr>
      </w:pPr>
      <w:r w:rsidRPr="0028358D">
        <w:rPr>
          <w:rFonts w:eastAsia="Malgun Gothic" w:hint="eastAsia"/>
          <w:b/>
          <w:bCs/>
          <w:color w:val="000000" w:themeColor="text1"/>
          <w:lang w:eastAsia="ko-KR"/>
        </w:rPr>
        <w:t>Introduction</w:t>
      </w:r>
    </w:p>
    <w:p w14:paraId="6E01E782" w14:textId="7550D87C" w:rsidR="00341926" w:rsidRDefault="00BE2324" w:rsidP="00293519">
      <w:pPr>
        <w:ind w:firstLine="720"/>
        <w:rPr>
          <w:rFonts w:eastAsia="Malgun Gothic"/>
          <w:color w:val="000000" w:themeColor="text1"/>
          <w:lang w:eastAsia="ko-KR"/>
        </w:rPr>
      </w:pPr>
      <w:r>
        <w:rPr>
          <w:rFonts w:eastAsia="Malgun Gothic" w:hint="eastAsia"/>
          <w:color w:val="000000" w:themeColor="text1"/>
          <w:lang w:eastAsia="ko-KR"/>
        </w:rPr>
        <w:t xml:space="preserve">In 2018, </w:t>
      </w:r>
      <w:proofErr w:type="gramStart"/>
      <w:r>
        <w:rPr>
          <w:rFonts w:eastAsia="Malgun Gothic" w:hint="eastAsia"/>
          <w:color w:val="000000" w:themeColor="text1"/>
          <w:lang w:eastAsia="ko-KR"/>
        </w:rPr>
        <w:t>global</w:t>
      </w:r>
      <w:proofErr w:type="gramEnd"/>
      <w:r>
        <w:rPr>
          <w:rFonts w:eastAsia="Malgun Gothic" w:hint="eastAsia"/>
          <w:color w:val="000000" w:themeColor="text1"/>
          <w:lang w:eastAsia="ko-KR"/>
        </w:rPr>
        <w:t xml:space="preserve"> </w:t>
      </w:r>
      <w:r>
        <w:rPr>
          <w:rFonts w:eastAsia="Malgun Gothic"/>
          <w:color w:val="000000" w:themeColor="text1"/>
          <w:lang w:eastAsia="ko-KR"/>
        </w:rPr>
        <w:t>estimate</w:t>
      </w:r>
      <w:r>
        <w:rPr>
          <w:rFonts w:eastAsia="Malgun Gothic" w:hint="eastAsia"/>
          <w:color w:val="000000" w:themeColor="text1"/>
          <w:lang w:eastAsia="ko-KR"/>
        </w:rPr>
        <w:t xml:space="preserve"> from </w:t>
      </w:r>
      <w:r w:rsidR="003C3943">
        <w:rPr>
          <w:rFonts w:eastAsia="Malgun Gothic" w:hint="eastAsia"/>
          <w:color w:val="000000" w:themeColor="text1"/>
          <w:lang w:eastAsia="ko-KR"/>
        </w:rPr>
        <w:t>Global Cancer Observatory (</w:t>
      </w:r>
      <w:r>
        <w:rPr>
          <w:rFonts w:eastAsia="Malgun Gothic" w:hint="eastAsia"/>
          <w:color w:val="000000" w:themeColor="text1"/>
          <w:lang w:eastAsia="ko-KR"/>
        </w:rPr>
        <w:t>GLOBOCAN</w:t>
      </w:r>
      <w:r w:rsidR="003C3943">
        <w:rPr>
          <w:rFonts w:eastAsia="Malgun Gothic" w:hint="eastAsia"/>
          <w:color w:val="000000" w:themeColor="text1"/>
          <w:lang w:eastAsia="ko-KR"/>
        </w:rPr>
        <w:t>)</w:t>
      </w:r>
      <w:r>
        <w:rPr>
          <w:rFonts w:eastAsia="Malgun Gothic" w:hint="eastAsia"/>
          <w:color w:val="000000" w:themeColor="text1"/>
          <w:lang w:eastAsia="ko-KR"/>
        </w:rPr>
        <w:t xml:space="preserve"> </w:t>
      </w:r>
      <w:r w:rsidR="00C16A20">
        <w:rPr>
          <w:rFonts w:eastAsia="Malgun Gothic" w:hint="eastAsia"/>
          <w:color w:val="000000" w:themeColor="text1"/>
          <w:lang w:eastAsia="ko-KR"/>
        </w:rPr>
        <w:t xml:space="preserve">indicated that there were 2,094,000 new </w:t>
      </w:r>
      <w:r w:rsidR="00CF1C2F">
        <w:rPr>
          <w:rFonts w:eastAsia="Malgun Gothic" w:hint="eastAsia"/>
          <w:color w:val="000000" w:themeColor="text1"/>
          <w:lang w:eastAsia="ko-KR"/>
        </w:rPr>
        <w:t>cases of lung cancer diagnosed worldwide, establishing lung cancer as the most common cancer globally</w:t>
      </w:r>
      <w:r w:rsidR="00625DAA">
        <w:rPr>
          <w:rFonts w:eastAsia="Malgun Gothic"/>
          <w:color w:val="000000" w:themeColor="text1"/>
          <w:lang w:eastAsia="ko-KR"/>
        </w:rPr>
        <w:t xml:space="preserve"> (</w:t>
      </w:r>
      <w:r w:rsidR="00234817">
        <w:rPr>
          <w:rFonts w:eastAsia="Malgun Gothic"/>
          <w:color w:val="000000" w:themeColor="text1"/>
          <w:lang w:eastAsia="ko-KR"/>
        </w:rPr>
        <w:t>Bray et al., 2018)</w:t>
      </w:r>
      <w:r w:rsidR="00CF1C2F">
        <w:rPr>
          <w:rFonts w:eastAsia="Malgun Gothic" w:hint="eastAsia"/>
          <w:color w:val="000000" w:themeColor="text1"/>
          <w:lang w:eastAsia="ko-KR"/>
        </w:rPr>
        <w:t xml:space="preserve">. </w:t>
      </w:r>
      <w:r w:rsidR="00123C13">
        <w:rPr>
          <w:rFonts w:eastAsia="Malgun Gothic" w:hint="eastAsia"/>
          <w:color w:val="000000" w:themeColor="text1"/>
          <w:lang w:eastAsia="ko-KR"/>
        </w:rPr>
        <w:t>In the United States, according to the National Center Institute</w:t>
      </w:r>
      <w:r w:rsidR="00123C13">
        <w:rPr>
          <w:rFonts w:eastAsia="Malgun Gothic"/>
          <w:color w:val="000000" w:themeColor="text1"/>
          <w:lang w:eastAsia="ko-KR"/>
        </w:rPr>
        <w:t>’</w:t>
      </w:r>
      <w:r w:rsidR="00123C13">
        <w:rPr>
          <w:rFonts w:eastAsia="Malgun Gothic" w:hint="eastAsia"/>
          <w:color w:val="000000" w:themeColor="text1"/>
          <w:lang w:eastAsia="ko-KR"/>
        </w:rPr>
        <w:t xml:space="preserve">s </w:t>
      </w:r>
      <w:r w:rsidR="005033A4">
        <w:rPr>
          <w:rFonts w:eastAsia="Malgun Gothic" w:hint="eastAsia"/>
          <w:color w:val="000000" w:themeColor="text1"/>
          <w:lang w:eastAsia="ko-KR"/>
        </w:rPr>
        <w:t>Surveillance, Epidemiology, and End Results (SEER) program, approximately 229,000 new cases of lung cancer were reported in 2020</w:t>
      </w:r>
      <w:r w:rsidR="000E1F28">
        <w:rPr>
          <w:rFonts w:eastAsia="Malgun Gothic" w:hint="eastAsia"/>
          <w:color w:val="000000" w:themeColor="text1"/>
          <w:lang w:eastAsia="ko-KR"/>
        </w:rPr>
        <w:t>, representing 12.7% of all cancer diagnoses in the country (</w:t>
      </w:r>
      <w:proofErr w:type="spellStart"/>
      <w:r w:rsidR="000B6293">
        <w:rPr>
          <w:rFonts w:eastAsia="Malgun Gothic" w:hint="eastAsia"/>
          <w:color w:val="000000" w:themeColor="text1"/>
          <w:lang w:eastAsia="ko-KR"/>
        </w:rPr>
        <w:t>Thandra</w:t>
      </w:r>
      <w:proofErr w:type="spellEnd"/>
      <w:r w:rsidR="000B6293">
        <w:rPr>
          <w:rFonts w:eastAsia="Malgun Gothic" w:hint="eastAsia"/>
          <w:color w:val="000000" w:themeColor="text1"/>
          <w:lang w:eastAsia="ko-KR"/>
        </w:rPr>
        <w:t xml:space="preserve"> et al., 2021).</w:t>
      </w:r>
      <w:r w:rsidR="00DE49B5">
        <w:rPr>
          <w:rFonts w:eastAsia="Malgun Gothic" w:hint="eastAsia"/>
          <w:color w:val="000000" w:themeColor="text1"/>
          <w:lang w:eastAsia="ko-KR"/>
        </w:rPr>
        <w:t xml:space="preserve"> Treatment options for lung cancer </w:t>
      </w:r>
      <w:r w:rsidR="00635387">
        <w:rPr>
          <w:rFonts w:eastAsia="Malgun Gothic" w:hint="eastAsia"/>
          <w:color w:val="000000" w:themeColor="text1"/>
          <w:lang w:eastAsia="ko-KR"/>
        </w:rPr>
        <w:t xml:space="preserve">encompass surgery, radiation therapy, chemotherapy, and targeted therapy. In cases of Stage I and II </w:t>
      </w:r>
      <w:proofErr w:type="spellStart"/>
      <w:r w:rsidR="00635387">
        <w:rPr>
          <w:rFonts w:eastAsia="Malgun Gothic" w:hint="eastAsia"/>
          <w:color w:val="000000" w:themeColor="text1"/>
          <w:lang w:eastAsia="ko-KR"/>
        </w:rPr>
        <w:t>resectable</w:t>
      </w:r>
      <w:proofErr w:type="spellEnd"/>
      <w:r w:rsidR="00635387">
        <w:rPr>
          <w:rFonts w:eastAsia="Malgun Gothic" w:hint="eastAsia"/>
          <w:color w:val="000000" w:themeColor="text1"/>
          <w:lang w:eastAsia="ko-KR"/>
        </w:rPr>
        <w:t xml:space="preserve"> </w:t>
      </w:r>
      <w:r w:rsidR="00743499">
        <w:rPr>
          <w:rFonts w:eastAsia="Malgun Gothic" w:hint="eastAsia"/>
          <w:color w:val="000000" w:themeColor="text1"/>
          <w:lang w:eastAsia="ko-KR"/>
        </w:rPr>
        <w:t xml:space="preserve">non-small cell </w:t>
      </w:r>
      <w:r w:rsidR="00FA6822">
        <w:rPr>
          <w:rFonts w:eastAsia="Malgun Gothic" w:hint="eastAsia"/>
          <w:color w:val="000000" w:themeColor="text1"/>
          <w:lang w:eastAsia="ko-KR"/>
        </w:rPr>
        <w:t>lung cancer (NSCLC), surgery is a viable option. However, for S</w:t>
      </w:r>
      <w:r w:rsidR="00FA6822">
        <w:rPr>
          <w:rFonts w:eastAsia="Malgun Gothic"/>
          <w:color w:val="000000" w:themeColor="text1"/>
          <w:lang w:eastAsia="ko-KR"/>
        </w:rPr>
        <w:t>t</w:t>
      </w:r>
      <w:r w:rsidR="00FA6822">
        <w:rPr>
          <w:rFonts w:eastAsia="Malgun Gothic" w:hint="eastAsia"/>
          <w:color w:val="000000" w:themeColor="text1"/>
          <w:lang w:eastAsia="ko-KR"/>
        </w:rPr>
        <w:t xml:space="preserve">age II </w:t>
      </w:r>
      <w:proofErr w:type="spellStart"/>
      <w:r w:rsidR="00FA6822">
        <w:rPr>
          <w:rFonts w:eastAsia="Malgun Gothic" w:hint="eastAsia"/>
          <w:color w:val="000000" w:themeColor="text1"/>
          <w:lang w:eastAsia="ko-KR"/>
        </w:rPr>
        <w:t>resectable</w:t>
      </w:r>
      <w:proofErr w:type="spellEnd"/>
      <w:r w:rsidR="00FA6822">
        <w:rPr>
          <w:rFonts w:eastAsia="Malgun Gothic" w:hint="eastAsia"/>
          <w:color w:val="000000" w:themeColor="text1"/>
          <w:lang w:eastAsia="ko-KR"/>
        </w:rPr>
        <w:t xml:space="preserve"> NSCLC, surgery followed by chemotherapy (adjuvant)</w:t>
      </w:r>
      <w:r w:rsidR="007A48E9">
        <w:rPr>
          <w:rFonts w:eastAsia="Malgun Gothic" w:hint="eastAsia"/>
          <w:color w:val="000000" w:themeColor="text1"/>
          <w:lang w:eastAsia="ko-KR"/>
        </w:rPr>
        <w:t xml:space="preserve"> </w:t>
      </w:r>
      <w:r w:rsidR="00FA6822">
        <w:rPr>
          <w:rFonts w:eastAsia="Malgun Gothic" w:hint="eastAsia"/>
          <w:color w:val="000000" w:themeColor="text1"/>
          <w:lang w:eastAsia="ko-KR"/>
        </w:rPr>
        <w:t>is recommended (</w:t>
      </w:r>
      <w:proofErr w:type="spellStart"/>
      <w:r w:rsidR="00F732D8">
        <w:rPr>
          <w:rFonts w:eastAsia="Malgun Gothic" w:hint="eastAsia"/>
          <w:color w:val="000000" w:themeColor="text1"/>
          <w:lang w:eastAsia="ko-KR"/>
        </w:rPr>
        <w:t>Lemjabbar</w:t>
      </w:r>
      <w:proofErr w:type="spellEnd"/>
      <w:r w:rsidR="00F732D8">
        <w:rPr>
          <w:rFonts w:eastAsia="Malgun Gothic" w:hint="eastAsia"/>
          <w:color w:val="000000" w:themeColor="text1"/>
          <w:lang w:eastAsia="ko-KR"/>
        </w:rPr>
        <w:t>-Alaoui et al., 2015)</w:t>
      </w:r>
      <w:r w:rsidR="00234665">
        <w:rPr>
          <w:rFonts w:eastAsia="Malgun Gothic" w:hint="eastAsia"/>
          <w:color w:val="000000" w:themeColor="text1"/>
          <w:lang w:eastAsia="ko-KR"/>
        </w:rPr>
        <w:t>.</w:t>
      </w:r>
      <w:r w:rsidR="005F6218" w:rsidRPr="00B85D1F">
        <w:rPr>
          <w:color w:val="000000" w:themeColor="text1"/>
        </w:rPr>
        <w:t xml:space="preserve"> </w:t>
      </w:r>
      <w:r w:rsidR="00234665">
        <w:rPr>
          <w:rFonts w:eastAsia="Malgun Gothic" w:hint="eastAsia"/>
          <w:color w:val="000000" w:themeColor="text1"/>
          <w:lang w:eastAsia="ko-KR"/>
        </w:rPr>
        <w:t>Nonetheless,</w:t>
      </w:r>
      <w:r w:rsidR="005F6218" w:rsidRPr="00B85D1F">
        <w:rPr>
          <w:color w:val="000000" w:themeColor="text1"/>
        </w:rPr>
        <w:t xml:space="preserve"> it remains uncertain whether every individual in this category will </w:t>
      </w:r>
      <w:r w:rsidR="00B562D5">
        <w:rPr>
          <w:rFonts w:eastAsia="Malgun Gothic" w:hint="eastAsia"/>
          <w:color w:val="000000" w:themeColor="text1"/>
          <w:lang w:eastAsia="ko-KR"/>
        </w:rPr>
        <w:t>benefit equally</w:t>
      </w:r>
      <w:r w:rsidR="005F6218" w:rsidRPr="00B85D1F">
        <w:rPr>
          <w:color w:val="000000" w:themeColor="text1"/>
        </w:rPr>
        <w:t xml:space="preserve"> fro</w:t>
      </w:r>
      <w:r w:rsidR="00B562D5">
        <w:rPr>
          <w:rFonts w:eastAsia="Malgun Gothic" w:hint="eastAsia"/>
          <w:color w:val="000000" w:themeColor="text1"/>
          <w:lang w:eastAsia="ko-KR"/>
        </w:rPr>
        <w:t>m</w:t>
      </w:r>
      <w:r w:rsidR="005F6218" w:rsidRPr="00B85D1F">
        <w:rPr>
          <w:color w:val="000000" w:themeColor="text1"/>
        </w:rPr>
        <w:t xml:space="preserve"> chemotherapy.</w:t>
      </w:r>
      <w:r w:rsidR="00F84D14">
        <w:rPr>
          <w:rFonts w:eastAsia="Malgun Gothic" w:hint="eastAsia"/>
          <w:color w:val="000000" w:themeColor="text1"/>
          <w:lang w:eastAsia="ko-KR"/>
        </w:rPr>
        <w:t xml:space="preserve"> Physicians </w:t>
      </w:r>
      <w:r w:rsidR="002A34F5">
        <w:rPr>
          <w:rFonts w:eastAsia="Malgun Gothic" w:hint="eastAsia"/>
          <w:color w:val="000000" w:themeColor="text1"/>
          <w:lang w:eastAsia="ko-KR"/>
        </w:rPr>
        <w:t xml:space="preserve">often explore </w:t>
      </w:r>
      <w:proofErr w:type="gramStart"/>
      <w:r w:rsidR="002A34F5">
        <w:rPr>
          <w:rFonts w:eastAsia="Malgun Gothic" w:hint="eastAsia"/>
          <w:color w:val="000000" w:themeColor="text1"/>
          <w:lang w:eastAsia="ko-KR"/>
        </w:rPr>
        <w:t>a treatment option</w:t>
      </w:r>
      <w:proofErr w:type="gramEnd"/>
      <w:r w:rsidR="002A34F5">
        <w:rPr>
          <w:rFonts w:eastAsia="Malgun Gothic" w:hint="eastAsia"/>
          <w:color w:val="000000" w:themeColor="text1"/>
          <w:lang w:eastAsia="ko-KR"/>
        </w:rPr>
        <w:t xml:space="preserve"> to enhance patient </w:t>
      </w:r>
      <w:r w:rsidR="002A34F5">
        <w:rPr>
          <w:rFonts w:eastAsia="Malgun Gothic"/>
          <w:color w:val="000000" w:themeColor="text1"/>
          <w:lang w:eastAsia="ko-KR"/>
        </w:rPr>
        <w:t>survival</w:t>
      </w:r>
      <w:r w:rsidR="002A34F5">
        <w:rPr>
          <w:rFonts w:eastAsia="Malgun Gothic" w:hint="eastAsia"/>
          <w:color w:val="000000" w:themeColor="text1"/>
          <w:lang w:eastAsia="ko-KR"/>
        </w:rPr>
        <w:t xml:space="preserve"> rates and improve their quality of life.</w:t>
      </w:r>
      <w:r w:rsidR="0024439D">
        <w:rPr>
          <w:rFonts w:eastAsia="Malgun Gothic" w:hint="eastAsia"/>
          <w:color w:val="000000" w:themeColor="text1"/>
          <w:lang w:eastAsia="ko-KR"/>
        </w:rPr>
        <w:t xml:space="preserve"> </w:t>
      </w:r>
    </w:p>
    <w:p w14:paraId="3EF2BF32" w14:textId="3F66BA0A" w:rsidR="00293519" w:rsidRDefault="0084653F" w:rsidP="00293519">
      <w:pPr>
        <w:ind w:firstLine="720"/>
        <w:rPr>
          <w:rFonts w:eastAsia="Malgun Gothic"/>
          <w:color w:val="000000" w:themeColor="text1"/>
          <w:lang w:eastAsia="ko-KR"/>
        </w:rPr>
      </w:pPr>
      <w:r>
        <w:rPr>
          <w:rFonts w:eastAsia="Malgun Gothic" w:hint="eastAsia"/>
          <w:color w:val="000000" w:themeColor="text1"/>
          <w:lang w:eastAsia="ko-KR"/>
        </w:rPr>
        <w:t xml:space="preserve">Despite undergoing curative resection, a significant </w:t>
      </w:r>
      <w:r>
        <w:rPr>
          <w:rFonts w:eastAsia="Malgun Gothic"/>
          <w:color w:val="000000" w:themeColor="text1"/>
          <w:lang w:eastAsia="ko-KR"/>
        </w:rPr>
        <w:t>proportion</w:t>
      </w:r>
      <w:r>
        <w:rPr>
          <w:rFonts w:eastAsia="Malgun Gothic" w:hint="eastAsia"/>
          <w:color w:val="000000" w:themeColor="text1"/>
          <w:lang w:eastAsia="ko-KR"/>
        </w:rPr>
        <w:t xml:space="preserve"> of patients with NSCLC</w:t>
      </w:r>
      <w:r w:rsidR="00F45B2E">
        <w:rPr>
          <w:rFonts w:eastAsia="Malgun Gothic" w:hint="eastAsia"/>
          <w:color w:val="000000" w:themeColor="text1"/>
          <w:lang w:eastAsia="ko-KR"/>
        </w:rPr>
        <w:t>, ranging from 30% to 55%, experience disease recurrence and succumb</w:t>
      </w:r>
      <w:r w:rsidR="007035C1">
        <w:rPr>
          <w:rFonts w:eastAsia="Malgun Gothic" w:hint="eastAsia"/>
          <w:color w:val="000000" w:themeColor="text1"/>
          <w:lang w:eastAsia="ko-KR"/>
        </w:rPr>
        <w:t xml:space="preserve"> to their condition</w:t>
      </w:r>
      <w:r w:rsidR="00C31BE5">
        <w:rPr>
          <w:rFonts w:eastAsia="Malgun Gothic" w:hint="eastAsia"/>
          <w:color w:val="000000" w:themeColor="text1"/>
          <w:lang w:eastAsia="ko-KR"/>
        </w:rPr>
        <w:t xml:space="preserve"> (Uramoto and Tanaka, 2014). </w:t>
      </w:r>
      <w:r w:rsidR="00C31BE5" w:rsidRPr="00C31BE5">
        <w:rPr>
          <w:rFonts w:eastAsia="Malgun Gothic"/>
          <w:color w:val="000000" w:themeColor="text1"/>
          <w:lang w:eastAsia="ko-KR"/>
        </w:rPr>
        <w:t xml:space="preserve">Therefore, individuals </w:t>
      </w:r>
      <w:r w:rsidR="00416C37">
        <w:rPr>
          <w:rFonts w:eastAsia="Malgun Gothic" w:hint="eastAsia"/>
          <w:color w:val="000000" w:themeColor="text1"/>
          <w:lang w:eastAsia="ko-KR"/>
        </w:rPr>
        <w:t xml:space="preserve">facing </w:t>
      </w:r>
      <w:r w:rsidR="00C31BE5" w:rsidRPr="00C31BE5">
        <w:rPr>
          <w:rFonts w:eastAsia="Malgun Gothic"/>
          <w:color w:val="000000" w:themeColor="text1"/>
          <w:lang w:eastAsia="ko-KR"/>
        </w:rPr>
        <w:t xml:space="preserve">a less favorable prognosis </w:t>
      </w:r>
      <w:r w:rsidR="00416C37">
        <w:rPr>
          <w:rFonts w:eastAsia="Malgun Gothic" w:hint="eastAsia"/>
          <w:color w:val="000000" w:themeColor="text1"/>
          <w:lang w:eastAsia="ko-KR"/>
        </w:rPr>
        <w:t xml:space="preserve">may benefit </w:t>
      </w:r>
      <w:r w:rsidR="00C31BE5" w:rsidRPr="00C31BE5">
        <w:rPr>
          <w:rFonts w:eastAsia="Malgun Gothic"/>
          <w:color w:val="000000" w:themeColor="text1"/>
          <w:lang w:eastAsia="ko-KR"/>
        </w:rPr>
        <w:t>from adjuvant chemotherapy (ACT) (Zhu et al.</w:t>
      </w:r>
      <w:r w:rsidR="005F3AFD">
        <w:rPr>
          <w:rFonts w:eastAsia="Malgun Gothic"/>
          <w:color w:val="000000" w:themeColor="text1"/>
          <w:lang w:eastAsia="ko-KR"/>
        </w:rPr>
        <w:t>,</w:t>
      </w:r>
      <w:r w:rsidR="00C31BE5" w:rsidRPr="00C31BE5">
        <w:rPr>
          <w:rFonts w:eastAsia="Malgun Gothic"/>
          <w:color w:val="000000" w:themeColor="text1"/>
          <w:lang w:eastAsia="ko-KR"/>
        </w:rPr>
        <w:t xml:space="preserve"> 2010).</w:t>
      </w:r>
      <w:r w:rsidR="00FC6217">
        <w:rPr>
          <w:rFonts w:eastAsia="Malgun Gothic" w:hint="eastAsia"/>
          <w:color w:val="000000" w:themeColor="text1"/>
          <w:lang w:eastAsia="ko-KR"/>
        </w:rPr>
        <w:t xml:space="preserve"> </w:t>
      </w:r>
      <w:r w:rsidR="00360E15" w:rsidRPr="00360E15">
        <w:rPr>
          <w:rFonts w:eastAsia="Malgun Gothic"/>
          <w:color w:val="000000" w:themeColor="text1"/>
          <w:lang w:eastAsia="ko-KR"/>
        </w:rPr>
        <w:t>Recent clinical studies have unveiled a survival advantage ranging from 4% to 15% for individuals with surgically removed Stages IB to IIIA when ACT is administered (Pirker and Filipits 2019).</w:t>
      </w:r>
      <w:r w:rsidR="000943CB">
        <w:rPr>
          <w:rFonts w:eastAsia="Malgun Gothic" w:hint="eastAsia"/>
          <w:color w:val="000000" w:themeColor="text1"/>
          <w:lang w:eastAsia="ko-KR"/>
        </w:rPr>
        <w:t xml:space="preserve"> </w:t>
      </w:r>
      <w:r w:rsidR="00F34E4B">
        <w:rPr>
          <w:rFonts w:eastAsia="Malgun Gothic" w:hint="eastAsia"/>
          <w:color w:val="000000" w:themeColor="text1"/>
          <w:lang w:eastAsia="ko-KR"/>
        </w:rPr>
        <w:t xml:space="preserve">However, </w:t>
      </w:r>
      <w:r w:rsidR="00E75F8E">
        <w:rPr>
          <w:rFonts w:eastAsia="Malgun Gothic" w:hint="eastAsia"/>
          <w:color w:val="000000" w:themeColor="text1"/>
          <w:lang w:eastAsia="ko-KR"/>
        </w:rPr>
        <w:t>given the intrinsic</w:t>
      </w:r>
      <w:r w:rsidR="00F34E4B">
        <w:rPr>
          <w:rFonts w:eastAsia="Malgun Gothic" w:hint="eastAsia"/>
          <w:color w:val="000000" w:themeColor="text1"/>
          <w:lang w:eastAsia="ko-KR"/>
        </w:rPr>
        <w:t xml:space="preserve"> toxicity of chemotherapy, physicians </w:t>
      </w:r>
      <w:r w:rsidR="00956D97">
        <w:rPr>
          <w:rFonts w:eastAsia="Malgun Gothic" w:hint="eastAsia"/>
          <w:color w:val="000000" w:themeColor="text1"/>
          <w:lang w:eastAsia="ko-KR"/>
        </w:rPr>
        <w:t>are responsible for</w:t>
      </w:r>
      <w:r w:rsidR="00F34E4B">
        <w:rPr>
          <w:rFonts w:eastAsia="Malgun Gothic" w:hint="eastAsia"/>
          <w:color w:val="000000" w:themeColor="text1"/>
          <w:lang w:eastAsia="ko-KR"/>
        </w:rPr>
        <w:t xml:space="preserve"> cautiously identify</w:t>
      </w:r>
      <w:r w:rsidR="00956D97">
        <w:rPr>
          <w:rFonts w:eastAsia="Malgun Gothic" w:hint="eastAsia"/>
          <w:color w:val="000000" w:themeColor="text1"/>
          <w:lang w:eastAsia="ko-KR"/>
        </w:rPr>
        <w:t>ing</w:t>
      </w:r>
      <w:r w:rsidR="00F34E4B">
        <w:rPr>
          <w:rFonts w:eastAsia="Malgun Gothic" w:hint="eastAsia"/>
          <w:color w:val="000000" w:themeColor="text1"/>
          <w:lang w:eastAsia="ko-KR"/>
        </w:rPr>
        <w:t xml:space="preserve"> patients </w:t>
      </w:r>
      <w:r w:rsidR="00956D97">
        <w:rPr>
          <w:rFonts w:eastAsia="Malgun Gothic" w:hint="eastAsia"/>
          <w:color w:val="000000" w:themeColor="text1"/>
          <w:lang w:eastAsia="ko-KR"/>
        </w:rPr>
        <w:t xml:space="preserve">whose </w:t>
      </w:r>
      <w:r w:rsidR="008829AF">
        <w:rPr>
          <w:rFonts w:eastAsia="Malgun Gothic" w:hint="eastAsia"/>
          <w:color w:val="000000" w:themeColor="text1"/>
          <w:lang w:eastAsia="ko-KR"/>
        </w:rPr>
        <w:t>likelihood of benefiting from ACT</w:t>
      </w:r>
      <w:r w:rsidR="007A48E9">
        <w:rPr>
          <w:rFonts w:eastAsia="Malgun Gothic" w:hint="eastAsia"/>
          <w:color w:val="000000" w:themeColor="text1"/>
          <w:lang w:eastAsia="ko-KR"/>
        </w:rPr>
        <w:t xml:space="preserve"> justifies the associated risks.</w:t>
      </w:r>
    </w:p>
    <w:p w14:paraId="79FC94D9" w14:textId="5E87BC98" w:rsidR="00C425F6" w:rsidRDefault="00CB068D" w:rsidP="00293519">
      <w:pPr>
        <w:ind w:firstLine="720"/>
        <w:rPr>
          <w:rFonts w:eastAsia="Malgun Gothic"/>
          <w:color w:val="000000" w:themeColor="text1"/>
          <w:lang w:eastAsia="ko-KR"/>
        </w:rPr>
      </w:pPr>
      <w:r>
        <w:rPr>
          <w:rFonts w:eastAsia="Malgun Gothic" w:hint="eastAsia"/>
          <w:color w:val="000000" w:themeColor="text1"/>
          <w:lang w:eastAsia="ko-KR"/>
        </w:rPr>
        <w:lastRenderedPageBreak/>
        <w:t xml:space="preserve">Genomics plays a critical role in </w:t>
      </w:r>
      <w:proofErr w:type="gramStart"/>
      <w:r w:rsidR="003311CF">
        <w:rPr>
          <w:rFonts w:eastAsia="Malgun Gothic" w:hint="eastAsia"/>
          <w:color w:val="000000" w:themeColor="text1"/>
          <w:lang w:eastAsia="ko-KR"/>
        </w:rPr>
        <w:t>guiding treatment</w:t>
      </w:r>
      <w:proofErr w:type="gramEnd"/>
      <w:r w:rsidR="003311CF">
        <w:rPr>
          <w:rFonts w:eastAsia="Malgun Gothic" w:hint="eastAsia"/>
          <w:color w:val="000000" w:themeColor="text1"/>
          <w:lang w:eastAsia="ko-KR"/>
        </w:rPr>
        <w:t xml:space="preserve"> recommendations for lung cancer patients by providing insights into the specific genetic characteristics of tumors.</w:t>
      </w:r>
      <w:r w:rsidR="009635C5">
        <w:rPr>
          <w:rFonts w:eastAsia="Malgun Gothic" w:hint="eastAsia"/>
          <w:color w:val="000000" w:themeColor="text1"/>
          <w:lang w:eastAsia="ko-KR"/>
        </w:rPr>
        <w:t xml:space="preserve"> This precision medicine approach allows for </w:t>
      </w:r>
      <w:r w:rsidR="00951CCA">
        <w:rPr>
          <w:rFonts w:eastAsia="Malgun Gothic" w:hint="eastAsia"/>
          <w:color w:val="000000" w:themeColor="text1"/>
          <w:lang w:eastAsia="ko-KR"/>
        </w:rPr>
        <w:t xml:space="preserve">customized </w:t>
      </w:r>
      <w:r w:rsidR="009C3A00">
        <w:rPr>
          <w:rFonts w:eastAsia="Malgun Gothic" w:hint="eastAsia"/>
          <w:color w:val="000000" w:themeColor="text1"/>
          <w:lang w:eastAsia="ko-KR"/>
        </w:rPr>
        <w:t xml:space="preserve">treatment strategies </w:t>
      </w:r>
      <w:r w:rsidR="002E44C3">
        <w:rPr>
          <w:rFonts w:eastAsia="Malgun Gothic" w:hint="eastAsia"/>
          <w:color w:val="000000" w:themeColor="text1"/>
          <w:lang w:eastAsia="ko-KR"/>
        </w:rPr>
        <w:t xml:space="preserve">based on individual genomic profiles, </w:t>
      </w:r>
      <w:r w:rsidR="0021555B">
        <w:rPr>
          <w:rFonts w:eastAsia="Malgun Gothic" w:hint="eastAsia"/>
          <w:color w:val="000000" w:themeColor="text1"/>
          <w:lang w:eastAsia="ko-KR"/>
        </w:rPr>
        <w:t xml:space="preserve">leading to more effective therapies with fewer adverse effects. </w:t>
      </w:r>
      <w:r w:rsidR="003C4655">
        <w:rPr>
          <w:rFonts w:eastAsia="Malgun Gothic" w:hint="eastAsia"/>
          <w:color w:val="000000" w:themeColor="text1"/>
          <w:lang w:eastAsia="ko-KR"/>
        </w:rPr>
        <w:t>By identifying genomic markers associated with treatment response, clinicians</w:t>
      </w:r>
      <w:r w:rsidR="00FD0203">
        <w:rPr>
          <w:rFonts w:eastAsia="Malgun Gothic" w:hint="eastAsia"/>
          <w:color w:val="000000" w:themeColor="text1"/>
          <w:lang w:eastAsia="ko-KR"/>
        </w:rPr>
        <w:t xml:space="preserve"> can predict patient outcomes and personalized treatment plans accordingly.</w:t>
      </w:r>
      <w:r w:rsidR="003A0E49">
        <w:rPr>
          <w:rFonts w:eastAsia="Malgun Gothic" w:hint="eastAsia"/>
          <w:color w:val="000000" w:themeColor="text1"/>
          <w:lang w:eastAsia="ko-KR"/>
        </w:rPr>
        <w:t xml:space="preserve"> Additionally, genomic analysis helps identify mutations driving cancer growth, enabling the selection of </w:t>
      </w:r>
      <w:r w:rsidR="003A0E49">
        <w:rPr>
          <w:rFonts w:eastAsia="Malgun Gothic"/>
          <w:color w:val="000000" w:themeColor="text1"/>
          <w:lang w:eastAsia="ko-KR"/>
        </w:rPr>
        <w:t>targeted</w:t>
      </w:r>
      <w:r w:rsidR="003A0E49">
        <w:rPr>
          <w:rFonts w:eastAsia="Malgun Gothic" w:hint="eastAsia"/>
          <w:color w:val="000000" w:themeColor="text1"/>
          <w:lang w:eastAsia="ko-KR"/>
        </w:rPr>
        <w:t xml:space="preserve"> </w:t>
      </w:r>
      <w:r w:rsidR="00B26C91">
        <w:rPr>
          <w:rFonts w:eastAsia="Malgun Gothic" w:hint="eastAsia"/>
          <w:color w:val="000000" w:themeColor="text1"/>
          <w:lang w:eastAsia="ko-KR"/>
        </w:rPr>
        <w:t xml:space="preserve">therapies that directly inhibit tumor progression. </w:t>
      </w:r>
      <w:r w:rsidR="00F95889">
        <w:rPr>
          <w:rFonts w:eastAsia="Malgun Gothic" w:hint="eastAsia"/>
          <w:color w:val="000000" w:themeColor="text1"/>
          <w:lang w:eastAsia="ko-KR"/>
        </w:rPr>
        <w:t>As a result</w:t>
      </w:r>
      <w:r w:rsidR="00B26C91">
        <w:rPr>
          <w:rFonts w:eastAsia="Malgun Gothic" w:hint="eastAsia"/>
          <w:color w:val="000000" w:themeColor="text1"/>
          <w:lang w:eastAsia="ko-KR"/>
        </w:rPr>
        <w:t>, unveiling genomic markers associated with treatment for lung cancer patie</w:t>
      </w:r>
      <w:r w:rsidR="003219A0">
        <w:rPr>
          <w:rFonts w:eastAsia="Malgun Gothic" w:hint="eastAsia"/>
          <w:color w:val="000000" w:themeColor="text1"/>
          <w:lang w:eastAsia="ko-KR"/>
        </w:rPr>
        <w:t xml:space="preserve">nts is essential for advancing personalized medicine and improving treatment outcomes by optimizing treatment decisions based on </w:t>
      </w:r>
      <w:r w:rsidR="003219A0">
        <w:rPr>
          <w:rFonts w:eastAsia="Malgun Gothic"/>
          <w:color w:val="000000" w:themeColor="text1"/>
          <w:lang w:eastAsia="ko-KR"/>
        </w:rPr>
        <w:t>individual</w:t>
      </w:r>
      <w:r w:rsidR="003219A0">
        <w:rPr>
          <w:rFonts w:eastAsia="Malgun Gothic" w:hint="eastAsia"/>
          <w:color w:val="000000" w:themeColor="text1"/>
          <w:lang w:eastAsia="ko-KR"/>
        </w:rPr>
        <w:t xml:space="preserve"> genomic profiles.</w:t>
      </w:r>
      <w:r w:rsidR="007A1EC2">
        <w:rPr>
          <w:rFonts w:eastAsia="Malgun Gothic" w:hint="eastAsia"/>
          <w:color w:val="000000" w:themeColor="text1"/>
          <w:lang w:eastAsia="ko-KR"/>
        </w:rPr>
        <w:t xml:space="preserve"> </w:t>
      </w:r>
    </w:p>
    <w:p w14:paraId="4CE558C1" w14:textId="1A06F3E5" w:rsidR="00D210E0" w:rsidRPr="003A0E49" w:rsidRDefault="00FE3BC5" w:rsidP="0028358D">
      <w:pPr>
        <w:ind w:firstLine="720"/>
        <w:rPr>
          <w:rFonts w:eastAsia="Malgun Gothic"/>
          <w:color w:val="000000" w:themeColor="text1"/>
          <w:lang w:eastAsia="ko-KR"/>
        </w:rPr>
      </w:pPr>
      <w:r>
        <w:rPr>
          <w:rFonts w:eastAsia="Malgun Gothic"/>
          <w:color w:val="000000" w:themeColor="text1"/>
          <w:lang w:eastAsia="ko-KR"/>
        </w:rPr>
        <w:t xml:space="preserve">In the treatment of NSCLC, identifying patient subgroups that respond optimally to specific therapies is crucial for enhancing treatment efficacy. The </w:t>
      </w:r>
      <w:r w:rsidR="00AC3B30">
        <w:rPr>
          <w:rFonts w:eastAsia="Malgun Gothic"/>
          <w:color w:val="000000" w:themeColor="text1"/>
          <w:lang w:eastAsia="ko-KR"/>
        </w:rPr>
        <w:t xml:space="preserve">integration of artificial intelligence (AI) into clinical settings offers transformative potential for achieving this goal. </w:t>
      </w:r>
      <w:r w:rsidR="003326FA">
        <w:rPr>
          <w:rFonts w:eastAsia="Malgun Gothic"/>
          <w:color w:val="000000" w:themeColor="text1"/>
          <w:lang w:eastAsia="ko-KR"/>
        </w:rPr>
        <w:t xml:space="preserve">By </w:t>
      </w:r>
      <w:r w:rsidR="002538E4">
        <w:rPr>
          <w:rFonts w:eastAsia="Malgun Gothic"/>
          <w:color w:val="000000" w:themeColor="text1"/>
          <w:lang w:eastAsia="ko-KR"/>
        </w:rPr>
        <w:t>utilizing AI-driven techniques, researchers and clinicians can conduct detailed subgroup analyses that consider a wide array of factors, including clinical characteristics, genomic data, and genetic predispositions. This approach enables the identification of unique patterns and predictors of treatment success</w:t>
      </w:r>
      <w:r w:rsidR="00404323">
        <w:rPr>
          <w:rFonts w:eastAsia="Malgun Gothic"/>
          <w:color w:val="000000" w:themeColor="text1"/>
          <w:lang w:eastAsia="ko-KR"/>
        </w:rPr>
        <w:t xml:space="preserve"> for the customization of therapy to individual patient profiles. AI tools can analyze vast datasets to uncover subtle interactions between treatment options</w:t>
      </w:r>
      <w:r w:rsidR="000279EE">
        <w:rPr>
          <w:rFonts w:eastAsia="Malgun Gothic"/>
          <w:color w:val="000000" w:themeColor="text1"/>
          <w:lang w:eastAsia="ko-KR"/>
        </w:rPr>
        <w:t xml:space="preserve"> and patient-specific factors, which often elude traditional analytical methods. Such precision allows for the adaptation of treatment plans that are finely tuned to maximize therapeutic benefits and minimize adverse effects. Ultimately, the application of AI in this context not only promises </w:t>
      </w:r>
      <w:r w:rsidR="002A6808">
        <w:rPr>
          <w:rFonts w:eastAsia="Malgun Gothic"/>
          <w:color w:val="000000" w:themeColor="text1"/>
          <w:lang w:eastAsia="ko-KR"/>
        </w:rPr>
        <w:t xml:space="preserve">to improve the survival and quality of life for NSCLC patients but also represents a </w:t>
      </w:r>
      <w:r w:rsidR="00BB7F77">
        <w:rPr>
          <w:rFonts w:eastAsia="Malgun Gothic"/>
          <w:color w:val="000000" w:themeColor="text1"/>
          <w:lang w:eastAsia="ko-KR"/>
        </w:rPr>
        <w:t>significant step forward in the evolution of precision medicine and personalized treatment strategies.</w:t>
      </w:r>
    </w:p>
    <w:p w14:paraId="7A15692F" w14:textId="614ED568" w:rsidR="000A5896" w:rsidRDefault="000A5896" w:rsidP="006C4832">
      <w:pPr>
        <w:ind w:firstLine="720"/>
        <w:rPr>
          <w:rFonts w:eastAsia="Malgun Gothic"/>
          <w:lang w:eastAsia="ko-KR"/>
        </w:rPr>
      </w:pPr>
      <w:r>
        <w:rPr>
          <w:rFonts w:eastAsia="Malgun Gothic"/>
          <w:lang w:eastAsia="ko-KR"/>
        </w:rPr>
        <w:t>Moon et al. (2017) focused on identifying which patients might benefit from ACT based on prognostic and predictive gene signatures for ACT in early-stage NSCLC patients. The goal was to use gene expression profiling to develop a statistical decision-making algorithm for subgrouping patients who might be likely to benefit from ACT and those who might experience unnecessary toxicity</w:t>
      </w:r>
      <w:r w:rsidR="0025070F">
        <w:rPr>
          <w:rFonts w:eastAsia="Malgun Gothic"/>
          <w:lang w:eastAsia="ko-KR"/>
        </w:rPr>
        <w:t xml:space="preserve">, potentially allowing for more </w:t>
      </w:r>
      <w:r w:rsidR="00DD62D0">
        <w:rPr>
          <w:rFonts w:eastAsia="Malgun Gothic"/>
          <w:lang w:eastAsia="ko-KR"/>
        </w:rPr>
        <w:t>effective personalized treatment plans</w:t>
      </w:r>
      <w:r>
        <w:rPr>
          <w:rFonts w:eastAsia="Malgun Gothic"/>
          <w:lang w:eastAsia="ko-KR"/>
        </w:rPr>
        <w:t xml:space="preserve">. The lasso method in Cox </w:t>
      </w:r>
      <w:r w:rsidR="00D61211">
        <w:rPr>
          <w:rFonts w:eastAsia="Malgun Gothic"/>
          <w:lang w:eastAsia="ko-KR"/>
        </w:rPr>
        <w:t>PH</w:t>
      </w:r>
      <w:r>
        <w:rPr>
          <w:rFonts w:eastAsia="Malgun Gothic"/>
          <w:lang w:eastAsia="ko-KR"/>
        </w:rPr>
        <w:t xml:space="preserve"> regression was used to identify significant genes associated with patient survival. A Random Forests classification model was applied to predict a new patient’s prognosis and the likelihood of survival benefit from ACT, using a set of genomic markers. The study aimed to improve the precision of ACT treatment decisions </w:t>
      </w:r>
      <w:proofErr w:type="gramStart"/>
      <w:r>
        <w:rPr>
          <w:rFonts w:eastAsia="Malgun Gothic"/>
          <w:lang w:eastAsia="ko-KR"/>
        </w:rPr>
        <w:t>in order to</w:t>
      </w:r>
      <w:proofErr w:type="gramEnd"/>
      <w:r>
        <w:rPr>
          <w:rFonts w:eastAsia="Malgun Gothic"/>
          <w:lang w:eastAsia="ko-KR"/>
        </w:rPr>
        <w:t xml:space="preserve"> optimize patient outcomes by minimizing unnecessary chemotherapy exposure and enhancing survival outcomes for those predicted to benefit.</w:t>
      </w:r>
    </w:p>
    <w:p w14:paraId="55FEF16E" w14:textId="621C14EE" w:rsidR="00C02E62" w:rsidRPr="00385811" w:rsidRDefault="00C02E62" w:rsidP="00C02E62">
      <w:pPr>
        <w:ind w:firstLine="720"/>
        <w:rPr>
          <w:rFonts w:eastAsia="Malgun Gothic"/>
          <w:lang w:eastAsia="ko-KR"/>
        </w:rPr>
      </w:pPr>
      <w:r>
        <w:rPr>
          <w:rFonts w:eastAsia="Malgun Gothic"/>
          <w:lang w:eastAsia="ko-KR"/>
        </w:rPr>
        <w:t xml:space="preserve">Moon et al. </w:t>
      </w:r>
      <w:r w:rsidR="00BD4E3D">
        <w:rPr>
          <w:rFonts w:eastAsia="Malgun Gothic"/>
          <w:lang w:eastAsia="ko-KR"/>
        </w:rPr>
        <w:t>(</w:t>
      </w:r>
      <w:r>
        <w:rPr>
          <w:rFonts w:eastAsia="Malgun Gothic"/>
          <w:lang w:eastAsia="ko-KR"/>
        </w:rPr>
        <w:t>2020</w:t>
      </w:r>
      <w:r w:rsidR="00BD4E3D">
        <w:rPr>
          <w:rFonts w:eastAsia="Malgun Gothic"/>
          <w:lang w:eastAsia="ko-KR"/>
        </w:rPr>
        <w:t>)</w:t>
      </w:r>
      <w:r>
        <w:rPr>
          <w:rFonts w:eastAsia="Malgun Gothic"/>
          <w:lang w:eastAsia="ko-KR"/>
        </w:rPr>
        <w:t xml:space="preserve"> initiated to develop a statistical decision support tool to identify risk factors and likelihood of benefit from ACT for early-stage lung cancer patients. Using genome-wide microarray data, the study identified genomic markers to predict treatment benefits and differentiated between patients who should receive chemotherapy alongside surgery and those who should undergo surgery alone. In this study, Accelerated Failure Time (AFT) models were used to predict the probability of benefiting from chemotherapy based on genomic markers. The comparison of treatment effects between a chemotherapy group and a surgery only group (OBS) revealed that patients who followed the predicted recommendation had significantly longer survival times (p &lt; .001). Tree-based ensemble algorithms and Cox regression combined with the elastic net were applied to analyze gene expression data and to identify relevant genomic markers for better model performance. Overall, the study demonstrated how personalized treatment based on genetic profiles could optimize therapeutic strategies for lung cancer patients, potentially improving prognosis and survival outcomes.</w:t>
      </w:r>
    </w:p>
    <w:p w14:paraId="6CDAE238" w14:textId="67582216" w:rsidR="00CE22DB" w:rsidRDefault="00C75201" w:rsidP="00C02E62">
      <w:pPr>
        <w:ind w:firstLine="720"/>
        <w:rPr>
          <w:rFonts w:eastAsia="Malgun Gothic"/>
          <w:lang w:eastAsia="ko-KR"/>
        </w:rPr>
      </w:pPr>
      <w:r w:rsidRPr="001233D4">
        <w:rPr>
          <w:rFonts w:eastAsia="Malgun Gothic"/>
          <w:lang w:eastAsia="ko-KR"/>
        </w:rPr>
        <w:lastRenderedPageBreak/>
        <w:t xml:space="preserve">Our recent study </w:t>
      </w:r>
      <w:r w:rsidR="00050DC9" w:rsidRPr="001233D4">
        <w:rPr>
          <w:rFonts w:eastAsia="Malgun Gothic"/>
          <w:lang w:eastAsia="ko-KR"/>
        </w:rPr>
        <w:t xml:space="preserve">(Moon et al., 2021) </w:t>
      </w:r>
      <w:proofErr w:type="gramStart"/>
      <w:r w:rsidR="00C02E62">
        <w:rPr>
          <w:rFonts w:eastAsia="Malgun Gothic"/>
          <w:lang w:eastAsia="ko-KR"/>
        </w:rPr>
        <w:t>continue</w:t>
      </w:r>
      <w:proofErr w:type="gramEnd"/>
      <w:r w:rsidR="00C02E62">
        <w:rPr>
          <w:rFonts w:eastAsia="Malgun Gothic"/>
          <w:lang w:eastAsia="ko-KR"/>
        </w:rPr>
        <w:t xml:space="preserve"> to </w:t>
      </w:r>
      <w:r w:rsidR="00CE30C4" w:rsidRPr="001233D4">
        <w:rPr>
          <w:rFonts w:eastAsia="Malgun Gothic"/>
          <w:lang w:eastAsia="ko-KR"/>
        </w:rPr>
        <w:t xml:space="preserve">aim </w:t>
      </w:r>
      <w:r w:rsidR="00C02E62">
        <w:rPr>
          <w:rFonts w:eastAsia="Malgun Gothic"/>
          <w:lang w:eastAsia="ko-KR"/>
        </w:rPr>
        <w:t>for</w:t>
      </w:r>
      <w:r w:rsidR="00CE30C4" w:rsidRPr="001233D4">
        <w:rPr>
          <w:rFonts w:eastAsia="Malgun Gothic"/>
          <w:lang w:eastAsia="ko-KR"/>
        </w:rPr>
        <w:t xml:space="preserve"> </w:t>
      </w:r>
      <w:r w:rsidR="00785140" w:rsidRPr="001233D4">
        <w:rPr>
          <w:rFonts w:eastAsia="Malgun Gothic"/>
          <w:lang w:eastAsia="ko-KR"/>
        </w:rPr>
        <w:t>identify</w:t>
      </w:r>
      <w:r w:rsidR="00C02E62">
        <w:rPr>
          <w:rFonts w:eastAsia="Malgun Gothic"/>
          <w:lang w:eastAsia="ko-KR"/>
        </w:rPr>
        <w:t>ing</w:t>
      </w:r>
      <w:r w:rsidR="00785140" w:rsidRPr="001233D4">
        <w:rPr>
          <w:rFonts w:eastAsia="Malgun Gothic"/>
          <w:lang w:eastAsia="ko-KR"/>
        </w:rPr>
        <w:t xml:space="preserve"> predictive genomic biomarkers that can distinguish subgroups of early-stage lung cancer patients likely to benefit from </w:t>
      </w:r>
      <w:r w:rsidR="00F73279" w:rsidRPr="001233D4">
        <w:rPr>
          <w:rFonts w:eastAsia="Malgun Gothic"/>
          <w:lang w:eastAsia="ko-KR"/>
        </w:rPr>
        <w:t xml:space="preserve">ACT. </w:t>
      </w:r>
      <w:r w:rsidR="00F47BD8" w:rsidRPr="001233D4">
        <w:rPr>
          <w:rFonts w:eastAsia="Malgun Gothic"/>
          <w:lang w:eastAsia="ko-KR"/>
        </w:rPr>
        <w:t>Utilizing a modified-</w:t>
      </w:r>
      <w:r w:rsidR="00EE40D3" w:rsidRPr="001233D4">
        <w:rPr>
          <w:rFonts w:eastAsia="Malgun Gothic"/>
          <w:lang w:eastAsia="ko-KR"/>
        </w:rPr>
        <w:t xml:space="preserve">covariate regularized Cox regression model with a lasso penalty </w:t>
      </w:r>
      <w:r w:rsidR="00786715" w:rsidRPr="001233D4">
        <w:rPr>
          <w:rFonts w:eastAsia="Malgun Gothic"/>
          <w:lang w:eastAsia="ko-KR"/>
        </w:rPr>
        <w:t>on the JBR.10 dataset</w:t>
      </w:r>
      <w:r w:rsidR="00450B71" w:rsidRPr="001233D4">
        <w:rPr>
          <w:rFonts w:eastAsia="Malgun Gothic"/>
          <w:lang w:eastAsia="ko-KR"/>
        </w:rPr>
        <w:t>,</w:t>
      </w:r>
      <w:r w:rsidR="00786715" w:rsidRPr="001233D4">
        <w:rPr>
          <w:rFonts w:eastAsia="Malgun Gothic"/>
          <w:lang w:eastAsia="ko-KR"/>
        </w:rPr>
        <w:t xml:space="preserve"> </w:t>
      </w:r>
      <w:r w:rsidR="00450B71" w:rsidRPr="001233D4">
        <w:rPr>
          <w:rFonts w:eastAsia="Malgun Gothic"/>
          <w:lang w:eastAsia="ko-KR"/>
        </w:rPr>
        <w:t>the analysis rev</w:t>
      </w:r>
      <w:r w:rsidR="007D3F58" w:rsidRPr="001233D4">
        <w:rPr>
          <w:rFonts w:eastAsia="Malgun Gothic"/>
          <w:lang w:eastAsia="ko-KR"/>
        </w:rPr>
        <w:t>ealed that patients following</w:t>
      </w:r>
      <w:r w:rsidR="008C01A2" w:rsidRPr="001233D4">
        <w:rPr>
          <w:rFonts w:eastAsia="Malgun Gothic"/>
          <w:lang w:eastAsia="ko-KR"/>
        </w:rPr>
        <w:t xml:space="preserve"> the predicted treatment based on genomic markers </w:t>
      </w:r>
      <w:r w:rsidR="00AF135A" w:rsidRPr="001233D4">
        <w:rPr>
          <w:rFonts w:eastAsia="Malgun Gothic"/>
          <w:lang w:eastAsia="ko-KR"/>
        </w:rPr>
        <w:t xml:space="preserve">exhibited </w:t>
      </w:r>
      <w:r w:rsidR="00581244" w:rsidRPr="001233D4">
        <w:rPr>
          <w:rFonts w:eastAsia="Malgun Gothic"/>
          <w:lang w:eastAsia="ko-KR"/>
        </w:rPr>
        <w:t>significantly higher</w:t>
      </w:r>
      <w:r w:rsidR="0000408B" w:rsidRPr="001233D4">
        <w:rPr>
          <w:rFonts w:eastAsia="Malgun Gothic"/>
          <w:lang w:eastAsia="ko-KR"/>
        </w:rPr>
        <w:t xml:space="preserve"> survival benefits than those who </w:t>
      </w:r>
      <w:r w:rsidR="00536BEC" w:rsidRPr="001233D4">
        <w:rPr>
          <w:rFonts w:eastAsia="Malgun Gothic"/>
          <w:lang w:eastAsia="ko-KR"/>
        </w:rPr>
        <w:t>did not</w:t>
      </w:r>
      <w:r w:rsidR="00B16570">
        <w:rPr>
          <w:rFonts w:eastAsia="Malgun Gothic"/>
          <w:lang w:eastAsia="ko-KR"/>
        </w:rPr>
        <w:t xml:space="preserve"> (p &lt; .001)</w:t>
      </w:r>
      <w:r w:rsidR="00536BEC" w:rsidRPr="001233D4">
        <w:rPr>
          <w:rFonts w:eastAsia="Malgun Gothic"/>
          <w:lang w:eastAsia="ko-KR"/>
        </w:rPr>
        <w:t xml:space="preserve">, </w:t>
      </w:r>
      <w:r w:rsidR="009B3CEB" w:rsidRPr="001233D4">
        <w:rPr>
          <w:rFonts w:eastAsia="Malgun Gothic"/>
          <w:lang w:eastAsia="ko-KR"/>
        </w:rPr>
        <w:t>emphasizing</w:t>
      </w:r>
      <w:r w:rsidR="00536BEC" w:rsidRPr="001233D4">
        <w:rPr>
          <w:rFonts w:eastAsia="Malgun Gothic"/>
          <w:lang w:eastAsia="ko-KR"/>
        </w:rPr>
        <w:t xml:space="preserve"> the potential of genomic markers in optimizing treatment decisions and </w:t>
      </w:r>
      <w:r w:rsidR="009B3CEB" w:rsidRPr="001233D4">
        <w:rPr>
          <w:rFonts w:eastAsia="Malgun Gothic"/>
          <w:lang w:eastAsia="ko-KR"/>
        </w:rPr>
        <w:t>reducing</w:t>
      </w:r>
      <w:r w:rsidR="00536BEC" w:rsidRPr="001233D4">
        <w:rPr>
          <w:rFonts w:eastAsia="Malgun Gothic"/>
          <w:lang w:eastAsia="ko-KR"/>
        </w:rPr>
        <w:t xml:space="preserve"> unnecessary costs and toxicities associated with ACT.</w:t>
      </w:r>
      <w:r w:rsidR="00BB3906" w:rsidRPr="001233D4">
        <w:rPr>
          <w:rFonts w:eastAsia="Malgun Gothic"/>
          <w:lang w:eastAsia="ko-KR"/>
        </w:rPr>
        <w:t xml:space="preserve"> </w:t>
      </w:r>
      <w:r w:rsidR="00F65E79" w:rsidRPr="001233D4">
        <w:rPr>
          <w:rFonts w:eastAsia="Malgun Gothic"/>
          <w:lang w:eastAsia="ko-KR"/>
        </w:rPr>
        <w:t xml:space="preserve">The study identified specific genes like </w:t>
      </w:r>
      <w:r w:rsidR="001B7D23" w:rsidRPr="001233D4">
        <w:rPr>
          <w:rFonts w:eastAsia="Malgun Gothic"/>
          <w:lang w:eastAsia="ko-KR"/>
        </w:rPr>
        <w:t>CDC42, ETV5</w:t>
      </w:r>
      <w:r w:rsidR="007C78F2" w:rsidRPr="001233D4">
        <w:rPr>
          <w:rFonts w:eastAsia="Malgun Gothic"/>
          <w:lang w:eastAsia="ko-KR"/>
        </w:rPr>
        <w:t xml:space="preserve"> </w:t>
      </w:r>
      <w:r w:rsidR="009564BF" w:rsidRPr="001233D4">
        <w:rPr>
          <w:rFonts w:eastAsia="Malgun Gothic"/>
          <w:lang w:eastAsia="ko-KR"/>
        </w:rPr>
        <w:t>and FAM164A</w:t>
      </w:r>
      <w:r w:rsidR="00F65E79" w:rsidRPr="001233D4">
        <w:rPr>
          <w:rFonts w:eastAsia="Malgun Gothic"/>
          <w:lang w:eastAsia="ko-KR"/>
        </w:rPr>
        <w:t xml:space="preserve"> as</w:t>
      </w:r>
      <w:r w:rsidR="009564BF" w:rsidRPr="001233D4">
        <w:rPr>
          <w:rFonts w:eastAsia="Malgun Gothic"/>
          <w:lang w:eastAsia="ko-KR"/>
        </w:rPr>
        <w:t xml:space="preserve"> potential predictive markers for treatment response</w:t>
      </w:r>
      <w:r w:rsidR="00CE22DB" w:rsidRPr="001233D4">
        <w:rPr>
          <w:rFonts w:eastAsia="Malgun Gothic"/>
          <w:lang w:eastAsia="ko-KR"/>
        </w:rPr>
        <w:t xml:space="preserve">, with ACT showing a more favorable prognosis </w:t>
      </w:r>
      <w:r w:rsidR="00F9267C" w:rsidRPr="001233D4">
        <w:rPr>
          <w:rFonts w:eastAsia="Malgun Gothic"/>
          <w:lang w:eastAsia="ko-KR"/>
        </w:rPr>
        <w:t xml:space="preserve">compared to surgical resection alone (OBS) in advance cases, </w:t>
      </w:r>
      <w:r w:rsidR="00EC4DCC" w:rsidRPr="001233D4">
        <w:rPr>
          <w:rFonts w:eastAsia="Malgun Gothic"/>
          <w:lang w:eastAsia="ko-KR"/>
        </w:rPr>
        <w:t xml:space="preserve">further highlighting the importance of the predictive model in guiding personalized treatment recommendations and improving </w:t>
      </w:r>
      <w:r w:rsidR="001233D4" w:rsidRPr="001233D4">
        <w:rPr>
          <w:rFonts w:eastAsia="Malgun Gothic"/>
          <w:lang w:eastAsia="ko-KR"/>
        </w:rPr>
        <w:t>survival outcomes for NSCLC patients.</w:t>
      </w:r>
      <w:r w:rsidR="00C02E62">
        <w:rPr>
          <w:rFonts w:eastAsia="Malgun Gothic"/>
          <w:lang w:eastAsia="ko-KR"/>
        </w:rPr>
        <w:t xml:space="preserve"> </w:t>
      </w:r>
      <w:r w:rsidR="00C02E62" w:rsidRPr="00C02E62">
        <w:rPr>
          <w:rFonts w:eastAsia="Malgun Gothic"/>
          <w:lang w:eastAsia="ko-KR"/>
        </w:rPr>
        <w:t>For robust results, further testing on new datasets and with more samples is essential to verify and refine the model's precision.</w:t>
      </w:r>
    </w:p>
    <w:p w14:paraId="5AA8E178" w14:textId="73E5EBC7" w:rsidR="005D5904" w:rsidRPr="001233D4" w:rsidRDefault="005D5904" w:rsidP="005D5904">
      <w:pPr>
        <w:rPr>
          <w:rFonts w:eastAsia="Malgun Gothic"/>
          <w:lang w:eastAsia="ko-KR"/>
        </w:rPr>
      </w:pPr>
      <w:r>
        <w:rPr>
          <w:rFonts w:eastAsia="Malgun Gothic"/>
          <w:lang w:eastAsia="ko-KR"/>
        </w:rPr>
        <w:tab/>
      </w:r>
      <w:r w:rsidR="007530A2">
        <w:rPr>
          <w:rFonts w:eastAsia="Malgun Gothic"/>
          <w:lang w:eastAsia="ko-KR"/>
        </w:rPr>
        <w:t xml:space="preserve">Our </w:t>
      </w:r>
      <w:r w:rsidR="001A6250">
        <w:rPr>
          <w:rFonts w:eastAsia="Malgun Gothic"/>
          <w:lang w:eastAsia="ko-KR"/>
        </w:rPr>
        <w:t xml:space="preserve">study sets the stage for </w:t>
      </w:r>
      <w:proofErr w:type="gramStart"/>
      <w:r w:rsidR="001A6250">
        <w:rPr>
          <w:rFonts w:eastAsia="Malgun Gothic"/>
          <w:lang w:eastAsia="ko-KR"/>
        </w:rPr>
        <w:t>a significant</w:t>
      </w:r>
      <w:proofErr w:type="gramEnd"/>
      <w:r w:rsidR="001A6250">
        <w:rPr>
          <w:rFonts w:eastAsia="Malgun Gothic"/>
          <w:lang w:eastAsia="ko-KR"/>
        </w:rPr>
        <w:t xml:space="preserve"> advancement in the field of clinical decision support for lung cancer treatment. By introducing innovative methodolog</w:t>
      </w:r>
      <w:r w:rsidR="008D4FDF">
        <w:rPr>
          <w:rFonts w:eastAsia="Malgun Gothic"/>
          <w:lang w:eastAsia="ko-KR"/>
        </w:rPr>
        <w:t>ies</w:t>
      </w:r>
      <w:r w:rsidR="001A6250">
        <w:rPr>
          <w:rFonts w:eastAsia="Malgun Gothic"/>
          <w:lang w:eastAsia="ko-KR"/>
        </w:rPr>
        <w:t xml:space="preserve"> </w:t>
      </w:r>
      <w:r w:rsidR="008D4FDF">
        <w:rPr>
          <w:rFonts w:eastAsia="Malgun Gothic"/>
          <w:lang w:eastAsia="ko-KR"/>
        </w:rPr>
        <w:t>including</w:t>
      </w:r>
      <w:r w:rsidR="007C2F73">
        <w:rPr>
          <w:rFonts w:eastAsia="Malgun Gothic"/>
          <w:lang w:eastAsia="ko-KR"/>
        </w:rPr>
        <w:t xml:space="preserve"> a bagging approach based on </w:t>
      </w:r>
      <w:r w:rsidR="000C5089">
        <w:rPr>
          <w:rFonts w:eastAsia="Malgun Gothic"/>
          <w:lang w:eastAsia="ko-KR"/>
        </w:rPr>
        <w:t xml:space="preserve">the penalized Cox </w:t>
      </w:r>
      <w:r w:rsidR="00683C71">
        <w:rPr>
          <w:rFonts w:eastAsia="Malgun Gothic"/>
          <w:lang w:eastAsia="ko-KR"/>
        </w:rPr>
        <w:t>PH models, the Random Survival Forest (RSF) algorithm, and a deep learning</w:t>
      </w:r>
      <w:r w:rsidR="007A4A81">
        <w:rPr>
          <w:rFonts w:eastAsia="Malgun Gothic"/>
          <w:lang w:eastAsia="ko-KR"/>
        </w:rPr>
        <w:t xml:space="preserve"> survival network (</w:t>
      </w:r>
      <w:proofErr w:type="spellStart"/>
      <w:r w:rsidR="007A4A81">
        <w:rPr>
          <w:rFonts w:eastAsia="Malgun Gothic"/>
          <w:lang w:eastAsia="ko-KR"/>
        </w:rPr>
        <w:t>DeepSurv</w:t>
      </w:r>
      <w:proofErr w:type="spellEnd"/>
      <w:r w:rsidR="007A4A81">
        <w:rPr>
          <w:rFonts w:eastAsia="Malgun Gothic"/>
          <w:lang w:eastAsia="ko-KR"/>
        </w:rPr>
        <w:t>)</w:t>
      </w:r>
      <w:r w:rsidR="00151119">
        <w:rPr>
          <w:rFonts w:eastAsia="Malgun Gothic"/>
          <w:lang w:eastAsia="ko-KR"/>
        </w:rPr>
        <w:t>,</w:t>
      </w:r>
      <w:r w:rsidR="00900EE7">
        <w:rPr>
          <w:rFonts w:eastAsia="Malgun Gothic"/>
          <w:lang w:eastAsia="ko-KR"/>
        </w:rPr>
        <w:t xml:space="preserve"> </w:t>
      </w:r>
      <w:r w:rsidR="00C62B2D">
        <w:rPr>
          <w:rFonts w:eastAsia="Malgun Gothic"/>
          <w:lang w:eastAsia="ko-KR"/>
        </w:rPr>
        <w:t>our goal is to</w:t>
      </w:r>
      <w:r w:rsidR="00900EE7">
        <w:rPr>
          <w:rFonts w:eastAsia="Malgun Gothic"/>
          <w:lang w:eastAsia="ko-KR"/>
        </w:rPr>
        <w:t xml:space="preserve"> enhance the robustness and accuracy of our predicted recommendation system.</w:t>
      </w:r>
      <w:r w:rsidR="00E36B60">
        <w:rPr>
          <w:rFonts w:eastAsia="Malgun Gothic"/>
          <w:lang w:eastAsia="ko-KR"/>
        </w:rPr>
        <w:t xml:space="preserve"> Th</w:t>
      </w:r>
      <w:r w:rsidR="002944D4">
        <w:rPr>
          <w:rFonts w:eastAsia="Malgun Gothic"/>
          <w:lang w:eastAsia="ko-KR"/>
        </w:rPr>
        <w:t>e</w:t>
      </w:r>
      <w:r w:rsidR="00E36B60">
        <w:rPr>
          <w:rFonts w:eastAsia="Malgun Gothic"/>
          <w:lang w:eastAsia="ko-KR"/>
        </w:rPr>
        <w:t>s</w:t>
      </w:r>
      <w:r w:rsidR="002944D4">
        <w:rPr>
          <w:rFonts w:eastAsia="Malgun Gothic"/>
          <w:lang w:eastAsia="ko-KR"/>
        </w:rPr>
        <w:t>e</w:t>
      </w:r>
      <w:r w:rsidR="00E36B60">
        <w:rPr>
          <w:rFonts w:eastAsia="Malgun Gothic"/>
          <w:lang w:eastAsia="ko-KR"/>
        </w:rPr>
        <w:t xml:space="preserve"> advanced machine learning algorithms</w:t>
      </w:r>
      <w:r w:rsidR="002944D4">
        <w:rPr>
          <w:rFonts w:eastAsia="Malgun Gothic"/>
          <w:lang w:eastAsia="ko-KR"/>
        </w:rPr>
        <w:t xml:space="preserve"> not only enable more precise predictions of treatment outcomes but also </w:t>
      </w:r>
      <w:proofErr w:type="gramStart"/>
      <w:r w:rsidR="003728F3">
        <w:rPr>
          <w:rFonts w:eastAsia="Malgun Gothic"/>
          <w:lang w:eastAsia="ko-KR"/>
        </w:rPr>
        <w:t>conforms</w:t>
      </w:r>
      <w:proofErr w:type="gramEnd"/>
      <w:r w:rsidR="00BC22C8">
        <w:rPr>
          <w:rFonts w:eastAsia="Malgun Gothic"/>
          <w:lang w:eastAsia="ko-KR"/>
        </w:rPr>
        <w:t xml:space="preserve"> recommendations to individual patient profiles</w:t>
      </w:r>
      <w:r w:rsidR="00A05F1A">
        <w:rPr>
          <w:rFonts w:eastAsia="Malgun Gothic"/>
          <w:lang w:eastAsia="ko-KR"/>
        </w:rPr>
        <w:t xml:space="preserve">. It eventually leads to </w:t>
      </w:r>
      <w:proofErr w:type="gramStart"/>
      <w:r w:rsidR="00A05F1A">
        <w:rPr>
          <w:rFonts w:eastAsia="Malgun Gothic"/>
          <w:lang w:eastAsia="ko-KR"/>
        </w:rPr>
        <w:t>optimize</w:t>
      </w:r>
      <w:proofErr w:type="gramEnd"/>
      <w:r w:rsidR="00A05F1A">
        <w:rPr>
          <w:rFonts w:eastAsia="Malgun Gothic"/>
          <w:lang w:eastAsia="ko-KR"/>
        </w:rPr>
        <w:t xml:space="preserve"> therapeutic strategies. Ultimately, this methodology promises to substantially improve clinical outcomes by facilitating more informed, personalized treatment decisions for patients with NSCLC.</w:t>
      </w:r>
    </w:p>
    <w:p w14:paraId="705AC72F" w14:textId="77777777" w:rsidR="009F04FA" w:rsidRDefault="009F04FA" w:rsidP="0028358D">
      <w:pPr>
        <w:rPr>
          <w:rFonts w:eastAsia="Malgun Gothic"/>
          <w:lang w:eastAsia="ko-KR"/>
        </w:rPr>
      </w:pPr>
    </w:p>
    <w:p w14:paraId="152EF4DC" w14:textId="78DD386A" w:rsidR="0028358D" w:rsidRPr="0028358D" w:rsidRDefault="0028358D" w:rsidP="00FE5BF0">
      <w:pPr>
        <w:pStyle w:val="ListParagraph"/>
        <w:numPr>
          <w:ilvl w:val="0"/>
          <w:numId w:val="2"/>
        </w:numPr>
        <w:rPr>
          <w:rFonts w:eastAsia="Malgun Gothic"/>
          <w:b/>
          <w:bCs/>
          <w:lang w:eastAsia="ko-KR"/>
        </w:rPr>
      </w:pPr>
      <w:r w:rsidRPr="0028358D">
        <w:rPr>
          <w:rFonts w:eastAsia="Malgun Gothic"/>
          <w:b/>
          <w:bCs/>
          <w:lang w:eastAsia="ko-KR"/>
        </w:rPr>
        <w:t>Methodology</w:t>
      </w:r>
    </w:p>
    <w:p w14:paraId="3B5B4AF9" w14:textId="7EB5C3B5" w:rsidR="0028358D" w:rsidRPr="00424FD8" w:rsidRDefault="00424FD8" w:rsidP="0028358D">
      <w:pPr>
        <w:rPr>
          <w:rFonts w:eastAsia="Malgun Gothic"/>
          <w:b/>
          <w:bCs/>
          <w:lang w:eastAsia="ko-KR"/>
        </w:rPr>
      </w:pPr>
      <w:r w:rsidRPr="00424FD8">
        <w:rPr>
          <w:rFonts w:eastAsia="Malgun Gothic"/>
          <w:b/>
          <w:bCs/>
          <w:lang w:eastAsia="ko-KR"/>
        </w:rPr>
        <w:t>2.1 Data Description</w:t>
      </w:r>
    </w:p>
    <w:p w14:paraId="7B897E36" w14:textId="7A63C101" w:rsidR="00A43294" w:rsidRPr="005E4B44" w:rsidRDefault="00F92C5C" w:rsidP="00F92C5C">
      <w:pPr>
        <w:rPr>
          <w:rFonts w:eastAsia="Malgun Gothic"/>
          <w:lang w:eastAsia="ko-KR"/>
        </w:rPr>
      </w:pPr>
      <w:r>
        <w:rPr>
          <w:rFonts w:eastAsia="Malgun Gothic"/>
          <w:lang w:eastAsia="ko-KR"/>
        </w:rPr>
        <w:tab/>
      </w:r>
      <w:r w:rsidR="00735F01">
        <w:rPr>
          <w:rFonts w:eastAsia="Malgun Gothic" w:hint="eastAsia"/>
          <w:lang w:eastAsia="ko-KR"/>
        </w:rPr>
        <w:t xml:space="preserve">The research </w:t>
      </w:r>
      <w:r w:rsidR="0087721C">
        <w:rPr>
          <w:rFonts w:eastAsia="Malgun Gothic" w:hint="eastAsia"/>
          <w:lang w:eastAsia="ko-KR"/>
        </w:rPr>
        <w:t>to identify reliable gene signatures for lung cancer has been challenged by the heterogeneity and complexity of genomic data.</w:t>
      </w:r>
      <w:r w:rsidR="00AB2982">
        <w:rPr>
          <w:rFonts w:eastAsia="Malgun Gothic" w:hint="eastAsia"/>
          <w:lang w:eastAsia="ko-KR"/>
        </w:rPr>
        <w:t xml:space="preserve"> Traditional approaches that rely on </w:t>
      </w:r>
      <w:r w:rsidR="00AB2982">
        <w:rPr>
          <w:rFonts w:eastAsia="Malgun Gothic"/>
          <w:lang w:eastAsia="ko-KR"/>
        </w:rPr>
        <w:t>single</w:t>
      </w:r>
      <w:r w:rsidR="00AB2982">
        <w:rPr>
          <w:rFonts w:eastAsia="Malgun Gothic" w:hint="eastAsia"/>
          <w:lang w:eastAsia="ko-KR"/>
        </w:rPr>
        <w:t xml:space="preserve"> dataset</w:t>
      </w:r>
      <w:r w:rsidR="005E4B44">
        <w:rPr>
          <w:rFonts w:eastAsia="Malgun Gothic" w:hint="eastAsia"/>
          <w:lang w:eastAsia="ko-KR"/>
        </w:rPr>
        <w:t xml:space="preserve">s often fall short due to the lack of reproducibility and consistency across </w:t>
      </w:r>
      <w:r w:rsidR="005E4B44">
        <w:rPr>
          <w:rFonts w:eastAsia="Malgun Gothic"/>
          <w:lang w:eastAsia="ko-KR"/>
        </w:rPr>
        <w:t>different</w:t>
      </w:r>
      <w:r w:rsidR="005E4B44">
        <w:rPr>
          <w:rFonts w:eastAsia="Malgun Gothic" w:hint="eastAsia"/>
          <w:lang w:eastAsia="ko-KR"/>
        </w:rPr>
        <w:t xml:space="preserve"> studies.</w:t>
      </w:r>
      <w:r w:rsidR="00483A3F">
        <w:rPr>
          <w:rFonts w:eastAsia="Malgun Gothic" w:hint="eastAsia"/>
          <w:lang w:eastAsia="ko-KR"/>
        </w:rPr>
        <w:t xml:space="preserve"> To address these </w:t>
      </w:r>
      <w:r w:rsidR="009B5457">
        <w:rPr>
          <w:rFonts w:eastAsia="Malgun Gothic" w:hint="eastAsia"/>
          <w:lang w:eastAsia="ko-KR"/>
        </w:rPr>
        <w:t>issues, we have</w:t>
      </w:r>
      <w:r w:rsidR="00D35DD6">
        <w:rPr>
          <w:rFonts w:eastAsia="Malgun Gothic" w:hint="eastAsia"/>
          <w:lang w:eastAsia="ko-KR"/>
        </w:rPr>
        <w:t xml:space="preserve"> been</w:t>
      </w:r>
      <w:r w:rsidR="009B5457">
        <w:rPr>
          <w:rFonts w:eastAsia="Malgun Gothic" w:hint="eastAsia"/>
          <w:lang w:eastAsia="ko-KR"/>
        </w:rPr>
        <w:t xml:space="preserve"> implement</w:t>
      </w:r>
      <w:r w:rsidR="00D35DD6">
        <w:rPr>
          <w:rFonts w:eastAsia="Malgun Gothic" w:hint="eastAsia"/>
          <w:lang w:eastAsia="ko-KR"/>
        </w:rPr>
        <w:t>ing</w:t>
      </w:r>
      <w:r w:rsidR="009B5457">
        <w:rPr>
          <w:rFonts w:eastAsia="Malgun Gothic" w:hint="eastAsia"/>
          <w:lang w:eastAsia="ko-KR"/>
        </w:rPr>
        <w:t xml:space="preserve"> a meta-database approach in our research.</w:t>
      </w:r>
      <w:r w:rsidR="003F6012">
        <w:rPr>
          <w:rFonts w:eastAsia="Malgun Gothic" w:hint="eastAsia"/>
          <w:lang w:eastAsia="ko-KR"/>
        </w:rPr>
        <w:t xml:space="preserve"> This method aggregates and synthesizes data across multiple genomic datasets, which is crucial for overcoming the inherent variability</w:t>
      </w:r>
      <w:r w:rsidR="004A664D">
        <w:rPr>
          <w:rFonts w:eastAsia="Malgun Gothic" w:hint="eastAsia"/>
          <w:lang w:eastAsia="ko-KR"/>
        </w:rPr>
        <w:t xml:space="preserve"> and rare similarities found in individual studies. By using a meta-database, we aim to enhance the robustness </w:t>
      </w:r>
      <w:r w:rsidR="00BA5258">
        <w:rPr>
          <w:rFonts w:eastAsia="Malgun Gothic" w:hint="eastAsia"/>
          <w:lang w:eastAsia="ko-KR"/>
        </w:rPr>
        <w:t>and generalizability of our finding</w:t>
      </w:r>
      <w:r w:rsidR="001A6357">
        <w:rPr>
          <w:rFonts w:eastAsia="Malgun Gothic" w:hint="eastAsia"/>
          <w:lang w:eastAsia="ko-KR"/>
        </w:rPr>
        <w:t xml:space="preserve">s to provide a more accurate and comprehensive understanding of the specific roles that genes </w:t>
      </w:r>
      <w:r w:rsidR="00D32B88">
        <w:rPr>
          <w:rFonts w:eastAsia="Malgun Gothic" w:hint="eastAsia"/>
          <w:lang w:eastAsia="ko-KR"/>
        </w:rPr>
        <w:t>play in lung cancer pathology.</w:t>
      </w:r>
      <w:r w:rsidR="00207A74">
        <w:rPr>
          <w:rFonts w:eastAsia="Malgun Gothic" w:hint="eastAsia"/>
          <w:lang w:eastAsia="ko-KR"/>
        </w:rPr>
        <w:t xml:space="preserve"> T</w:t>
      </w:r>
      <w:r w:rsidR="00207A74">
        <w:rPr>
          <w:rFonts w:eastAsia="Malgun Gothic"/>
          <w:lang w:eastAsia="ko-KR"/>
        </w:rPr>
        <w:t>h</w:t>
      </w:r>
      <w:r w:rsidR="00207A74">
        <w:rPr>
          <w:rFonts w:eastAsia="Malgun Gothic" w:hint="eastAsia"/>
          <w:lang w:eastAsia="ko-KR"/>
        </w:rPr>
        <w:t>is approach not only addresses the challenges posed by data diversity but also significantly enriches our analytical capa</w:t>
      </w:r>
      <w:r w:rsidR="00BC0359">
        <w:rPr>
          <w:rFonts w:eastAsia="Malgun Gothic" w:hint="eastAsia"/>
          <w:lang w:eastAsia="ko-KR"/>
        </w:rPr>
        <w:t>city to discern the most consequential gene signatures</w:t>
      </w:r>
      <w:r w:rsidR="00FA7125">
        <w:rPr>
          <w:rFonts w:eastAsia="Malgun Gothic" w:hint="eastAsia"/>
          <w:lang w:eastAsia="ko-KR"/>
        </w:rPr>
        <w:t xml:space="preserve"> to facilitate more targeted and effective therapeutic interventions.</w:t>
      </w:r>
    </w:p>
    <w:p w14:paraId="0B65BD92" w14:textId="5C30A4C7" w:rsidR="00F92C5C" w:rsidRDefault="00F92C5C" w:rsidP="007303C6">
      <w:pPr>
        <w:ind w:firstLine="720"/>
        <w:rPr>
          <w:rFonts w:eastAsia="Malgun Gothic"/>
          <w:lang w:eastAsia="ko-KR"/>
        </w:rPr>
      </w:pPr>
      <w:r w:rsidRPr="00F92C5C">
        <w:rPr>
          <w:rFonts w:eastAsia="Malgun Gothic"/>
          <w:lang w:eastAsia="ko-KR"/>
        </w:rPr>
        <w:t xml:space="preserve">This </w:t>
      </w:r>
      <w:r w:rsidR="009E413A">
        <w:rPr>
          <w:rFonts w:eastAsia="Malgun Gothic" w:hint="eastAsia"/>
          <w:lang w:eastAsia="ko-KR"/>
        </w:rPr>
        <w:t xml:space="preserve">research combined </w:t>
      </w:r>
      <w:r w:rsidRPr="00F92C5C">
        <w:rPr>
          <w:rFonts w:eastAsia="Malgun Gothic"/>
          <w:lang w:eastAsia="ko-KR"/>
        </w:rPr>
        <w:t xml:space="preserve">the following two datasets that are available at </w:t>
      </w:r>
      <w:r w:rsidR="009E413A">
        <w:rPr>
          <w:rFonts w:eastAsia="Malgun Gothic" w:hint="eastAsia"/>
          <w:lang w:eastAsia="ko-KR"/>
        </w:rPr>
        <w:t>NCBI</w:t>
      </w:r>
      <w:r w:rsidRPr="00F92C5C">
        <w:rPr>
          <w:rFonts w:eastAsia="Malgun Gothic"/>
          <w:lang w:eastAsia="ko-KR"/>
        </w:rPr>
        <w:t xml:space="preserve"> G</w:t>
      </w:r>
      <w:r w:rsidR="009E413A">
        <w:rPr>
          <w:rFonts w:eastAsia="Malgun Gothic" w:hint="eastAsia"/>
          <w:lang w:eastAsia="ko-KR"/>
        </w:rPr>
        <w:t>EO data repository.</w:t>
      </w:r>
      <w:r w:rsidR="00B705DB">
        <w:rPr>
          <w:rFonts w:eastAsia="Malgun Gothic" w:hint="eastAsia"/>
          <w:lang w:eastAsia="ko-KR"/>
        </w:rPr>
        <w:t xml:space="preserve"> </w:t>
      </w:r>
      <w:proofErr w:type="gramStart"/>
      <w:r w:rsidR="00B705DB">
        <w:rPr>
          <w:rFonts w:eastAsia="Malgun Gothic" w:hint="eastAsia"/>
          <w:lang w:eastAsia="ko-KR"/>
        </w:rPr>
        <w:t>First</w:t>
      </w:r>
      <w:proofErr w:type="gramEnd"/>
      <w:r w:rsidR="00B705DB">
        <w:rPr>
          <w:rFonts w:eastAsia="Malgun Gothic" w:hint="eastAsia"/>
          <w:lang w:eastAsia="ko-KR"/>
        </w:rPr>
        <w:t xml:space="preserve"> dataset </w:t>
      </w:r>
      <w:r w:rsidRPr="00F92C5C">
        <w:rPr>
          <w:rFonts w:eastAsia="Malgun Gothic"/>
          <w:lang w:eastAsia="ko-KR"/>
        </w:rPr>
        <w:t>GSE37745 (Botling et al.</w:t>
      </w:r>
      <w:r w:rsidR="007417FE">
        <w:rPr>
          <w:rFonts w:eastAsia="Malgun Gothic" w:hint="eastAsia"/>
          <w:lang w:eastAsia="ko-KR"/>
        </w:rPr>
        <w:t>,</w:t>
      </w:r>
      <w:r w:rsidRPr="00F92C5C">
        <w:rPr>
          <w:rFonts w:eastAsia="Malgun Gothic"/>
          <w:lang w:eastAsia="ko-KR"/>
        </w:rPr>
        <w:t xml:space="preserve"> 2012)</w:t>
      </w:r>
      <w:r w:rsidR="007417FE">
        <w:rPr>
          <w:rFonts w:eastAsia="Malgun Gothic" w:hint="eastAsia"/>
          <w:lang w:eastAsia="ko-KR"/>
        </w:rPr>
        <w:t xml:space="preserve"> contains gene expression data </w:t>
      </w:r>
      <w:r w:rsidR="006C7150">
        <w:rPr>
          <w:rFonts w:eastAsia="Malgun Gothic" w:hint="eastAsia"/>
          <w:lang w:eastAsia="ko-KR"/>
        </w:rPr>
        <w:t>for lung cancer patients</w:t>
      </w:r>
      <w:r w:rsidRPr="00F92C5C">
        <w:rPr>
          <w:rFonts w:eastAsia="Malgun Gothic"/>
          <w:lang w:eastAsia="ko-KR"/>
        </w:rPr>
        <w:t xml:space="preserve"> </w:t>
      </w:r>
      <w:r w:rsidR="006C7150">
        <w:rPr>
          <w:rFonts w:eastAsia="Malgun Gothic" w:hint="eastAsia"/>
          <w:lang w:eastAsia="ko-KR"/>
        </w:rPr>
        <w:t>f</w:t>
      </w:r>
      <w:r w:rsidRPr="00F92C5C">
        <w:rPr>
          <w:rFonts w:eastAsia="Malgun Gothic"/>
          <w:lang w:eastAsia="ko-KR"/>
        </w:rPr>
        <w:t>rom 1995 to 2005</w:t>
      </w:r>
      <w:r w:rsidR="006C7150">
        <w:rPr>
          <w:rFonts w:eastAsia="Malgun Gothic" w:hint="eastAsia"/>
          <w:lang w:eastAsia="ko-KR"/>
        </w:rPr>
        <w:t xml:space="preserve">. </w:t>
      </w:r>
      <w:r w:rsidR="00385A15">
        <w:rPr>
          <w:rFonts w:eastAsia="Malgun Gothic" w:hint="eastAsia"/>
          <w:lang w:eastAsia="ko-KR"/>
        </w:rPr>
        <w:t xml:space="preserve">This study focused on analyzing tissue samples from 196 patients with </w:t>
      </w:r>
      <w:r w:rsidR="00523876">
        <w:rPr>
          <w:rFonts w:eastAsia="Malgun Gothic" w:hint="eastAsia"/>
          <w:lang w:eastAsia="ko-KR"/>
        </w:rPr>
        <w:t>NSCLC</w:t>
      </w:r>
      <w:r w:rsidR="000F486E">
        <w:rPr>
          <w:rFonts w:eastAsia="Malgun Gothic" w:hint="eastAsia"/>
          <w:lang w:eastAsia="ko-KR"/>
        </w:rPr>
        <w:t xml:space="preserve"> to identify gene expression differences that could be linked to various clinical outcomes and characteristics of the disease.</w:t>
      </w:r>
      <w:r w:rsidR="00F7693B">
        <w:rPr>
          <w:rFonts w:eastAsia="Malgun Gothic" w:hint="eastAsia"/>
          <w:lang w:eastAsia="ko-KR"/>
        </w:rPr>
        <w:t xml:space="preserve"> The dataset includes their tissue samples</w:t>
      </w:r>
      <w:r w:rsidR="00847570">
        <w:rPr>
          <w:rFonts w:eastAsia="Malgun Gothic" w:hint="eastAsia"/>
          <w:lang w:eastAsia="ko-KR"/>
        </w:rPr>
        <w:t xml:space="preserve"> from both tumor and non-tumor</w:t>
      </w:r>
      <w:r w:rsidR="00DC6997">
        <w:rPr>
          <w:rFonts w:eastAsia="Malgun Gothic" w:hint="eastAsia"/>
          <w:lang w:eastAsia="ko-KR"/>
        </w:rPr>
        <w:t xml:space="preserve"> using </w:t>
      </w:r>
      <w:r w:rsidR="00380A2F" w:rsidRPr="00380A2F">
        <w:rPr>
          <w:rFonts w:eastAsia="Malgun Gothic"/>
          <w:lang w:eastAsia="ko-KR"/>
        </w:rPr>
        <w:t>Affymetrix Human Genome U133 Plus 2.0 Array</w:t>
      </w:r>
      <w:r w:rsidR="00647BA2">
        <w:rPr>
          <w:rFonts w:eastAsia="Malgun Gothic" w:hint="eastAsia"/>
          <w:lang w:eastAsia="ko-KR"/>
        </w:rPr>
        <w:t xml:space="preserve"> for </w:t>
      </w:r>
      <w:r w:rsidR="00647BA2">
        <w:rPr>
          <w:rFonts w:eastAsia="Malgun Gothic"/>
          <w:lang w:eastAsia="ko-KR"/>
        </w:rPr>
        <w:t>comparative</w:t>
      </w:r>
      <w:r w:rsidR="00647BA2">
        <w:rPr>
          <w:rFonts w:eastAsia="Malgun Gothic" w:hint="eastAsia"/>
          <w:lang w:eastAsia="ko-KR"/>
        </w:rPr>
        <w:t xml:space="preserve"> studies</w:t>
      </w:r>
      <w:r w:rsidR="006C3FCE">
        <w:rPr>
          <w:rFonts w:eastAsia="Malgun Gothic" w:hint="eastAsia"/>
          <w:lang w:eastAsia="ko-KR"/>
        </w:rPr>
        <w:t xml:space="preserve"> to understand cancer-</w:t>
      </w:r>
      <w:r w:rsidR="006C3FCE">
        <w:rPr>
          <w:rFonts w:eastAsia="Malgun Gothic" w:hint="eastAsia"/>
          <w:lang w:eastAsia="ko-KR"/>
        </w:rPr>
        <w:lastRenderedPageBreak/>
        <w:t>specific genetic expressions better.</w:t>
      </w:r>
      <w:r w:rsidR="00C44A12">
        <w:rPr>
          <w:rFonts w:eastAsia="Malgun Gothic" w:hint="eastAsia"/>
          <w:lang w:eastAsia="ko-KR"/>
        </w:rPr>
        <w:t xml:space="preserve"> </w:t>
      </w:r>
      <w:r w:rsidR="00B76336">
        <w:rPr>
          <w:rFonts w:eastAsia="Malgun Gothic" w:hint="eastAsia"/>
          <w:lang w:eastAsia="ko-KR"/>
        </w:rPr>
        <w:t>The dataset also includes</w:t>
      </w:r>
      <w:r w:rsidR="008B5EBD">
        <w:rPr>
          <w:rFonts w:eastAsia="Malgun Gothic" w:hint="eastAsia"/>
          <w:lang w:eastAsia="ko-KR"/>
        </w:rPr>
        <w:t xml:space="preserve"> </w:t>
      </w:r>
      <w:r w:rsidRPr="00F92C5C">
        <w:rPr>
          <w:rFonts w:eastAsia="Malgun Gothic"/>
          <w:lang w:eastAsia="ko-KR"/>
        </w:rPr>
        <w:t xml:space="preserve">clinical data obtained from the area lung cancer registry. Patients had long-term follow-ups, which allowed clinicians to acquire additional data for the data set. In total, 71 patients had OBS, and 29 patients had ACT. The therapy received by the other 96 patients is unknown. As a result, only 100 patients with treatment information were used </w:t>
      </w:r>
      <w:r w:rsidR="004253F2">
        <w:rPr>
          <w:rFonts w:eastAsia="Malgun Gothic" w:hint="eastAsia"/>
          <w:lang w:eastAsia="ko-KR"/>
        </w:rPr>
        <w:t>in this research</w:t>
      </w:r>
      <w:r w:rsidRPr="00F92C5C">
        <w:rPr>
          <w:rFonts w:eastAsia="Malgun Gothic"/>
          <w:lang w:eastAsia="ko-KR"/>
        </w:rPr>
        <w:t>.</w:t>
      </w:r>
      <w:r w:rsidR="00AE7254">
        <w:rPr>
          <w:rFonts w:eastAsia="Malgun Gothic" w:hint="eastAsia"/>
          <w:lang w:eastAsia="ko-KR"/>
        </w:rPr>
        <w:t xml:space="preserve"> </w:t>
      </w:r>
      <w:r w:rsidRPr="00F92C5C">
        <w:rPr>
          <w:rFonts w:eastAsia="Malgun Gothic"/>
          <w:lang w:eastAsia="ko-KR"/>
        </w:rPr>
        <w:t xml:space="preserve"> </w:t>
      </w:r>
    </w:p>
    <w:p w14:paraId="06F7FD17" w14:textId="09297178" w:rsidR="00497213" w:rsidRPr="00EC34C8" w:rsidRDefault="00314FD0" w:rsidP="007303C6">
      <w:pPr>
        <w:ind w:firstLine="720"/>
        <w:rPr>
          <w:rFonts w:eastAsia="Malgun Gothic"/>
          <w:lang w:eastAsia="ko-KR"/>
        </w:rPr>
      </w:pPr>
      <w:r>
        <w:rPr>
          <w:rFonts w:eastAsia="Malgun Gothic" w:hint="eastAsia"/>
          <w:lang w:eastAsia="ko-KR"/>
        </w:rPr>
        <w:t>The dataset, GSE29013 (Xie et al., 2011), details the gene expression profiles derived from 55 patients.</w:t>
      </w:r>
      <w:r w:rsidR="00856372">
        <w:rPr>
          <w:rFonts w:eastAsia="Malgun Gothic" w:hint="eastAsia"/>
          <w:lang w:eastAsia="ko-KR"/>
        </w:rPr>
        <w:t xml:space="preserve"> </w:t>
      </w:r>
      <w:r w:rsidR="0009622C">
        <w:rPr>
          <w:rFonts w:eastAsia="Malgun Gothic" w:hint="eastAsia"/>
          <w:lang w:eastAsia="ko-KR"/>
        </w:rPr>
        <w:t xml:space="preserve">The prepared samples were analyzed </w:t>
      </w:r>
      <w:r w:rsidR="00E74195">
        <w:rPr>
          <w:rFonts w:eastAsia="Malgun Gothic" w:hint="eastAsia"/>
          <w:lang w:eastAsia="ko-KR"/>
        </w:rPr>
        <w:t xml:space="preserve">using the sophisticated Affymetrix U133 Plus 2.0 arrays, which are renowned for their comprehensive gene coverage and sensitivity. </w:t>
      </w:r>
      <w:r w:rsidR="00B541DD">
        <w:rPr>
          <w:rFonts w:eastAsia="Malgun Gothic" w:hint="eastAsia"/>
          <w:lang w:eastAsia="ko-KR"/>
        </w:rPr>
        <w:t>The study cohort comprised two distinct treatment groups</w:t>
      </w:r>
      <w:r w:rsidR="00210733">
        <w:rPr>
          <w:rFonts w:eastAsia="Malgun Gothic" w:hint="eastAsia"/>
          <w:lang w:eastAsia="ko-KR"/>
        </w:rPr>
        <w:t>: 21 of the patients received OBS treatment, t</w:t>
      </w:r>
      <w:r w:rsidR="00342631">
        <w:rPr>
          <w:rFonts w:eastAsia="Malgun Gothic" w:hint="eastAsia"/>
          <w:lang w:eastAsia="ko-KR"/>
        </w:rPr>
        <w:t>ypically involving regular monitoring without active intervention, while the remaining 34</w:t>
      </w:r>
      <w:r w:rsidR="0012579E">
        <w:rPr>
          <w:rFonts w:eastAsia="Malgun Gothic" w:hint="eastAsia"/>
          <w:lang w:eastAsia="ko-KR"/>
        </w:rPr>
        <w:t xml:space="preserve"> patients were </w:t>
      </w:r>
      <w:r w:rsidR="0012579E">
        <w:rPr>
          <w:rFonts w:eastAsia="Malgun Gothic"/>
          <w:lang w:eastAsia="ko-KR"/>
        </w:rPr>
        <w:t>administered</w:t>
      </w:r>
      <w:r w:rsidR="0012579E">
        <w:rPr>
          <w:rFonts w:eastAsia="Malgun Gothic" w:hint="eastAsia"/>
          <w:lang w:eastAsia="ko-KR"/>
        </w:rPr>
        <w:t xml:space="preserve"> ACT. This division allowed the researchers to compare gene expression differences and potential biomarkers associated with treatment respons</w:t>
      </w:r>
      <w:r w:rsidR="00B454D2">
        <w:rPr>
          <w:rFonts w:eastAsia="Malgun Gothic" w:hint="eastAsia"/>
          <w:lang w:eastAsia="ko-KR"/>
        </w:rPr>
        <w:t>e.</w:t>
      </w:r>
    </w:p>
    <w:p w14:paraId="1A815D56" w14:textId="77777777" w:rsidR="00375B48" w:rsidRDefault="00375B48">
      <w:pPr>
        <w:rPr>
          <w:rFonts w:eastAsia="Malgun Gothic"/>
          <w:lang w:eastAsia="ko-KR"/>
        </w:rPr>
      </w:pPr>
    </w:p>
    <w:p w14:paraId="1F357529" w14:textId="3016C285" w:rsidR="00375B48" w:rsidRPr="00424FD8" w:rsidRDefault="00375B48" w:rsidP="00375B48">
      <w:pPr>
        <w:rPr>
          <w:rFonts w:eastAsia="Malgun Gothic"/>
          <w:b/>
          <w:bCs/>
          <w:lang w:eastAsia="ko-KR"/>
        </w:rPr>
      </w:pPr>
      <w:r w:rsidRPr="00424FD8">
        <w:rPr>
          <w:rFonts w:eastAsia="Malgun Gothic"/>
          <w:b/>
          <w:bCs/>
          <w:lang w:eastAsia="ko-KR"/>
        </w:rPr>
        <w:t>2.</w:t>
      </w:r>
      <w:r>
        <w:rPr>
          <w:rFonts w:eastAsia="Malgun Gothic" w:hint="eastAsia"/>
          <w:b/>
          <w:bCs/>
          <w:lang w:eastAsia="ko-KR"/>
        </w:rPr>
        <w:t>2</w:t>
      </w:r>
      <w:r w:rsidRPr="00424FD8">
        <w:rPr>
          <w:rFonts w:eastAsia="Malgun Gothic"/>
          <w:b/>
          <w:bCs/>
          <w:lang w:eastAsia="ko-KR"/>
        </w:rPr>
        <w:t xml:space="preserve"> </w:t>
      </w:r>
      <w:r>
        <w:rPr>
          <w:rFonts w:eastAsia="Malgun Gothic" w:hint="eastAsia"/>
          <w:b/>
          <w:bCs/>
          <w:lang w:eastAsia="ko-KR"/>
        </w:rPr>
        <w:t>Model Design</w:t>
      </w:r>
    </w:p>
    <w:p w14:paraId="7B0F90DD" w14:textId="46587BF9" w:rsidR="00375B48" w:rsidRDefault="007303C6">
      <w:pPr>
        <w:rPr>
          <w:rFonts w:eastAsia="Malgun Gothic"/>
          <w:lang w:eastAsia="ko-KR"/>
        </w:rPr>
      </w:pPr>
      <w:r>
        <w:rPr>
          <w:rFonts w:eastAsia="Malgun Gothic"/>
          <w:lang w:eastAsia="ko-KR"/>
        </w:rPr>
        <w:tab/>
      </w:r>
      <w:r w:rsidR="00D671CC">
        <w:rPr>
          <w:rFonts w:eastAsia="Malgun Gothic" w:hint="eastAsia"/>
          <w:lang w:eastAsia="ko-KR"/>
        </w:rPr>
        <w:t xml:space="preserve">The datasets </w:t>
      </w:r>
      <w:r w:rsidR="001C7DC6">
        <w:rPr>
          <w:rFonts w:eastAsia="Malgun Gothic"/>
          <w:lang w:eastAsia="ko-KR"/>
        </w:rPr>
        <w:t xml:space="preserve">with 155 patients </w:t>
      </w:r>
      <w:r w:rsidR="00D671CC">
        <w:rPr>
          <w:rFonts w:eastAsia="Malgun Gothic" w:hint="eastAsia"/>
          <w:lang w:eastAsia="ko-KR"/>
        </w:rPr>
        <w:t>were split into training and test</w:t>
      </w:r>
      <w:r w:rsidR="00EF349B">
        <w:rPr>
          <w:rFonts w:eastAsia="Malgun Gothic" w:hint="eastAsia"/>
          <w:lang w:eastAsia="ko-KR"/>
        </w:rPr>
        <w:t>ing</w:t>
      </w:r>
      <w:r w:rsidR="00D671CC">
        <w:rPr>
          <w:rFonts w:eastAsia="Malgun Gothic" w:hint="eastAsia"/>
          <w:lang w:eastAsia="ko-KR"/>
        </w:rPr>
        <w:t xml:space="preserve"> sets, with 80%</w:t>
      </w:r>
      <w:r w:rsidR="0007625B">
        <w:rPr>
          <w:rFonts w:eastAsia="Malgun Gothic" w:hint="eastAsia"/>
          <w:lang w:eastAsia="ko-KR"/>
        </w:rPr>
        <w:t xml:space="preserve"> of the data used for training and the remaining 20% for test set.</w:t>
      </w:r>
      <w:r w:rsidR="00EE6B96">
        <w:rPr>
          <w:rFonts w:eastAsia="Malgun Gothic" w:hint="eastAsia"/>
          <w:lang w:eastAsia="ko-KR"/>
        </w:rPr>
        <w:t xml:space="preserve"> Specifically, for GSE29013</w:t>
      </w:r>
      <w:r w:rsidR="006C25C5">
        <w:rPr>
          <w:rFonts w:eastAsia="Malgun Gothic" w:hint="eastAsia"/>
          <w:lang w:eastAsia="ko-KR"/>
        </w:rPr>
        <w:t>, the training set consisted of 44 patients and the test set included 11 patients. For GSE37745, the numbers were 80 patients for training and 20 for test</w:t>
      </w:r>
      <w:r w:rsidR="00215333">
        <w:rPr>
          <w:rFonts w:eastAsia="Malgun Gothic" w:hint="eastAsia"/>
          <w:lang w:eastAsia="ko-KR"/>
        </w:rPr>
        <w:t xml:space="preserve"> set. Compositionally, GSE29013 included 34 patients who received ACT and 21 who were OBS. GSE37745 had a different distribution with 29 ACT patients and 71 OBS patients.</w:t>
      </w:r>
      <w:r w:rsidR="00EF349B">
        <w:rPr>
          <w:rFonts w:eastAsia="Malgun Gothic" w:hint="eastAsia"/>
          <w:lang w:eastAsia="ko-KR"/>
        </w:rPr>
        <w:t xml:space="preserve"> </w:t>
      </w:r>
      <w:r w:rsidR="00EE6B60">
        <w:rPr>
          <w:rFonts w:eastAsia="Malgun Gothic"/>
          <w:lang w:eastAsia="ko-KR"/>
        </w:rPr>
        <w:t>Table</w:t>
      </w:r>
      <w:r w:rsidR="00EF349B">
        <w:rPr>
          <w:rFonts w:eastAsia="Malgun Gothic" w:hint="eastAsia"/>
          <w:lang w:eastAsia="ko-KR"/>
        </w:rPr>
        <w:t xml:space="preserve"> 1 </w:t>
      </w:r>
      <w:r w:rsidR="00FE5195">
        <w:rPr>
          <w:rFonts w:eastAsia="Malgun Gothic" w:hint="eastAsia"/>
          <w:lang w:eastAsia="ko-KR"/>
        </w:rPr>
        <w:t>presents a summary of the</w:t>
      </w:r>
      <w:r w:rsidR="00EF349B">
        <w:rPr>
          <w:rFonts w:eastAsia="Malgun Gothic" w:hint="eastAsia"/>
          <w:lang w:eastAsia="ko-KR"/>
        </w:rPr>
        <w:t xml:space="preserve"> </w:t>
      </w:r>
      <w:r w:rsidR="007C4660">
        <w:rPr>
          <w:rFonts w:eastAsia="Malgun Gothic" w:hint="eastAsia"/>
          <w:lang w:eastAsia="ko-KR"/>
        </w:rPr>
        <w:t xml:space="preserve">patient demographics </w:t>
      </w:r>
      <w:r w:rsidR="00FE5195">
        <w:rPr>
          <w:rFonts w:eastAsia="Malgun Gothic" w:hint="eastAsia"/>
          <w:lang w:eastAsia="ko-KR"/>
        </w:rPr>
        <w:t>from the</w:t>
      </w:r>
      <w:r w:rsidR="007C4660">
        <w:rPr>
          <w:rFonts w:eastAsia="Malgun Gothic" w:hint="eastAsia"/>
          <w:lang w:eastAsia="ko-KR"/>
        </w:rPr>
        <w:t xml:space="preserve"> combined </w:t>
      </w:r>
      <w:r w:rsidR="00FE5195">
        <w:rPr>
          <w:rFonts w:eastAsia="Malgun Gothic" w:hint="eastAsia"/>
          <w:lang w:eastAsia="ko-KR"/>
        </w:rPr>
        <w:t xml:space="preserve">datasets </w:t>
      </w:r>
      <w:r w:rsidR="00691078">
        <w:rPr>
          <w:rFonts w:eastAsia="Malgun Gothic" w:hint="eastAsia"/>
          <w:lang w:eastAsia="ko-KR"/>
        </w:rPr>
        <w:t xml:space="preserve">(GSE37745 </w:t>
      </w:r>
      <w:r w:rsidR="00FE5195">
        <w:rPr>
          <w:rFonts w:eastAsia="Malgun Gothic" w:hint="eastAsia"/>
          <w:lang w:eastAsia="ko-KR"/>
        </w:rPr>
        <w:t>and</w:t>
      </w:r>
      <w:r w:rsidR="00691078">
        <w:rPr>
          <w:rFonts w:eastAsia="Malgun Gothic" w:hint="eastAsia"/>
          <w:lang w:eastAsia="ko-KR"/>
        </w:rPr>
        <w:t xml:space="preserve"> GSE29013)</w:t>
      </w:r>
      <w:r w:rsidR="00FE5195">
        <w:rPr>
          <w:rFonts w:eastAsia="Malgun Gothic" w:hint="eastAsia"/>
          <w:lang w:eastAsia="ko-KR"/>
        </w:rPr>
        <w:t xml:space="preserve"> for both</w:t>
      </w:r>
      <w:r w:rsidR="00D2065F">
        <w:rPr>
          <w:rFonts w:eastAsia="Malgun Gothic" w:hint="eastAsia"/>
          <w:lang w:eastAsia="ko-KR"/>
        </w:rPr>
        <w:t xml:space="preserve"> the</w:t>
      </w:r>
      <w:r w:rsidR="00691078">
        <w:rPr>
          <w:rFonts w:eastAsia="Malgun Gothic" w:hint="eastAsia"/>
          <w:lang w:eastAsia="ko-KR"/>
        </w:rPr>
        <w:t xml:space="preserve"> learning and test data sets.</w:t>
      </w:r>
    </w:p>
    <w:tbl>
      <w:tblPr>
        <w:tblStyle w:val="TableGrid"/>
        <w:tblW w:w="4311" w:type="pct"/>
        <w:jc w:val="center"/>
        <w:tblLook w:val="04A0" w:firstRow="1" w:lastRow="0" w:firstColumn="1" w:lastColumn="0" w:noHBand="0" w:noVBand="1"/>
      </w:tblPr>
      <w:tblGrid>
        <w:gridCol w:w="3302"/>
        <w:gridCol w:w="2457"/>
        <w:gridCol w:w="2303"/>
      </w:tblGrid>
      <w:tr w:rsidR="005B483F" w:rsidRPr="006F3F43" w14:paraId="56AC7C33" w14:textId="77777777" w:rsidTr="00176E88">
        <w:trPr>
          <w:trHeight w:val="288"/>
          <w:jc w:val="center"/>
        </w:trPr>
        <w:tc>
          <w:tcPr>
            <w:tcW w:w="5000" w:type="pct"/>
            <w:gridSpan w:val="3"/>
            <w:vAlign w:val="center"/>
          </w:tcPr>
          <w:p w14:paraId="1D90CA45" w14:textId="77777777" w:rsidR="005B483F" w:rsidRPr="0013481A" w:rsidRDefault="005B483F" w:rsidP="00176E88">
            <w:pPr>
              <w:rPr>
                <w:color w:val="000000" w:themeColor="text1"/>
              </w:rPr>
            </w:pPr>
            <w:r w:rsidRPr="00D2065F">
              <w:rPr>
                <w:b/>
                <w:bCs/>
                <w:color w:val="000000" w:themeColor="text1"/>
              </w:rPr>
              <w:t>TABLE 1.</w:t>
            </w:r>
            <w:r w:rsidRPr="00D2065F">
              <w:rPr>
                <w:color w:val="000000" w:themeColor="text1"/>
              </w:rPr>
              <w:t xml:space="preserve"> Demographics of Combined Learning and Testing Data Sets</w:t>
            </w:r>
          </w:p>
        </w:tc>
      </w:tr>
      <w:tr w:rsidR="005B483F" w:rsidRPr="006F3F43" w14:paraId="0AF4AD4D" w14:textId="77777777" w:rsidTr="00176E88">
        <w:trPr>
          <w:trHeight w:val="288"/>
          <w:jc w:val="center"/>
        </w:trPr>
        <w:tc>
          <w:tcPr>
            <w:tcW w:w="2048" w:type="pct"/>
            <w:vAlign w:val="center"/>
          </w:tcPr>
          <w:p w14:paraId="3225A724" w14:textId="77777777" w:rsidR="005B483F" w:rsidRPr="006F3F43" w:rsidRDefault="005B483F" w:rsidP="00176E88">
            <w:pPr>
              <w:rPr>
                <w:color w:val="FF0000"/>
              </w:rPr>
            </w:pPr>
          </w:p>
        </w:tc>
        <w:tc>
          <w:tcPr>
            <w:tcW w:w="1524" w:type="pct"/>
            <w:vMerge w:val="restart"/>
            <w:vAlign w:val="center"/>
          </w:tcPr>
          <w:p w14:paraId="6989D828" w14:textId="77777777" w:rsidR="005B483F" w:rsidRPr="0013481A" w:rsidRDefault="005B483F" w:rsidP="00176E88">
            <w:pPr>
              <w:jc w:val="center"/>
              <w:rPr>
                <w:color w:val="000000" w:themeColor="text1"/>
              </w:rPr>
            </w:pPr>
            <w:r w:rsidRPr="0013481A">
              <w:rPr>
                <w:color w:val="000000" w:themeColor="text1"/>
              </w:rPr>
              <w:t>Learning Set (n = 124)</w:t>
            </w:r>
          </w:p>
        </w:tc>
        <w:tc>
          <w:tcPr>
            <w:tcW w:w="1426" w:type="pct"/>
            <w:vMerge w:val="restart"/>
            <w:vAlign w:val="center"/>
          </w:tcPr>
          <w:p w14:paraId="68366CB1" w14:textId="77777777" w:rsidR="005B483F" w:rsidRPr="0013481A" w:rsidRDefault="005B483F" w:rsidP="00176E88">
            <w:pPr>
              <w:jc w:val="center"/>
              <w:rPr>
                <w:color w:val="000000" w:themeColor="text1"/>
              </w:rPr>
            </w:pPr>
            <w:r w:rsidRPr="0013481A">
              <w:rPr>
                <w:color w:val="000000" w:themeColor="text1"/>
              </w:rPr>
              <w:t>Testing Set</w:t>
            </w:r>
            <w:r>
              <w:rPr>
                <w:rFonts w:eastAsia="Malgun Gothic" w:hint="eastAsia"/>
                <w:color w:val="000000" w:themeColor="text1"/>
                <w:lang w:eastAsia="ko-KR"/>
              </w:rPr>
              <w:t xml:space="preserve"> </w:t>
            </w:r>
            <w:r w:rsidRPr="0013481A">
              <w:rPr>
                <w:color w:val="000000" w:themeColor="text1"/>
              </w:rPr>
              <w:t>(n = 31)</w:t>
            </w:r>
          </w:p>
        </w:tc>
      </w:tr>
      <w:tr w:rsidR="005B483F" w:rsidRPr="006F3F43" w14:paraId="613AEB96" w14:textId="77777777" w:rsidTr="00176E88">
        <w:trPr>
          <w:trHeight w:val="288"/>
          <w:jc w:val="center"/>
        </w:trPr>
        <w:tc>
          <w:tcPr>
            <w:tcW w:w="2048" w:type="pct"/>
            <w:tcBorders>
              <w:bottom w:val="single" w:sz="4" w:space="0" w:color="auto"/>
            </w:tcBorders>
            <w:vAlign w:val="center"/>
          </w:tcPr>
          <w:p w14:paraId="67A92522" w14:textId="77777777" w:rsidR="005B483F" w:rsidRPr="0013481A" w:rsidRDefault="005B483F" w:rsidP="00176E88">
            <w:pPr>
              <w:rPr>
                <w:b/>
                <w:bCs/>
                <w:color w:val="000000" w:themeColor="text1"/>
              </w:rPr>
            </w:pPr>
            <w:r w:rsidRPr="0013481A">
              <w:rPr>
                <w:b/>
                <w:bCs/>
                <w:color w:val="000000" w:themeColor="text1"/>
              </w:rPr>
              <w:t>Treatment Received</w:t>
            </w:r>
          </w:p>
        </w:tc>
        <w:tc>
          <w:tcPr>
            <w:tcW w:w="1524" w:type="pct"/>
            <w:vMerge/>
            <w:tcBorders>
              <w:bottom w:val="single" w:sz="4" w:space="0" w:color="auto"/>
            </w:tcBorders>
            <w:vAlign w:val="center"/>
          </w:tcPr>
          <w:p w14:paraId="5F02721A" w14:textId="77777777" w:rsidR="005B483F" w:rsidRPr="006F3F43" w:rsidRDefault="005B483F" w:rsidP="00176E88">
            <w:pPr>
              <w:jc w:val="center"/>
              <w:rPr>
                <w:b/>
                <w:bCs/>
                <w:color w:val="FF0000"/>
              </w:rPr>
            </w:pPr>
          </w:p>
        </w:tc>
        <w:tc>
          <w:tcPr>
            <w:tcW w:w="1426" w:type="pct"/>
            <w:vMerge/>
            <w:tcBorders>
              <w:bottom w:val="single" w:sz="4" w:space="0" w:color="auto"/>
            </w:tcBorders>
            <w:vAlign w:val="center"/>
          </w:tcPr>
          <w:p w14:paraId="7BE026BC" w14:textId="77777777" w:rsidR="005B483F" w:rsidRPr="006F3F43" w:rsidRDefault="005B483F" w:rsidP="00176E88">
            <w:pPr>
              <w:jc w:val="center"/>
              <w:rPr>
                <w:b/>
                <w:bCs/>
                <w:color w:val="FF0000"/>
              </w:rPr>
            </w:pPr>
          </w:p>
        </w:tc>
      </w:tr>
      <w:tr w:rsidR="005B483F" w:rsidRPr="006F3F43" w14:paraId="253CE6C5" w14:textId="77777777" w:rsidTr="00176E88">
        <w:trPr>
          <w:trHeight w:val="288"/>
          <w:jc w:val="center"/>
        </w:trPr>
        <w:tc>
          <w:tcPr>
            <w:tcW w:w="2048" w:type="pct"/>
            <w:tcBorders>
              <w:top w:val="single" w:sz="4" w:space="0" w:color="auto"/>
              <w:left w:val="single" w:sz="4" w:space="0" w:color="auto"/>
              <w:right w:val="single" w:sz="4" w:space="0" w:color="auto"/>
            </w:tcBorders>
            <w:vAlign w:val="center"/>
          </w:tcPr>
          <w:p w14:paraId="2C6CCBE9" w14:textId="77777777" w:rsidR="005B483F" w:rsidRPr="0013481A" w:rsidRDefault="005B483F" w:rsidP="00176E88">
            <w:pPr>
              <w:rPr>
                <w:color w:val="000000" w:themeColor="text1"/>
              </w:rPr>
            </w:pPr>
            <w:r w:rsidRPr="0013481A">
              <w:rPr>
                <w:color w:val="000000" w:themeColor="text1"/>
              </w:rPr>
              <w:t>Adjuvant Chemotherapy (ACT)</w:t>
            </w:r>
          </w:p>
        </w:tc>
        <w:tc>
          <w:tcPr>
            <w:tcW w:w="1524" w:type="pct"/>
            <w:tcBorders>
              <w:top w:val="single" w:sz="4" w:space="0" w:color="auto"/>
              <w:left w:val="single" w:sz="4" w:space="0" w:color="auto"/>
              <w:right w:val="single" w:sz="4" w:space="0" w:color="auto"/>
            </w:tcBorders>
            <w:vAlign w:val="center"/>
          </w:tcPr>
          <w:p w14:paraId="64D76B21" w14:textId="77777777" w:rsidR="005B483F" w:rsidRPr="0013481A" w:rsidRDefault="005B483F" w:rsidP="00176E88">
            <w:pPr>
              <w:jc w:val="center"/>
              <w:rPr>
                <w:color w:val="000000" w:themeColor="text1"/>
              </w:rPr>
            </w:pPr>
            <w:r w:rsidRPr="0013481A">
              <w:rPr>
                <w:color w:val="000000" w:themeColor="text1"/>
              </w:rPr>
              <w:t>50</w:t>
            </w:r>
          </w:p>
        </w:tc>
        <w:tc>
          <w:tcPr>
            <w:tcW w:w="1426" w:type="pct"/>
            <w:tcBorders>
              <w:top w:val="single" w:sz="4" w:space="0" w:color="auto"/>
              <w:left w:val="single" w:sz="4" w:space="0" w:color="auto"/>
              <w:right w:val="single" w:sz="4" w:space="0" w:color="auto"/>
            </w:tcBorders>
            <w:vAlign w:val="center"/>
          </w:tcPr>
          <w:p w14:paraId="3735C7C0" w14:textId="77777777" w:rsidR="005B483F" w:rsidRPr="0025574A" w:rsidRDefault="005B483F" w:rsidP="00176E88">
            <w:pPr>
              <w:jc w:val="center"/>
              <w:rPr>
                <w:color w:val="000000" w:themeColor="text1"/>
              </w:rPr>
            </w:pPr>
            <w:r w:rsidRPr="0025574A">
              <w:rPr>
                <w:color w:val="000000" w:themeColor="text1"/>
              </w:rPr>
              <w:t>13</w:t>
            </w:r>
          </w:p>
        </w:tc>
      </w:tr>
      <w:tr w:rsidR="005B483F" w:rsidRPr="006F3F43" w14:paraId="7DC7AD27" w14:textId="77777777" w:rsidTr="00176E88">
        <w:trPr>
          <w:trHeight w:val="288"/>
          <w:jc w:val="center"/>
        </w:trPr>
        <w:tc>
          <w:tcPr>
            <w:tcW w:w="2048" w:type="pct"/>
            <w:tcBorders>
              <w:left w:val="single" w:sz="4" w:space="0" w:color="auto"/>
              <w:bottom w:val="single" w:sz="4" w:space="0" w:color="auto"/>
              <w:right w:val="single" w:sz="4" w:space="0" w:color="auto"/>
            </w:tcBorders>
            <w:vAlign w:val="center"/>
          </w:tcPr>
          <w:p w14:paraId="2C6DDB20" w14:textId="77777777" w:rsidR="005B483F" w:rsidRPr="0013481A" w:rsidRDefault="005B483F" w:rsidP="00176E88">
            <w:pPr>
              <w:rPr>
                <w:color w:val="000000" w:themeColor="text1"/>
              </w:rPr>
            </w:pPr>
            <w:r w:rsidRPr="0013481A">
              <w:rPr>
                <w:color w:val="000000" w:themeColor="text1"/>
              </w:rPr>
              <w:t>Observation (OBS)</w:t>
            </w:r>
          </w:p>
        </w:tc>
        <w:tc>
          <w:tcPr>
            <w:tcW w:w="1524" w:type="pct"/>
            <w:tcBorders>
              <w:left w:val="single" w:sz="4" w:space="0" w:color="auto"/>
              <w:bottom w:val="single" w:sz="4" w:space="0" w:color="auto"/>
              <w:right w:val="single" w:sz="4" w:space="0" w:color="auto"/>
            </w:tcBorders>
            <w:vAlign w:val="center"/>
          </w:tcPr>
          <w:p w14:paraId="0D7C2003" w14:textId="77777777" w:rsidR="005B483F" w:rsidRPr="0013481A" w:rsidRDefault="005B483F" w:rsidP="00176E88">
            <w:pPr>
              <w:jc w:val="center"/>
              <w:rPr>
                <w:color w:val="000000" w:themeColor="text1"/>
              </w:rPr>
            </w:pPr>
            <w:r w:rsidRPr="0013481A">
              <w:rPr>
                <w:color w:val="000000" w:themeColor="text1"/>
              </w:rPr>
              <w:t>74</w:t>
            </w:r>
          </w:p>
        </w:tc>
        <w:tc>
          <w:tcPr>
            <w:tcW w:w="1426" w:type="pct"/>
            <w:tcBorders>
              <w:left w:val="single" w:sz="4" w:space="0" w:color="auto"/>
              <w:bottom w:val="single" w:sz="4" w:space="0" w:color="auto"/>
              <w:right w:val="single" w:sz="4" w:space="0" w:color="auto"/>
            </w:tcBorders>
            <w:vAlign w:val="center"/>
          </w:tcPr>
          <w:p w14:paraId="6DE4CE35" w14:textId="77777777" w:rsidR="005B483F" w:rsidRPr="0025574A" w:rsidRDefault="005B483F" w:rsidP="00176E88">
            <w:pPr>
              <w:jc w:val="center"/>
              <w:rPr>
                <w:color w:val="000000" w:themeColor="text1"/>
              </w:rPr>
            </w:pPr>
            <w:r w:rsidRPr="0025574A">
              <w:rPr>
                <w:color w:val="000000" w:themeColor="text1"/>
              </w:rPr>
              <w:t>18</w:t>
            </w:r>
          </w:p>
        </w:tc>
      </w:tr>
      <w:tr w:rsidR="005B483F" w:rsidRPr="006F3F43" w14:paraId="2A90378A" w14:textId="77777777" w:rsidTr="00176E88">
        <w:trPr>
          <w:trHeight w:val="288"/>
          <w:jc w:val="center"/>
        </w:trPr>
        <w:tc>
          <w:tcPr>
            <w:tcW w:w="2048" w:type="pct"/>
            <w:tcBorders>
              <w:top w:val="single" w:sz="4" w:space="0" w:color="auto"/>
            </w:tcBorders>
            <w:vAlign w:val="center"/>
          </w:tcPr>
          <w:p w14:paraId="704AB291" w14:textId="77777777" w:rsidR="005B483F" w:rsidRPr="0013481A" w:rsidRDefault="005B483F" w:rsidP="00176E88">
            <w:pPr>
              <w:rPr>
                <w:b/>
                <w:bCs/>
                <w:color w:val="000000" w:themeColor="text1"/>
              </w:rPr>
            </w:pPr>
            <w:r w:rsidRPr="0013481A">
              <w:rPr>
                <w:b/>
                <w:bCs/>
                <w:color w:val="000000" w:themeColor="text1"/>
              </w:rPr>
              <w:t>Age</w:t>
            </w:r>
          </w:p>
        </w:tc>
        <w:tc>
          <w:tcPr>
            <w:tcW w:w="1524" w:type="pct"/>
            <w:tcBorders>
              <w:top w:val="single" w:sz="4" w:space="0" w:color="auto"/>
            </w:tcBorders>
            <w:vAlign w:val="center"/>
          </w:tcPr>
          <w:p w14:paraId="7CB15930" w14:textId="77777777" w:rsidR="005B483F" w:rsidRPr="006F3F43" w:rsidRDefault="005B483F" w:rsidP="00176E88">
            <w:pPr>
              <w:jc w:val="center"/>
              <w:rPr>
                <w:b/>
                <w:bCs/>
                <w:color w:val="FF0000"/>
              </w:rPr>
            </w:pPr>
          </w:p>
        </w:tc>
        <w:tc>
          <w:tcPr>
            <w:tcW w:w="1426" w:type="pct"/>
            <w:tcBorders>
              <w:top w:val="single" w:sz="4" w:space="0" w:color="auto"/>
            </w:tcBorders>
            <w:vAlign w:val="center"/>
          </w:tcPr>
          <w:p w14:paraId="3AB771A9" w14:textId="77777777" w:rsidR="005B483F" w:rsidRPr="006F3F43" w:rsidRDefault="005B483F" w:rsidP="00176E88">
            <w:pPr>
              <w:jc w:val="center"/>
              <w:rPr>
                <w:b/>
                <w:bCs/>
                <w:color w:val="FF0000"/>
              </w:rPr>
            </w:pPr>
          </w:p>
        </w:tc>
      </w:tr>
      <w:tr w:rsidR="005B483F" w:rsidRPr="006F3F43" w14:paraId="7E669444" w14:textId="77777777" w:rsidTr="00176E88">
        <w:trPr>
          <w:trHeight w:val="288"/>
          <w:jc w:val="center"/>
        </w:trPr>
        <w:tc>
          <w:tcPr>
            <w:tcW w:w="2048" w:type="pct"/>
            <w:vAlign w:val="center"/>
          </w:tcPr>
          <w:p w14:paraId="79AF661F" w14:textId="77777777" w:rsidR="005B483F" w:rsidRPr="0013481A" w:rsidRDefault="005B483F" w:rsidP="00176E88">
            <w:pPr>
              <w:rPr>
                <w:color w:val="000000" w:themeColor="text1"/>
              </w:rPr>
            </w:pPr>
            <w:r w:rsidRPr="0013481A">
              <w:rPr>
                <w:color w:val="000000" w:themeColor="text1"/>
              </w:rPr>
              <w:t>Less than 65</w:t>
            </w:r>
          </w:p>
        </w:tc>
        <w:tc>
          <w:tcPr>
            <w:tcW w:w="1524" w:type="pct"/>
            <w:vAlign w:val="center"/>
          </w:tcPr>
          <w:p w14:paraId="58EDADEB" w14:textId="77777777" w:rsidR="005B483F" w:rsidRPr="00297BB8" w:rsidRDefault="005B483F" w:rsidP="00176E88">
            <w:pPr>
              <w:jc w:val="center"/>
              <w:rPr>
                <w:color w:val="000000" w:themeColor="text1"/>
              </w:rPr>
            </w:pPr>
            <w:r w:rsidRPr="00297BB8">
              <w:rPr>
                <w:color w:val="000000" w:themeColor="text1"/>
              </w:rPr>
              <w:t>49</w:t>
            </w:r>
          </w:p>
        </w:tc>
        <w:tc>
          <w:tcPr>
            <w:tcW w:w="1426" w:type="pct"/>
            <w:vAlign w:val="center"/>
          </w:tcPr>
          <w:p w14:paraId="3135F78C" w14:textId="77777777" w:rsidR="005B483F" w:rsidRPr="00297BB8" w:rsidRDefault="005B483F" w:rsidP="00176E88">
            <w:pPr>
              <w:jc w:val="center"/>
              <w:rPr>
                <w:color w:val="000000" w:themeColor="text1"/>
              </w:rPr>
            </w:pPr>
            <w:r w:rsidRPr="00297BB8">
              <w:rPr>
                <w:color w:val="000000" w:themeColor="text1"/>
              </w:rPr>
              <w:t>17</w:t>
            </w:r>
          </w:p>
        </w:tc>
      </w:tr>
      <w:tr w:rsidR="005B483F" w:rsidRPr="006F3F43" w14:paraId="305A603C" w14:textId="77777777" w:rsidTr="00176E88">
        <w:trPr>
          <w:trHeight w:val="288"/>
          <w:jc w:val="center"/>
        </w:trPr>
        <w:tc>
          <w:tcPr>
            <w:tcW w:w="2048" w:type="pct"/>
            <w:vAlign w:val="center"/>
          </w:tcPr>
          <w:p w14:paraId="4052EFD0" w14:textId="77777777" w:rsidR="005B483F" w:rsidRPr="0013481A" w:rsidRDefault="005B483F" w:rsidP="00176E88">
            <w:pPr>
              <w:rPr>
                <w:color w:val="000000" w:themeColor="text1"/>
              </w:rPr>
            </w:pPr>
            <w:r w:rsidRPr="0013481A">
              <w:rPr>
                <w:color w:val="000000" w:themeColor="text1"/>
              </w:rPr>
              <w:t>Older than or equal to 65</w:t>
            </w:r>
          </w:p>
        </w:tc>
        <w:tc>
          <w:tcPr>
            <w:tcW w:w="1524" w:type="pct"/>
            <w:vAlign w:val="center"/>
          </w:tcPr>
          <w:p w14:paraId="48C6C2D2" w14:textId="77777777" w:rsidR="005B483F" w:rsidRPr="00297BB8" w:rsidRDefault="005B483F" w:rsidP="00176E88">
            <w:pPr>
              <w:jc w:val="center"/>
              <w:rPr>
                <w:color w:val="000000" w:themeColor="text1"/>
              </w:rPr>
            </w:pPr>
            <w:r w:rsidRPr="00297BB8">
              <w:rPr>
                <w:color w:val="000000" w:themeColor="text1"/>
              </w:rPr>
              <w:t>75</w:t>
            </w:r>
          </w:p>
        </w:tc>
        <w:tc>
          <w:tcPr>
            <w:tcW w:w="1426" w:type="pct"/>
            <w:vAlign w:val="center"/>
          </w:tcPr>
          <w:p w14:paraId="0C2CDE57" w14:textId="77777777" w:rsidR="005B483F" w:rsidRPr="00297BB8" w:rsidRDefault="005B483F" w:rsidP="00176E88">
            <w:pPr>
              <w:jc w:val="center"/>
              <w:rPr>
                <w:color w:val="000000" w:themeColor="text1"/>
              </w:rPr>
            </w:pPr>
            <w:r w:rsidRPr="00297BB8">
              <w:rPr>
                <w:color w:val="000000" w:themeColor="text1"/>
              </w:rPr>
              <w:t>14</w:t>
            </w:r>
          </w:p>
        </w:tc>
      </w:tr>
      <w:tr w:rsidR="005B483F" w:rsidRPr="006F3F43" w14:paraId="613CADF8" w14:textId="77777777" w:rsidTr="00176E88">
        <w:trPr>
          <w:trHeight w:val="288"/>
          <w:jc w:val="center"/>
        </w:trPr>
        <w:tc>
          <w:tcPr>
            <w:tcW w:w="2048" w:type="pct"/>
            <w:vAlign w:val="center"/>
          </w:tcPr>
          <w:p w14:paraId="162AB338" w14:textId="77777777" w:rsidR="005B483F" w:rsidRPr="0013481A" w:rsidRDefault="005B483F" w:rsidP="00176E88">
            <w:pPr>
              <w:rPr>
                <w:b/>
                <w:bCs/>
                <w:color w:val="000000" w:themeColor="text1"/>
              </w:rPr>
            </w:pPr>
            <w:r w:rsidRPr="0013481A">
              <w:rPr>
                <w:b/>
                <w:bCs/>
                <w:color w:val="000000" w:themeColor="text1"/>
              </w:rPr>
              <w:t>Stage of Disease</w:t>
            </w:r>
          </w:p>
        </w:tc>
        <w:tc>
          <w:tcPr>
            <w:tcW w:w="1524" w:type="pct"/>
            <w:vAlign w:val="center"/>
          </w:tcPr>
          <w:p w14:paraId="7F2A2183" w14:textId="77777777" w:rsidR="005B483F" w:rsidRPr="006F3F43" w:rsidRDefault="005B483F" w:rsidP="00176E88">
            <w:pPr>
              <w:jc w:val="center"/>
              <w:rPr>
                <w:b/>
                <w:bCs/>
                <w:color w:val="FF0000"/>
              </w:rPr>
            </w:pPr>
          </w:p>
        </w:tc>
        <w:tc>
          <w:tcPr>
            <w:tcW w:w="1426" w:type="pct"/>
            <w:vAlign w:val="center"/>
          </w:tcPr>
          <w:p w14:paraId="0E54AB4F" w14:textId="77777777" w:rsidR="005B483F" w:rsidRPr="006F3F43" w:rsidRDefault="005B483F" w:rsidP="00176E88">
            <w:pPr>
              <w:jc w:val="center"/>
              <w:rPr>
                <w:b/>
                <w:bCs/>
                <w:color w:val="FF0000"/>
              </w:rPr>
            </w:pPr>
          </w:p>
        </w:tc>
      </w:tr>
      <w:tr w:rsidR="005B483F" w:rsidRPr="006F3F43" w14:paraId="07443EED" w14:textId="77777777" w:rsidTr="00176E88">
        <w:trPr>
          <w:trHeight w:val="288"/>
          <w:jc w:val="center"/>
        </w:trPr>
        <w:tc>
          <w:tcPr>
            <w:tcW w:w="2048" w:type="pct"/>
            <w:vAlign w:val="center"/>
          </w:tcPr>
          <w:p w14:paraId="6FEAECBD" w14:textId="77777777" w:rsidR="005B483F" w:rsidRPr="0013481A" w:rsidRDefault="005B483F" w:rsidP="00176E88">
            <w:pPr>
              <w:jc w:val="center"/>
              <w:rPr>
                <w:color w:val="000000" w:themeColor="text1"/>
              </w:rPr>
            </w:pPr>
            <w:r w:rsidRPr="0013481A">
              <w:rPr>
                <w:color w:val="000000" w:themeColor="text1"/>
              </w:rPr>
              <w:t>I</w:t>
            </w:r>
          </w:p>
        </w:tc>
        <w:tc>
          <w:tcPr>
            <w:tcW w:w="1524" w:type="pct"/>
            <w:vAlign w:val="center"/>
          </w:tcPr>
          <w:p w14:paraId="22891336" w14:textId="77777777" w:rsidR="005B483F" w:rsidRPr="0013481A" w:rsidRDefault="005B483F" w:rsidP="00176E88">
            <w:pPr>
              <w:jc w:val="center"/>
              <w:rPr>
                <w:color w:val="000000" w:themeColor="text1"/>
              </w:rPr>
            </w:pPr>
            <w:r w:rsidRPr="0013481A">
              <w:rPr>
                <w:color w:val="000000" w:themeColor="text1"/>
              </w:rPr>
              <w:t xml:space="preserve">74 </w:t>
            </w:r>
          </w:p>
        </w:tc>
        <w:tc>
          <w:tcPr>
            <w:tcW w:w="1426" w:type="pct"/>
            <w:vAlign w:val="center"/>
          </w:tcPr>
          <w:p w14:paraId="7FB2BE87" w14:textId="77777777" w:rsidR="005B483F" w:rsidRPr="00255458" w:rsidRDefault="005B483F" w:rsidP="00176E88">
            <w:pPr>
              <w:jc w:val="center"/>
              <w:rPr>
                <w:color w:val="000000" w:themeColor="text1"/>
              </w:rPr>
            </w:pPr>
            <w:r w:rsidRPr="00255458">
              <w:rPr>
                <w:color w:val="000000" w:themeColor="text1"/>
              </w:rPr>
              <w:t xml:space="preserve">15 </w:t>
            </w:r>
          </w:p>
        </w:tc>
      </w:tr>
      <w:tr w:rsidR="005B483F" w:rsidRPr="006F3F43" w14:paraId="6733D7C4" w14:textId="77777777" w:rsidTr="00176E88">
        <w:trPr>
          <w:trHeight w:val="288"/>
          <w:jc w:val="center"/>
        </w:trPr>
        <w:tc>
          <w:tcPr>
            <w:tcW w:w="2048" w:type="pct"/>
            <w:vAlign w:val="center"/>
          </w:tcPr>
          <w:p w14:paraId="602EC391" w14:textId="77777777" w:rsidR="005B483F" w:rsidRPr="0013481A" w:rsidRDefault="005B483F" w:rsidP="00176E88">
            <w:pPr>
              <w:jc w:val="center"/>
              <w:rPr>
                <w:color w:val="000000" w:themeColor="text1"/>
              </w:rPr>
            </w:pPr>
            <w:r w:rsidRPr="0013481A">
              <w:rPr>
                <w:color w:val="000000" w:themeColor="text1"/>
              </w:rPr>
              <w:t>II</w:t>
            </w:r>
          </w:p>
        </w:tc>
        <w:tc>
          <w:tcPr>
            <w:tcW w:w="1524" w:type="pct"/>
            <w:vAlign w:val="center"/>
          </w:tcPr>
          <w:p w14:paraId="7D1177BA" w14:textId="77777777" w:rsidR="005B483F" w:rsidRPr="0013481A" w:rsidRDefault="005B483F" w:rsidP="00176E88">
            <w:pPr>
              <w:jc w:val="center"/>
              <w:rPr>
                <w:color w:val="000000" w:themeColor="text1"/>
              </w:rPr>
            </w:pPr>
            <w:r w:rsidRPr="0013481A">
              <w:rPr>
                <w:color w:val="000000" w:themeColor="text1"/>
              </w:rPr>
              <w:t xml:space="preserve">25  </w:t>
            </w:r>
          </w:p>
        </w:tc>
        <w:tc>
          <w:tcPr>
            <w:tcW w:w="1426" w:type="pct"/>
            <w:vAlign w:val="center"/>
          </w:tcPr>
          <w:p w14:paraId="222B038C" w14:textId="77777777" w:rsidR="005B483F" w:rsidRPr="00255458" w:rsidRDefault="005B483F" w:rsidP="00176E88">
            <w:pPr>
              <w:jc w:val="center"/>
              <w:rPr>
                <w:color w:val="000000" w:themeColor="text1"/>
              </w:rPr>
            </w:pPr>
            <w:r w:rsidRPr="00255458">
              <w:rPr>
                <w:color w:val="000000" w:themeColor="text1"/>
              </w:rPr>
              <w:t xml:space="preserve">8  </w:t>
            </w:r>
          </w:p>
        </w:tc>
      </w:tr>
      <w:tr w:rsidR="005B483F" w:rsidRPr="006F3F43" w14:paraId="7A4CF8D4" w14:textId="77777777" w:rsidTr="00176E88">
        <w:trPr>
          <w:trHeight w:val="288"/>
          <w:jc w:val="center"/>
        </w:trPr>
        <w:tc>
          <w:tcPr>
            <w:tcW w:w="2048" w:type="pct"/>
            <w:vAlign w:val="center"/>
          </w:tcPr>
          <w:p w14:paraId="4AE96619" w14:textId="77777777" w:rsidR="005B483F" w:rsidRPr="0013481A" w:rsidRDefault="005B483F" w:rsidP="00176E88">
            <w:pPr>
              <w:jc w:val="center"/>
              <w:rPr>
                <w:color w:val="000000" w:themeColor="text1"/>
              </w:rPr>
            </w:pPr>
            <w:r w:rsidRPr="0013481A">
              <w:rPr>
                <w:color w:val="000000" w:themeColor="text1"/>
              </w:rPr>
              <w:t>III</w:t>
            </w:r>
          </w:p>
        </w:tc>
        <w:tc>
          <w:tcPr>
            <w:tcW w:w="1524" w:type="pct"/>
            <w:vAlign w:val="center"/>
          </w:tcPr>
          <w:p w14:paraId="76FEBC7F" w14:textId="77777777" w:rsidR="005B483F" w:rsidRPr="0013481A" w:rsidRDefault="005B483F" w:rsidP="00176E88">
            <w:pPr>
              <w:jc w:val="center"/>
              <w:rPr>
                <w:color w:val="000000" w:themeColor="text1"/>
              </w:rPr>
            </w:pPr>
            <w:r w:rsidRPr="0013481A">
              <w:rPr>
                <w:color w:val="000000" w:themeColor="text1"/>
              </w:rPr>
              <w:t>24</w:t>
            </w:r>
          </w:p>
        </w:tc>
        <w:tc>
          <w:tcPr>
            <w:tcW w:w="1426" w:type="pct"/>
            <w:vAlign w:val="center"/>
          </w:tcPr>
          <w:p w14:paraId="2592582A" w14:textId="77777777" w:rsidR="005B483F" w:rsidRPr="00255458" w:rsidRDefault="005B483F" w:rsidP="00176E88">
            <w:pPr>
              <w:jc w:val="center"/>
              <w:rPr>
                <w:color w:val="000000" w:themeColor="text1"/>
              </w:rPr>
            </w:pPr>
            <w:r w:rsidRPr="00255458">
              <w:rPr>
                <w:color w:val="000000" w:themeColor="text1"/>
              </w:rPr>
              <w:t>8</w:t>
            </w:r>
          </w:p>
        </w:tc>
      </w:tr>
      <w:tr w:rsidR="005B483F" w:rsidRPr="006F3F43" w14:paraId="5C16A42B" w14:textId="77777777" w:rsidTr="00176E88">
        <w:trPr>
          <w:trHeight w:val="288"/>
          <w:jc w:val="center"/>
        </w:trPr>
        <w:tc>
          <w:tcPr>
            <w:tcW w:w="2048" w:type="pct"/>
            <w:vAlign w:val="center"/>
          </w:tcPr>
          <w:p w14:paraId="75F2D858" w14:textId="77777777" w:rsidR="005B483F" w:rsidRPr="0013481A" w:rsidRDefault="005B483F" w:rsidP="00176E88">
            <w:pPr>
              <w:jc w:val="center"/>
              <w:rPr>
                <w:color w:val="000000" w:themeColor="text1"/>
              </w:rPr>
            </w:pPr>
            <w:r>
              <w:rPr>
                <w:color w:val="000000" w:themeColor="text1"/>
              </w:rPr>
              <w:t>IV</w:t>
            </w:r>
          </w:p>
        </w:tc>
        <w:tc>
          <w:tcPr>
            <w:tcW w:w="1524" w:type="pct"/>
            <w:vAlign w:val="center"/>
          </w:tcPr>
          <w:p w14:paraId="0062A793" w14:textId="77777777" w:rsidR="005B483F" w:rsidRPr="0013481A" w:rsidRDefault="005B483F" w:rsidP="00176E88">
            <w:pPr>
              <w:jc w:val="center"/>
              <w:rPr>
                <w:color w:val="000000" w:themeColor="text1"/>
              </w:rPr>
            </w:pPr>
            <w:r w:rsidRPr="0013481A">
              <w:rPr>
                <w:color w:val="000000" w:themeColor="text1"/>
              </w:rPr>
              <w:t>1</w:t>
            </w:r>
          </w:p>
        </w:tc>
        <w:tc>
          <w:tcPr>
            <w:tcW w:w="1426" w:type="pct"/>
            <w:vAlign w:val="center"/>
          </w:tcPr>
          <w:p w14:paraId="63C372C4" w14:textId="77777777" w:rsidR="005B483F" w:rsidRPr="00255458" w:rsidRDefault="005B483F" w:rsidP="00176E88">
            <w:pPr>
              <w:jc w:val="center"/>
              <w:rPr>
                <w:color w:val="000000" w:themeColor="text1"/>
              </w:rPr>
            </w:pPr>
            <w:r w:rsidRPr="00255458">
              <w:rPr>
                <w:color w:val="000000" w:themeColor="text1"/>
              </w:rPr>
              <w:t>0</w:t>
            </w:r>
          </w:p>
        </w:tc>
      </w:tr>
    </w:tbl>
    <w:p w14:paraId="6702D7C4" w14:textId="77777777" w:rsidR="005B483F" w:rsidRDefault="005B483F">
      <w:pPr>
        <w:rPr>
          <w:rFonts w:eastAsia="Malgun Gothic"/>
          <w:lang w:eastAsia="ko-KR"/>
        </w:rPr>
      </w:pPr>
    </w:p>
    <w:p w14:paraId="55FC2098" w14:textId="38A76A11" w:rsidR="00FB2718" w:rsidRDefault="002D3D34" w:rsidP="005B483F">
      <w:pPr>
        <w:rPr>
          <w:rFonts w:eastAsia="Malgun Gothic"/>
          <w:lang w:eastAsia="ko-KR"/>
        </w:rPr>
      </w:pPr>
      <w:r>
        <w:rPr>
          <w:rFonts w:eastAsia="Malgun Gothic"/>
          <w:lang w:eastAsia="ko-KR"/>
        </w:rPr>
        <w:tab/>
      </w:r>
      <w:r>
        <w:rPr>
          <w:rFonts w:eastAsia="Malgun Gothic" w:hint="eastAsia"/>
          <w:lang w:eastAsia="ko-KR"/>
        </w:rPr>
        <w:t>Each dataset was composed of 54,675 probe sets, which necessitated a</w:t>
      </w:r>
      <w:r w:rsidR="009F2D6E">
        <w:rPr>
          <w:rFonts w:eastAsia="Malgun Gothic" w:hint="eastAsia"/>
          <w:lang w:eastAsia="ko-KR"/>
        </w:rPr>
        <w:t xml:space="preserve"> meticulous </w:t>
      </w:r>
      <w:r w:rsidR="00A12F74">
        <w:rPr>
          <w:rFonts w:eastAsia="Malgun Gothic"/>
          <w:lang w:eastAsia="ko-KR"/>
        </w:rPr>
        <w:t>screening</w:t>
      </w:r>
      <w:r w:rsidR="00A12F74">
        <w:rPr>
          <w:rFonts w:eastAsia="Malgun Gothic" w:hint="eastAsia"/>
          <w:lang w:eastAsia="ko-KR"/>
        </w:rPr>
        <w:t xml:space="preserve"> process to identify </w:t>
      </w:r>
      <w:r w:rsidR="00A12F74">
        <w:rPr>
          <w:rFonts w:eastAsia="Malgun Gothic"/>
          <w:lang w:eastAsia="ko-KR"/>
        </w:rPr>
        <w:t>which</w:t>
      </w:r>
      <w:r w:rsidR="00A12F74">
        <w:rPr>
          <w:rFonts w:eastAsia="Malgun Gothic" w:hint="eastAsia"/>
          <w:lang w:eastAsia="ko-KR"/>
        </w:rPr>
        <w:t xml:space="preserve"> probe sets provided relevant information for predicting patient survival.</w:t>
      </w:r>
      <w:r w:rsidR="00B608B0">
        <w:rPr>
          <w:rFonts w:eastAsia="Malgun Gothic" w:hint="eastAsia"/>
          <w:lang w:eastAsia="ko-KR"/>
        </w:rPr>
        <w:t xml:space="preserve"> This step was crucial to ensure the inclusion of valuable data while excluding elements that could introduce noise into the survival analysis. This approach </w:t>
      </w:r>
      <w:r w:rsidR="007317C0">
        <w:rPr>
          <w:rFonts w:eastAsia="Malgun Gothic" w:hint="eastAsia"/>
          <w:lang w:eastAsia="ko-KR"/>
        </w:rPr>
        <w:t xml:space="preserve">aimed to refine the models and enhance their predictive accuracy </w:t>
      </w:r>
      <w:r w:rsidR="007317C0">
        <w:rPr>
          <w:rFonts w:eastAsia="Malgun Gothic"/>
          <w:lang w:eastAsia="ko-KR"/>
        </w:rPr>
        <w:t>regarding patient</w:t>
      </w:r>
      <w:r w:rsidR="007317C0">
        <w:rPr>
          <w:rFonts w:eastAsia="Malgun Gothic" w:hint="eastAsia"/>
          <w:lang w:eastAsia="ko-KR"/>
        </w:rPr>
        <w:t xml:space="preserve"> outcomes.</w:t>
      </w:r>
    </w:p>
    <w:p w14:paraId="2DDB16E2" w14:textId="24F4EB30" w:rsidR="001D263E" w:rsidRDefault="00D9718D" w:rsidP="005B483F">
      <w:pPr>
        <w:rPr>
          <w:rFonts w:eastAsia="Malgun Gothic"/>
          <w:lang w:eastAsia="ko-KR"/>
        </w:rPr>
      </w:pPr>
      <w:r>
        <w:rPr>
          <w:rFonts w:eastAsia="Malgun Gothic"/>
          <w:lang w:eastAsia="ko-KR"/>
        </w:rPr>
        <w:lastRenderedPageBreak/>
        <w:tab/>
      </w:r>
      <w:r w:rsidR="00EC522D">
        <w:rPr>
          <w:rFonts w:eastAsia="Malgun Gothic" w:hint="eastAsia"/>
          <w:lang w:eastAsia="ko-KR"/>
        </w:rPr>
        <w:t xml:space="preserve">To streamline the dataset, the </w:t>
      </w:r>
      <w:r w:rsidR="00EC522D">
        <w:rPr>
          <w:rFonts w:eastAsia="Malgun Gothic"/>
          <w:lang w:eastAsia="ko-KR"/>
        </w:rPr>
        <w:t>initial</w:t>
      </w:r>
      <w:r w:rsidR="00EC522D">
        <w:rPr>
          <w:rFonts w:eastAsia="Malgun Gothic" w:hint="eastAsia"/>
          <w:lang w:eastAsia="ko-KR"/>
        </w:rPr>
        <w:t xml:space="preserve"> step involved </w:t>
      </w:r>
      <w:r w:rsidR="00681C34">
        <w:rPr>
          <w:rFonts w:eastAsia="Malgun Gothic" w:hint="eastAsia"/>
          <w:lang w:eastAsia="ko-KR"/>
        </w:rPr>
        <w:t>performing Leave-One-Out Cross-Validation (LOOCV)</w:t>
      </w:r>
      <w:r w:rsidR="004B4240">
        <w:rPr>
          <w:rFonts w:eastAsia="Malgun Gothic" w:hint="eastAsia"/>
          <w:lang w:eastAsia="ko-KR"/>
        </w:rPr>
        <w:t xml:space="preserve"> alongside </w:t>
      </w:r>
      <w:r w:rsidR="00DF515B">
        <w:rPr>
          <w:rFonts w:eastAsia="Malgun Gothic" w:hint="eastAsia"/>
          <w:lang w:eastAsia="ko-KR"/>
        </w:rPr>
        <w:t>u</w:t>
      </w:r>
      <w:r w:rsidR="004B4240">
        <w:rPr>
          <w:rFonts w:eastAsia="Malgun Gothic" w:hint="eastAsia"/>
          <w:lang w:eastAsia="ko-KR"/>
        </w:rPr>
        <w:t>nivariate</w:t>
      </w:r>
      <w:r w:rsidR="00DF515B">
        <w:rPr>
          <w:rFonts w:eastAsia="Malgun Gothic" w:hint="eastAsia"/>
          <w:lang w:eastAsia="ko-KR"/>
        </w:rPr>
        <w:t xml:space="preserve"> analysis with</w:t>
      </w:r>
      <w:r w:rsidR="004B4240">
        <w:rPr>
          <w:rFonts w:eastAsia="Malgun Gothic" w:hint="eastAsia"/>
          <w:lang w:eastAsia="ko-KR"/>
        </w:rPr>
        <w:t xml:space="preserve"> Cox PH</w:t>
      </w:r>
      <w:r w:rsidR="00DF515B">
        <w:rPr>
          <w:rFonts w:eastAsia="Malgun Gothic" w:hint="eastAsia"/>
          <w:lang w:eastAsia="ko-KR"/>
        </w:rPr>
        <w:t xml:space="preserve"> models to reduce variable</w:t>
      </w:r>
      <w:r w:rsidR="00973E8F">
        <w:rPr>
          <w:rFonts w:eastAsia="Malgun Gothic" w:hint="eastAsia"/>
          <w:lang w:eastAsia="ko-KR"/>
        </w:rPr>
        <w:t xml:space="preserve"> count. Probe sets were selected based on a </w:t>
      </w:r>
      <w:r w:rsidR="000D06FF">
        <w:rPr>
          <w:rFonts w:eastAsia="Malgun Gothic" w:hint="eastAsia"/>
          <w:lang w:eastAsia="ko-KR"/>
        </w:rPr>
        <w:t xml:space="preserve">5% significance level. </w:t>
      </w:r>
      <w:r w:rsidR="00E9252E">
        <w:rPr>
          <w:rFonts w:eastAsia="Malgun Gothic" w:hint="eastAsia"/>
          <w:lang w:eastAsia="ko-KR"/>
        </w:rPr>
        <w:t xml:space="preserve">Each probe received a variable </w:t>
      </w:r>
      <w:r w:rsidR="00E9252E">
        <w:rPr>
          <w:rFonts w:eastAsia="Malgun Gothic"/>
          <w:lang w:eastAsia="ko-KR"/>
        </w:rPr>
        <w:t>importance</w:t>
      </w:r>
      <w:r w:rsidR="00E9252E">
        <w:rPr>
          <w:rFonts w:eastAsia="Malgun Gothic" w:hint="eastAsia"/>
          <w:lang w:eastAsia="ko-KR"/>
        </w:rPr>
        <w:t xml:space="preserve"> score reflecting the frequency of its significance. </w:t>
      </w:r>
      <w:r w:rsidR="001D263E">
        <w:rPr>
          <w:rFonts w:eastAsia="Malgun Gothic" w:hint="eastAsia"/>
          <w:lang w:eastAsia="ko-KR"/>
        </w:rPr>
        <w:t>The learning set</w:t>
      </w:r>
      <w:r w:rsidR="00AC30A8">
        <w:rPr>
          <w:rFonts w:eastAsia="Malgun Gothic" w:hint="eastAsia"/>
          <w:lang w:eastAsia="ko-KR"/>
        </w:rPr>
        <w:t xml:space="preserve"> was employed </w:t>
      </w:r>
      <w:r w:rsidR="00627BB8">
        <w:rPr>
          <w:rFonts w:eastAsia="Malgun Gothic" w:hint="eastAsia"/>
          <w:lang w:eastAsia="ko-KR"/>
        </w:rPr>
        <w:t xml:space="preserve">to implement each of the methods described below, using both </w:t>
      </w:r>
      <w:r w:rsidR="00445997">
        <w:rPr>
          <w:rFonts w:eastAsia="Malgun Gothic" w:hint="eastAsia"/>
          <w:lang w:eastAsia="ko-KR"/>
        </w:rPr>
        <w:t xml:space="preserve">fewer </w:t>
      </w:r>
      <w:r w:rsidR="00627BB8">
        <w:rPr>
          <w:rFonts w:eastAsia="Malgun Gothic" w:hint="eastAsia"/>
          <w:lang w:eastAsia="ko-KR"/>
        </w:rPr>
        <w:t xml:space="preserve">genomic </w:t>
      </w:r>
      <w:r w:rsidR="00445997">
        <w:rPr>
          <w:rFonts w:eastAsia="Malgun Gothic" w:hint="eastAsia"/>
          <w:lang w:eastAsia="ko-KR"/>
        </w:rPr>
        <w:t xml:space="preserve">variables </w:t>
      </w:r>
      <w:r w:rsidR="00627BB8">
        <w:rPr>
          <w:rFonts w:eastAsia="Malgun Gothic" w:hint="eastAsia"/>
          <w:lang w:eastAsia="ko-KR"/>
        </w:rPr>
        <w:t xml:space="preserve">and </w:t>
      </w:r>
      <w:r w:rsidR="00445997">
        <w:rPr>
          <w:rFonts w:eastAsia="Malgun Gothic" w:hint="eastAsia"/>
          <w:lang w:eastAsia="ko-KR"/>
        </w:rPr>
        <w:t xml:space="preserve">key </w:t>
      </w:r>
      <w:r w:rsidR="00627BB8">
        <w:rPr>
          <w:rFonts w:eastAsia="Malgun Gothic" w:hint="eastAsia"/>
          <w:lang w:eastAsia="ko-KR"/>
        </w:rPr>
        <w:t>clinical covariates</w:t>
      </w:r>
      <w:r w:rsidR="008C5BF9">
        <w:rPr>
          <w:rFonts w:eastAsia="Malgun Gothic" w:hint="eastAsia"/>
          <w:lang w:eastAsia="ko-KR"/>
        </w:rPr>
        <w:t xml:space="preserve"> such as age, sex and clinical stage</w:t>
      </w:r>
      <w:r w:rsidR="00627BB8">
        <w:rPr>
          <w:rFonts w:eastAsia="Malgun Gothic" w:hint="eastAsia"/>
          <w:lang w:eastAsia="ko-KR"/>
        </w:rPr>
        <w:t>.</w:t>
      </w:r>
    </w:p>
    <w:p w14:paraId="0FE42649" w14:textId="77777777" w:rsidR="001D263E" w:rsidRDefault="001D263E" w:rsidP="005B483F">
      <w:pPr>
        <w:rPr>
          <w:rFonts w:eastAsia="Malgun Gothic"/>
          <w:lang w:eastAsia="ko-KR"/>
        </w:rPr>
      </w:pPr>
    </w:p>
    <w:p w14:paraId="201EB6F8" w14:textId="5C708826" w:rsidR="00C9036C" w:rsidRPr="00424FD8" w:rsidRDefault="00C9036C" w:rsidP="00C9036C">
      <w:pPr>
        <w:rPr>
          <w:rFonts w:eastAsia="Malgun Gothic"/>
          <w:b/>
          <w:bCs/>
          <w:lang w:eastAsia="ko-KR"/>
        </w:rPr>
      </w:pPr>
      <w:r w:rsidRPr="00424FD8">
        <w:rPr>
          <w:rFonts w:eastAsia="Malgun Gothic"/>
          <w:b/>
          <w:bCs/>
          <w:lang w:eastAsia="ko-KR"/>
        </w:rPr>
        <w:t>2.</w:t>
      </w:r>
      <w:r>
        <w:rPr>
          <w:rFonts w:eastAsia="Malgun Gothic" w:hint="eastAsia"/>
          <w:b/>
          <w:bCs/>
          <w:lang w:eastAsia="ko-KR"/>
        </w:rPr>
        <w:t>2.1</w:t>
      </w:r>
      <w:r w:rsidRPr="00424FD8">
        <w:rPr>
          <w:rFonts w:eastAsia="Malgun Gothic"/>
          <w:b/>
          <w:bCs/>
          <w:lang w:eastAsia="ko-KR"/>
        </w:rPr>
        <w:t xml:space="preserve"> </w:t>
      </w:r>
      <w:r>
        <w:rPr>
          <w:rFonts w:eastAsia="Malgun Gothic" w:hint="eastAsia"/>
          <w:b/>
          <w:bCs/>
          <w:lang w:eastAsia="ko-KR"/>
        </w:rPr>
        <w:t>Regularized Cox Proportional Hazard</w:t>
      </w:r>
      <w:r w:rsidR="00BA6D44">
        <w:rPr>
          <w:rFonts w:eastAsia="Malgun Gothic" w:hint="eastAsia"/>
          <w:b/>
          <w:bCs/>
          <w:lang w:eastAsia="ko-KR"/>
        </w:rPr>
        <w:t xml:space="preserve">s </w:t>
      </w:r>
      <w:r>
        <w:rPr>
          <w:rFonts w:eastAsia="Malgun Gothic" w:hint="eastAsia"/>
          <w:b/>
          <w:bCs/>
          <w:lang w:eastAsia="ko-KR"/>
        </w:rPr>
        <w:t>Model</w:t>
      </w:r>
    </w:p>
    <w:p w14:paraId="36B6353A" w14:textId="6D2DBC72" w:rsidR="00C9036C" w:rsidRDefault="00BA6D44" w:rsidP="005B483F">
      <w:pPr>
        <w:rPr>
          <w:rFonts w:eastAsia="Malgun Gothic"/>
          <w:lang w:eastAsia="ko-KR"/>
        </w:rPr>
      </w:pPr>
      <w:r>
        <w:rPr>
          <w:rFonts w:eastAsia="Malgun Gothic"/>
          <w:lang w:eastAsia="ko-KR"/>
        </w:rPr>
        <w:tab/>
      </w:r>
      <w:r w:rsidR="00FA7368">
        <w:rPr>
          <w:rFonts w:eastAsia="Malgun Gothic" w:hint="eastAsia"/>
          <w:lang w:eastAsia="ko-KR"/>
        </w:rPr>
        <w:t xml:space="preserve">The Cox </w:t>
      </w:r>
      <w:r w:rsidR="00FA7368">
        <w:rPr>
          <w:rFonts w:eastAsia="Malgun Gothic"/>
          <w:lang w:eastAsia="ko-KR"/>
        </w:rPr>
        <w:t>proportional</w:t>
      </w:r>
      <w:r w:rsidR="00FA7368">
        <w:rPr>
          <w:rFonts w:eastAsia="Malgun Gothic" w:hint="eastAsia"/>
          <w:lang w:eastAsia="ko-KR"/>
        </w:rPr>
        <w:t xml:space="preserve"> hazards</w:t>
      </w:r>
      <w:r w:rsidR="00933AEF">
        <w:rPr>
          <w:rFonts w:eastAsia="Malgun Gothic"/>
          <w:lang w:eastAsia="ko-KR"/>
        </w:rPr>
        <w:t xml:space="preserve"> (PH)</w:t>
      </w:r>
      <w:r w:rsidR="00FA7368">
        <w:rPr>
          <w:rFonts w:eastAsia="Malgun Gothic" w:hint="eastAsia"/>
          <w:lang w:eastAsia="ko-KR"/>
        </w:rPr>
        <w:t xml:space="preserve"> model (Cox, 1972)</w:t>
      </w:r>
      <w:r w:rsidR="00A77E20">
        <w:rPr>
          <w:rFonts w:eastAsia="Malgun Gothic" w:hint="eastAsia"/>
          <w:lang w:eastAsia="ko-KR"/>
        </w:rPr>
        <w:t xml:space="preserve"> is a widely used statistical technique in survival analysis. It </w:t>
      </w:r>
      <w:r w:rsidR="00844320">
        <w:rPr>
          <w:rFonts w:eastAsia="Malgun Gothic" w:hint="eastAsia"/>
          <w:lang w:eastAsia="ko-KR"/>
        </w:rPr>
        <w:t xml:space="preserve">is designed to examine the effect of several variables on the time </w:t>
      </w:r>
      <w:r w:rsidR="004740CE">
        <w:rPr>
          <w:rFonts w:eastAsia="Malgun Gothic"/>
          <w:lang w:eastAsia="ko-KR"/>
        </w:rPr>
        <w:t>until</w:t>
      </w:r>
      <w:r w:rsidR="00844320">
        <w:rPr>
          <w:rFonts w:eastAsia="Malgun Gothic" w:hint="eastAsia"/>
          <w:lang w:eastAsia="ko-KR"/>
        </w:rPr>
        <w:t xml:space="preserve"> a specific event, </w:t>
      </w:r>
      <w:r w:rsidR="00D23BA3">
        <w:rPr>
          <w:rFonts w:eastAsia="Malgun Gothic"/>
          <w:lang w:eastAsia="ko-KR"/>
        </w:rPr>
        <w:t>such as</w:t>
      </w:r>
      <w:r w:rsidR="00844320">
        <w:rPr>
          <w:rFonts w:eastAsia="Malgun Gothic" w:hint="eastAsia"/>
          <w:lang w:eastAsia="ko-KR"/>
        </w:rPr>
        <w:t xml:space="preserve"> failure or death, occur</w:t>
      </w:r>
      <w:r w:rsidR="00D23BA3">
        <w:rPr>
          <w:rFonts w:eastAsia="Malgun Gothic"/>
          <w:lang w:eastAsia="ko-KR"/>
        </w:rPr>
        <w:t>s</w:t>
      </w:r>
      <w:r w:rsidR="00844320">
        <w:rPr>
          <w:rFonts w:eastAsia="Malgun Gothic" w:hint="eastAsia"/>
          <w:lang w:eastAsia="ko-KR"/>
        </w:rPr>
        <w:t xml:space="preserve">. </w:t>
      </w:r>
      <w:r w:rsidR="00537B39">
        <w:rPr>
          <w:rFonts w:eastAsia="Malgun Gothic" w:hint="eastAsia"/>
          <w:lang w:eastAsia="ko-KR"/>
        </w:rPr>
        <w:t xml:space="preserve">This model is particularly useful because it allows for </w:t>
      </w:r>
      <w:proofErr w:type="gramStart"/>
      <w:r w:rsidR="00537B39">
        <w:rPr>
          <w:rFonts w:eastAsia="Malgun Gothic" w:hint="eastAsia"/>
          <w:lang w:eastAsia="ko-KR"/>
        </w:rPr>
        <w:t>the analysis</w:t>
      </w:r>
      <w:proofErr w:type="gramEnd"/>
      <w:r w:rsidR="00537B39">
        <w:rPr>
          <w:rFonts w:eastAsia="Malgun Gothic" w:hint="eastAsia"/>
          <w:lang w:eastAsia="ko-KR"/>
        </w:rPr>
        <w:t xml:space="preserve"> for the simultaneous </w:t>
      </w:r>
      <w:r w:rsidR="00537B39">
        <w:rPr>
          <w:rFonts w:eastAsia="Malgun Gothic"/>
          <w:lang w:eastAsia="ko-KR"/>
        </w:rPr>
        <w:t>effect</w:t>
      </w:r>
      <w:r w:rsidR="00537B39">
        <w:rPr>
          <w:rFonts w:eastAsia="Malgun Gothic" w:hint="eastAsia"/>
          <w:lang w:eastAsia="ko-KR"/>
        </w:rPr>
        <w:t xml:space="preserve"> of several risk factors on survival.</w:t>
      </w:r>
      <w:r w:rsidR="00BC10AC">
        <w:rPr>
          <w:rFonts w:eastAsia="Malgun Gothic" w:hint="eastAsia"/>
          <w:lang w:eastAsia="ko-KR"/>
        </w:rPr>
        <w:t xml:space="preserve"> </w:t>
      </w:r>
      <w:r w:rsidR="00920E21">
        <w:rPr>
          <w:rFonts w:eastAsia="Malgun Gothic" w:hint="eastAsia"/>
          <w:lang w:eastAsia="ko-KR"/>
        </w:rPr>
        <w:t>The core assumption of the Cox model is the proportionality of hazard</w:t>
      </w:r>
      <w:r w:rsidR="00300177">
        <w:rPr>
          <w:rFonts w:eastAsia="Malgun Gothic" w:hint="eastAsia"/>
          <w:lang w:eastAsia="ko-KR"/>
        </w:rPr>
        <w:t>s, meaning the</w:t>
      </w:r>
      <w:r w:rsidR="006F430D">
        <w:rPr>
          <w:rFonts w:eastAsia="Malgun Gothic"/>
          <w:lang w:eastAsia="ko-KR"/>
        </w:rPr>
        <w:t xml:space="preserve"> hazard</w:t>
      </w:r>
      <w:r w:rsidR="00300177">
        <w:rPr>
          <w:rFonts w:eastAsia="Malgun Gothic" w:hint="eastAsia"/>
          <w:lang w:eastAsia="ko-KR"/>
        </w:rPr>
        <w:t xml:space="preserve"> ratios for any two individuals </w:t>
      </w:r>
      <w:r w:rsidR="006F430D">
        <w:rPr>
          <w:rFonts w:eastAsia="Malgun Gothic"/>
          <w:lang w:eastAsia="ko-KR"/>
        </w:rPr>
        <w:t>remain constant</w:t>
      </w:r>
      <w:r w:rsidR="00300177">
        <w:rPr>
          <w:rFonts w:eastAsia="Malgun Gothic" w:hint="eastAsia"/>
          <w:lang w:eastAsia="ko-KR"/>
        </w:rPr>
        <w:t xml:space="preserve"> over time</w:t>
      </w:r>
      <w:r w:rsidR="00E711E7">
        <w:rPr>
          <w:rFonts w:eastAsia="Malgun Gothic"/>
          <w:lang w:eastAsia="ko-KR"/>
        </w:rPr>
        <w:t>, even if their baseline hazard functions may</w:t>
      </w:r>
      <w:r w:rsidR="00300177">
        <w:rPr>
          <w:rFonts w:eastAsia="Malgun Gothic" w:hint="eastAsia"/>
          <w:lang w:eastAsia="ko-KR"/>
        </w:rPr>
        <w:t xml:space="preserve"> differ.</w:t>
      </w:r>
    </w:p>
    <w:p w14:paraId="196C1164" w14:textId="6398E049" w:rsidR="00487820" w:rsidRPr="00BE6842" w:rsidRDefault="00396BC2" w:rsidP="005B483F">
      <w:pPr>
        <w:rPr>
          <w:rFonts w:eastAsia="Malgun Gothic"/>
          <w:lang w:eastAsia="ko-KR"/>
        </w:rPr>
      </w:pPr>
      <w:r>
        <w:rPr>
          <w:rFonts w:eastAsia="Malgun Gothic"/>
          <w:lang w:eastAsia="ko-KR"/>
        </w:rPr>
        <w:tab/>
      </w:r>
      <w:r>
        <w:rPr>
          <w:rFonts w:eastAsia="Malgun Gothic" w:hint="eastAsia"/>
          <w:lang w:eastAsia="ko-KR"/>
        </w:rPr>
        <w:t xml:space="preserve">In medical research, the Cox model enables researchers to assess the </w:t>
      </w:r>
      <w:r>
        <w:rPr>
          <w:rFonts w:eastAsia="Malgun Gothic"/>
          <w:lang w:eastAsia="ko-KR"/>
        </w:rPr>
        <w:t>relative</w:t>
      </w:r>
      <w:r>
        <w:rPr>
          <w:rFonts w:eastAsia="Malgun Gothic" w:hint="eastAsia"/>
          <w:lang w:eastAsia="ko-KR"/>
        </w:rPr>
        <w:t xml:space="preserve"> impact of variables such as treatment regimens, demographic factors, and biomarkers on the likelihood of an event like death or disease recurrence.</w:t>
      </w:r>
      <w:r w:rsidR="00BE6842">
        <w:rPr>
          <w:rFonts w:eastAsia="Malgun Gothic" w:hint="eastAsia"/>
          <w:lang w:eastAsia="ko-KR"/>
        </w:rPr>
        <w:t xml:space="preserve"> </w:t>
      </w:r>
      <w:r w:rsidR="004D354C">
        <w:rPr>
          <w:rFonts w:eastAsia="Malgun Gothic"/>
          <w:lang w:eastAsia="ko-KR"/>
        </w:rPr>
        <w:t>R</w:t>
      </w:r>
      <w:r w:rsidR="00BE6842">
        <w:rPr>
          <w:rFonts w:eastAsia="Malgun Gothic" w:hint="eastAsia"/>
          <w:lang w:eastAsia="ko-KR"/>
        </w:rPr>
        <w:t>esults</w:t>
      </w:r>
      <w:r w:rsidR="004D354C">
        <w:rPr>
          <w:rFonts w:eastAsia="Malgun Gothic"/>
          <w:lang w:eastAsia="ko-KR"/>
        </w:rPr>
        <w:t xml:space="preserve"> from a Cox model</w:t>
      </w:r>
      <w:r w:rsidR="00BE6842">
        <w:rPr>
          <w:rFonts w:eastAsia="Malgun Gothic" w:hint="eastAsia"/>
          <w:lang w:eastAsia="ko-KR"/>
        </w:rPr>
        <w:t xml:space="preserve"> are </w:t>
      </w:r>
      <w:r w:rsidR="00BE6842">
        <w:rPr>
          <w:rFonts w:eastAsia="Malgun Gothic"/>
          <w:lang w:eastAsia="ko-KR"/>
        </w:rPr>
        <w:t>typically</w:t>
      </w:r>
      <w:r w:rsidR="00BE6842">
        <w:rPr>
          <w:rFonts w:eastAsia="Malgun Gothic" w:hint="eastAsia"/>
          <w:lang w:eastAsia="ko-KR"/>
        </w:rPr>
        <w:t xml:space="preserve"> expressed in terms of hazard ratios</w:t>
      </w:r>
      <w:r w:rsidR="004D354C">
        <w:rPr>
          <w:rFonts w:eastAsia="Malgun Gothic"/>
          <w:lang w:eastAsia="ko-KR"/>
        </w:rPr>
        <w:t xml:space="preserve"> (HR)</w:t>
      </w:r>
      <w:r w:rsidR="00BE6842">
        <w:rPr>
          <w:rFonts w:eastAsia="Malgun Gothic" w:hint="eastAsia"/>
          <w:lang w:eastAsia="ko-KR"/>
        </w:rPr>
        <w:t xml:space="preserve">, </w:t>
      </w:r>
      <w:r w:rsidR="00EC0316">
        <w:rPr>
          <w:rFonts w:eastAsia="Malgun Gothic" w:hint="eastAsia"/>
          <w:lang w:eastAsia="ko-KR"/>
        </w:rPr>
        <w:t xml:space="preserve">which </w:t>
      </w:r>
      <w:r w:rsidR="004D354C">
        <w:rPr>
          <w:rFonts w:eastAsia="Malgun Gothic"/>
          <w:lang w:eastAsia="ko-KR"/>
        </w:rPr>
        <w:t>quantifies</w:t>
      </w:r>
      <w:r w:rsidR="00EC0316">
        <w:rPr>
          <w:rFonts w:eastAsia="Malgun Gothic" w:hint="eastAsia"/>
          <w:lang w:eastAsia="ko-KR"/>
        </w:rPr>
        <w:t xml:space="preserve"> how a particular variable</w:t>
      </w:r>
      <w:r w:rsidR="0070577E">
        <w:rPr>
          <w:rFonts w:eastAsia="Malgun Gothic" w:hint="eastAsia"/>
          <w:lang w:eastAsia="ko-KR"/>
        </w:rPr>
        <w:t xml:space="preserve"> influences the risk of the event relative to the baseline.</w:t>
      </w:r>
      <w:r w:rsidR="00013310">
        <w:rPr>
          <w:rFonts w:eastAsia="Malgun Gothic" w:hint="eastAsia"/>
          <w:lang w:eastAsia="ko-KR"/>
        </w:rPr>
        <w:t xml:space="preserve"> </w:t>
      </w:r>
      <w:r w:rsidR="00B63864">
        <w:rPr>
          <w:rFonts w:eastAsia="Malgun Gothic" w:hint="eastAsia"/>
          <w:lang w:eastAsia="ko-KR"/>
        </w:rPr>
        <w:t xml:space="preserve">Hazard ratios provide </w:t>
      </w:r>
      <w:r w:rsidR="00E45BD7">
        <w:rPr>
          <w:rFonts w:eastAsia="Malgun Gothic" w:hint="eastAsia"/>
          <w:lang w:eastAsia="ko-KR"/>
        </w:rPr>
        <w:t>a</w:t>
      </w:r>
      <w:r w:rsidR="00BF7E4C">
        <w:rPr>
          <w:rFonts w:eastAsia="Malgun Gothic"/>
          <w:lang w:eastAsia="ko-KR"/>
        </w:rPr>
        <w:t xml:space="preserve">n interpretable </w:t>
      </w:r>
      <w:r w:rsidR="00E45BD7">
        <w:rPr>
          <w:rFonts w:eastAsia="Malgun Gothic" w:hint="eastAsia"/>
          <w:lang w:eastAsia="ko-KR"/>
        </w:rPr>
        <w:t>measure of relative risk.</w:t>
      </w:r>
    </w:p>
    <w:p w14:paraId="5D33177D" w14:textId="0AF1A74E" w:rsidR="003E4A1F" w:rsidRPr="003F1412" w:rsidRDefault="003E4A1F" w:rsidP="003F1412">
      <w:pPr>
        <w:spacing w:line="240" w:lineRule="auto"/>
        <w:ind w:firstLine="720"/>
        <w:rPr>
          <w:color w:val="000000" w:themeColor="text1"/>
        </w:rPr>
      </w:pPr>
      <w:r w:rsidRPr="003F1412">
        <w:rPr>
          <w:color w:val="000000" w:themeColor="text1"/>
        </w:rPr>
        <w:t xml:space="preserve">The survival data is provided in the form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
                    <w:bCs/>
                    <w:i/>
                    <w:color w:val="000000" w:themeColor="text1"/>
                  </w:rPr>
                </m:ctrlPr>
              </m:sSubPr>
              <m:e>
                <m:r>
                  <w:rPr>
                    <w:rFonts w:ascii="Cambria Math" w:hAnsi="Cambria Math"/>
                    <w:color w:val="000000" w:themeColor="text1"/>
                  </w:rPr>
                  <m:t>Z</m:t>
                </m:r>
              </m:e>
              <m:sub>
                <m:r>
                  <m:rPr>
                    <m:sty m:val="bi"/>
                  </m:rPr>
                  <w:rPr>
                    <w:rFonts w:ascii="Cambria Math" w:hAnsi="Cambria Math"/>
                    <w:color w:val="000000" w:themeColor="text1"/>
                  </w:rPr>
                  <m:t>i</m:t>
                </m:r>
              </m:sub>
            </m:sSub>
          </m:e>
        </m:d>
        <m:r>
          <w:rPr>
            <w:rFonts w:ascii="Cambria Math" w:hAnsi="Cambria Math"/>
            <w:color w:val="000000" w:themeColor="text1"/>
          </w:rPr>
          <m:t xml:space="preserve">, </m:t>
        </m:r>
      </m:oMath>
      <w:r w:rsidRPr="003F1412">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i</m:t>
            </m:r>
          </m:sub>
        </m:sSub>
      </m:oMath>
      <w:r w:rsidRPr="003F1412">
        <w:rPr>
          <w:color w:val="000000" w:themeColor="text1"/>
        </w:rPr>
        <w:t xml:space="preserve"> is the observed survival or censor</w:t>
      </w:r>
      <w:r w:rsidR="00195318" w:rsidRPr="003F1412">
        <w:rPr>
          <w:color w:val="000000" w:themeColor="text1"/>
        </w:rPr>
        <w:t>ing</w:t>
      </w:r>
      <w:r w:rsidRPr="003F1412">
        <w:rPr>
          <w:color w:val="000000" w:themeColor="text1"/>
        </w:rPr>
        <w:t xml:space="preserve"> time, </w:t>
      </w:r>
      <m:oMath>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i</m:t>
            </m:r>
          </m:sub>
        </m:sSub>
      </m:oMath>
      <w:r w:rsidRPr="003F1412">
        <w:rPr>
          <w:color w:val="000000" w:themeColor="text1"/>
        </w:rPr>
        <w:t xml:space="preserve">, </w:t>
      </w:r>
      <w:r w:rsidR="00E84891" w:rsidRPr="003F1412">
        <w:rPr>
          <w:color w:val="000000" w:themeColor="text1"/>
        </w:rPr>
        <w:t>indicates</w:t>
      </w:r>
      <w:r w:rsidRPr="003F1412">
        <w:rPr>
          <w:color w:val="000000" w:themeColor="text1"/>
        </w:rPr>
        <w:t xml:space="preserve"> the censor status</w:t>
      </w:r>
      <w:r w:rsidR="00E84891" w:rsidRPr="003F1412">
        <w:rPr>
          <w:color w:val="000000" w:themeColor="text1"/>
        </w:rPr>
        <w:t xml:space="preserve"> (1 for event, 0 for censored)</w:t>
      </w:r>
      <w:r w:rsidRPr="003F1412">
        <w:rPr>
          <w:color w:val="000000" w:themeColor="text1"/>
        </w:rPr>
        <w:t>, and</w:t>
      </w:r>
      <w:r w:rsidR="00B67002" w:rsidRPr="003F1412">
        <w:rPr>
          <w:color w:val="000000" w:themeColor="text1"/>
        </w:rPr>
        <w:t xml:space="preserve"> </w:t>
      </w:r>
      <m:oMath>
        <m:sSub>
          <m:sSubPr>
            <m:ctrlPr>
              <w:rPr>
                <w:rFonts w:ascii="Cambria Math" w:hAnsi="Cambria Math"/>
                <w:i/>
                <w:color w:val="000000" w:themeColor="text1"/>
              </w:rPr>
            </m:ctrlPr>
          </m:sSubPr>
          <m:e>
            <m:r>
              <m:rPr>
                <m:sty m:val="bi"/>
              </m:rPr>
              <w:rPr>
                <w:rFonts w:ascii="Cambria Math" w:hAnsi="Cambria Math"/>
                <w:color w:val="000000" w:themeColor="text1"/>
              </w:rPr>
              <m:t>Z</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ip</m:t>
            </m:r>
          </m:sub>
        </m:sSub>
        <m:r>
          <w:rPr>
            <w:rFonts w:ascii="Cambria Math" w:hAnsi="Cambria Math"/>
            <w:color w:val="000000" w:themeColor="text1"/>
          </w:rPr>
          <m:t>)</m:t>
        </m:r>
      </m:oMath>
      <w:r w:rsidR="000E36EA" w:rsidRPr="003F1412">
        <w:rPr>
          <w:color w:val="000000" w:themeColor="text1"/>
        </w:rPr>
        <w:t xml:space="preserve"> represents a </w:t>
      </w:r>
      <w:r w:rsidR="008C338C">
        <w:rPr>
          <w:color w:val="000000" w:themeColor="text1"/>
        </w:rPr>
        <w:t xml:space="preserve">covariate </w:t>
      </w:r>
      <w:r w:rsidR="000E36EA" w:rsidRPr="003F1412">
        <w:rPr>
          <w:color w:val="000000" w:themeColor="text1"/>
        </w:rPr>
        <w:t xml:space="preserve">vector </w:t>
      </w:r>
      <w:r w:rsidR="00F668A4">
        <w:rPr>
          <w:color w:val="000000" w:themeColor="text1"/>
        </w:rPr>
        <w:t>for</w:t>
      </w:r>
      <w:r w:rsidR="00B92D83" w:rsidRPr="003F1412">
        <w:rPr>
          <w:color w:val="000000" w:themeColor="text1"/>
        </w:rPr>
        <w:t xml:space="preserve"> the</w:t>
      </w:r>
      <w:r w:rsidR="000E36EA" w:rsidRPr="003F1412">
        <w:rPr>
          <w:color w:val="000000" w:themeColor="text1"/>
        </w:rPr>
        <w:t xml:space="preserve"> </w:t>
      </w:r>
      <w:r w:rsidRPr="003F1412">
        <w:rPr>
          <w:rFonts w:ascii="Cambria Math" w:hAnsi="Cambria Math" w:cs="Cambria Math"/>
          <w:color w:val="000000" w:themeColor="text1"/>
        </w:rPr>
        <w:t>𝑖</w:t>
      </w:r>
      <w:r w:rsidR="005E3A57">
        <w:rPr>
          <w:rFonts w:ascii="Cambria Math" w:hAnsi="Cambria Math" w:cs="Cambria Math"/>
          <w:color w:val="000000" w:themeColor="text1"/>
        </w:rPr>
        <w:t>-</w:t>
      </w:r>
      <w:proofErr w:type="spellStart"/>
      <w:r w:rsidRPr="003F1412">
        <w:rPr>
          <w:color w:val="000000" w:themeColor="text1"/>
        </w:rPr>
        <w:t>th</w:t>
      </w:r>
      <w:proofErr w:type="spellEnd"/>
      <w:r w:rsidRPr="003F1412">
        <w:rPr>
          <w:color w:val="000000" w:themeColor="text1"/>
        </w:rPr>
        <w:t xml:space="preserve"> individual</w:t>
      </w:r>
      <w:r w:rsidR="00F668A4">
        <w:rPr>
          <w:color w:val="000000" w:themeColor="text1"/>
        </w:rPr>
        <w:t>, representing patient characteristics or treatment options</w:t>
      </w:r>
      <w:r w:rsidR="009E7C11">
        <w:rPr>
          <w:color w:val="000000" w:themeColor="text1"/>
        </w:rPr>
        <w:t>.</w:t>
      </w:r>
      <w:r w:rsidRPr="003F1412">
        <w:rPr>
          <w:color w:val="000000" w:themeColor="text1"/>
        </w:rPr>
        <w:t xml:space="preserve"> </w:t>
      </w:r>
      <w:r w:rsidR="00933AEF" w:rsidRPr="003F1412">
        <w:rPr>
          <w:color w:val="000000" w:themeColor="text1"/>
        </w:rPr>
        <w:t xml:space="preserve">The Cox PH </w:t>
      </w:r>
      <w:r w:rsidR="007A68CD" w:rsidRPr="003F1412">
        <w:rPr>
          <w:color w:val="000000" w:themeColor="text1"/>
        </w:rPr>
        <w:t>model is given by:</w:t>
      </w:r>
      <w:r w:rsidRPr="003F1412">
        <w:rPr>
          <w:color w:val="000000" w:themeColor="text1"/>
        </w:rP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900"/>
      </w:tblGrid>
      <w:tr w:rsidR="003E4A1F" w:rsidRPr="003F1412" w14:paraId="7988FABF" w14:textId="77777777" w:rsidTr="00176E88">
        <w:tc>
          <w:tcPr>
            <w:tcW w:w="8635" w:type="dxa"/>
          </w:tcPr>
          <w:p w14:paraId="0C18F340" w14:textId="4701B9D0" w:rsidR="003E4A1F" w:rsidRPr="003F1412" w:rsidRDefault="00252E44" w:rsidP="003F1412">
            <w:pPr>
              <w:keepNext/>
              <w:rPr>
                <w:rFonts w:eastAsiaTheme="minorEastAsia"/>
                <w:iCs/>
                <w:color w:val="000000" w:themeColor="text1"/>
              </w:rPr>
            </w:pPr>
            <m:oMathPara>
              <m:oMath>
                <m:r>
                  <w:rPr>
                    <w:rFonts w:ascii="Cambria Math" w:eastAsiaTheme="minorEastAsia" w:hAnsi="Cambria Math"/>
                    <w:color w:val="000000" w:themeColor="text1"/>
                  </w:rPr>
                  <m:t>h</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t</m:t>
                    </m:r>
                  </m:e>
                  <m:e>
                    <m:sSub>
                      <m:sSubPr>
                        <m:ctrlPr>
                          <w:rPr>
                            <w:rFonts w:ascii="Cambria Math" w:hAnsi="Cambria Math"/>
                            <w:i/>
                            <w:color w:val="000000" w:themeColor="text1"/>
                          </w:rPr>
                        </m:ctrlPr>
                      </m:sSubPr>
                      <m:e>
                        <m:r>
                          <m:rPr>
                            <m:sty m:val="bi"/>
                          </m:rPr>
                          <w:rPr>
                            <w:rFonts w:ascii="Cambria Math" w:hAnsi="Cambria Math"/>
                            <w:color w:val="000000" w:themeColor="text1"/>
                          </w:rPr>
                          <m:t>Z</m:t>
                        </m:r>
                      </m:e>
                      <m:sub>
                        <m:r>
                          <w:rPr>
                            <w:rFonts w:ascii="Cambria Math" w:hAnsi="Cambria Math"/>
                            <w:color w:val="000000" w:themeColor="text1"/>
                          </w:rPr>
                          <m:t>i</m:t>
                        </m:r>
                      </m:sub>
                    </m:sSub>
                  </m:e>
                </m:d>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0</m:t>
                    </m:r>
                  </m:sub>
                </m:sSub>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t</m:t>
                    </m:r>
                  </m:e>
                </m:d>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ctrlPr>
                      <w:rPr>
                        <w:rFonts w:ascii="Cambria Math" w:eastAsiaTheme="minorEastAsia" w:hAnsi="Cambria Math"/>
                        <w:color w:val="000000" w:themeColor="text1"/>
                      </w:rPr>
                    </m:ctrlPr>
                  </m:fName>
                  <m:e>
                    <m:d>
                      <m:dPr>
                        <m:ctrlPr>
                          <w:rPr>
                            <w:rFonts w:ascii="Cambria Math" w:eastAsiaTheme="minorEastAsia" w:hAnsi="Cambria Math"/>
                            <w:i/>
                            <w:color w:val="000000" w:themeColor="text1"/>
                          </w:rPr>
                        </m:ctrlPr>
                      </m:dPr>
                      <m:e>
                        <m:nary>
                          <m:naryPr>
                            <m:chr m:val="∑"/>
                            <m:ctrlPr>
                              <w:rPr>
                                <w:rFonts w:ascii="Cambria Math" w:eastAsiaTheme="minorEastAsia" w:hAnsi="Cambria Math"/>
                                <w:i/>
                                <w:iCs/>
                                <w:color w:val="000000" w:themeColor="text1"/>
                              </w:rPr>
                            </m:ctrlPr>
                          </m:naryPr>
                          <m:sub>
                            <m:r>
                              <w:rPr>
                                <w:rFonts w:ascii="Cambria Math" w:eastAsiaTheme="minorEastAsia" w:hAnsi="Cambria Math"/>
                                <w:color w:val="000000" w:themeColor="text1"/>
                              </w:rPr>
                              <m:t>j=1</m:t>
                            </m:r>
                          </m:sub>
                          <m:sup>
                            <m:r>
                              <w:rPr>
                                <w:rFonts w:ascii="Cambria Math" w:eastAsiaTheme="minorEastAsia" w:hAnsi="Cambria Math"/>
                                <w:color w:val="000000" w:themeColor="text1"/>
                              </w:rPr>
                              <m:t>p</m:t>
                            </m:r>
                          </m:sup>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m:t>
                                </m:r>
                              </m:sub>
                            </m:sSub>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ij</m:t>
                                </m:r>
                              </m:sub>
                            </m:sSub>
                          </m:e>
                        </m:nary>
                      </m:e>
                    </m:d>
                  </m:e>
                </m:func>
                <m:r>
                  <w:rPr>
                    <w:rFonts w:ascii="Cambria Math" w:eastAsiaTheme="minorEastAsia" w:hAnsi="Cambria Math"/>
                    <w:color w:val="000000" w:themeColor="text1"/>
                  </w:rPr>
                  <m:t>,</m:t>
                </m:r>
              </m:oMath>
            </m:oMathPara>
          </w:p>
        </w:tc>
        <w:tc>
          <w:tcPr>
            <w:tcW w:w="900" w:type="dxa"/>
          </w:tcPr>
          <w:p w14:paraId="343893C0" w14:textId="5C7903F6" w:rsidR="003E4A1F" w:rsidRPr="003F1412" w:rsidRDefault="003E4A1F" w:rsidP="003F1412">
            <w:pPr>
              <w:pStyle w:val="Caption"/>
              <w:jc w:val="right"/>
              <w:rPr>
                <w:color w:val="000000" w:themeColor="text1"/>
                <w:sz w:val="24"/>
                <w:szCs w:val="24"/>
              </w:rPr>
            </w:pPr>
          </w:p>
        </w:tc>
      </w:tr>
    </w:tbl>
    <w:p w14:paraId="170874F7" w14:textId="0C4E61AF" w:rsidR="003E4A1F" w:rsidRDefault="003E4A1F" w:rsidP="003F1412">
      <w:pPr>
        <w:spacing w:line="240" w:lineRule="auto"/>
        <w:rPr>
          <w:color w:val="000000" w:themeColor="text1"/>
        </w:rPr>
      </w:pPr>
      <w:r w:rsidRPr="003F1412">
        <w:rPr>
          <w:color w:val="000000" w:themeColor="text1"/>
        </w:rPr>
        <w:t>where</w:t>
      </w:r>
      <w:r w:rsidRPr="003F1412">
        <w:rPr>
          <w:bCs/>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oMath>
      <w:r w:rsidRPr="003F1412">
        <w:rPr>
          <w:color w:val="000000" w:themeColor="text1"/>
        </w:rPr>
        <w:t>is the baseline hazard rate</w:t>
      </w:r>
      <w:r w:rsidR="00F42D17" w:rsidRPr="003F1412">
        <w:rPr>
          <w:color w:val="000000" w:themeColor="text1"/>
        </w:rPr>
        <w:t xml:space="preserve"> when all covariates are zero</w:t>
      </w:r>
      <w:r w:rsidRPr="003F141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i</m:t>
            </m:r>
          </m:sub>
        </m:sSub>
      </m:oMath>
      <w:r w:rsidRPr="003F1412">
        <w:rPr>
          <w:color w:val="000000" w:themeColor="text1"/>
        </w:rPr>
        <w:t xml:space="preserve"> is the regression coefficient of each </w:t>
      </w:r>
      <w:r w:rsidR="00D370FF" w:rsidRPr="003F1412">
        <w:rPr>
          <w:color w:val="000000" w:themeColor="text1"/>
        </w:rPr>
        <w:t xml:space="preserve">covariate </w:t>
      </w:r>
      <m:oMath>
        <m:sSub>
          <m:sSubPr>
            <m:ctrlPr>
              <w:rPr>
                <w:rFonts w:ascii="Cambria Math" w:hAnsi="Cambria Math"/>
                <w:i/>
                <w:iCs/>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oMath>
      <w:r w:rsidRPr="003F1412">
        <w:rPr>
          <w:color w:val="000000" w:themeColor="text1"/>
        </w:rPr>
        <w:t xml:space="preserve">. The regression coefficients </w:t>
      </w:r>
      <m:oMath>
        <m:r>
          <w:rPr>
            <w:rFonts w:ascii="Cambria Math" w:hAnsi="Cambria Math"/>
            <w:color w:val="000000" w:themeColor="text1"/>
          </w:rPr>
          <m:t>β</m:t>
        </m:r>
      </m:oMath>
      <w:r w:rsidRPr="003F1412">
        <w:rPr>
          <w:color w:val="000000" w:themeColor="text1"/>
        </w:rPr>
        <w:t xml:space="preserve"> are </w:t>
      </w:r>
      <w:r w:rsidR="009E145C" w:rsidRPr="003F1412">
        <w:rPr>
          <w:color w:val="000000" w:themeColor="text1"/>
        </w:rPr>
        <w:t>estimated</w:t>
      </w:r>
      <w:r w:rsidRPr="003F1412">
        <w:rPr>
          <w:color w:val="000000" w:themeColor="text1"/>
        </w:rPr>
        <w:t xml:space="preserve"> by maximizing the partial likelihood:</w:t>
      </w:r>
    </w:p>
    <w:p w14:paraId="1609D949" w14:textId="10CCE753" w:rsidR="00003550" w:rsidRPr="003F1412" w:rsidRDefault="00C45716" w:rsidP="003F1412">
      <w:pPr>
        <w:spacing w:line="240" w:lineRule="auto"/>
        <w:rPr>
          <w:color w:val="000000" w:themeColor="text1"/>
        </w:rPr>
      </w:pPr>
      <m:oMathPara>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p</m:t>
              </m:r>
            </m:sub>
          </m:sSub>
          <m:d>
            <m:dPr>
              <m:ctrlPr>
                <w:rPr>
                  <w:rFonts w:ascii="Cambria Math" w:hAnsi="Cambria Math"/>
                  <w:i/>
                  <w:color w:val="000000" w:themeColor="text1"/>
                </w:rPr>
              </m:ctrlPr>
            </m:dPr>
            <m:e>
              <m:r>
                <m:rPr>
                  <m:sty m:val="bi"/>
                </m:rPr>
                <w:rPr>
                  <w:rFonts w:ascii="Cambria Math" w:hAnsi="Cambria Math"/>
                  <w:color w:val="000000" w:themeColor="text1"/>
                </w:rPr>
                <m:t>β</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hAnsi="Cambria Math"/>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p</m:t>
                                      </m:r>
                                    </m:sup>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i</m:t>
                                          </m:r>
                                        </m:sub>
                                      </m:sSub>
                                      <m:sSub>
                                        <m:sSubPr>
                                          <m:ctrlPr>
                                            <w:rPr>
                                              <w:rFonts w:ascii="Cambria Math" w:hAnsi="Cambria Math"/>
                                              <w:b/>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e>
                                  </m:nary>
                                </m:e>
                              </m:d>
                            </m:e>
                          </m:func>
                        </m:num>
                        <m:den>
                          <m:nary>
                            <m:naryPr>
                              <m:chr m:val="∑"/>
                              <m:limLoc m:val="subSup"/>
                              <m:supHide m:val="1"/>
                              <m:ctrlPr>
                                <w:rPr>
                                  <w:rFonts w:ascii="Cambria Math" w:hAnsi="Cambria Math"/>
                                  <w:i/>
                                  <w:color w:val="000000" w:themeColor="text1"/>
                                </w:rPr>
                              </m:ctrlPr>
                            </m:naryPr>
                            <m:sub>
                              <m:r>
                                <w:rPr>
                                  <w:rFonts w:ascii="Cambria Math" w:hAnsi="Cambria Math"/>
                                  <w:color w:val="000000" w:themeColor="text1"/>
                                </w:rPr>
                                <m:t>j∈R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i</m:t>
                                      </m:r>
                                    </m:sub>
                                  </m:sSub>
                                </m:e>
                              </m:d>
                            </m:sub>
                            <m:sup/>
                            <m:e>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nary>
                                        <m:naryPr>
                                          <m:chr m:val="∑"/>
                                          <m:limLoc m:val="undOvr"/>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p</m:t>
                                          </m:r>
                                        </m:sup>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k</m:t>
                                              </m:r>
                                            </m:sub>
                                          </m:sSub>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jk</m:t>
                                              </m:r>
                                            </m:sub>
                                          </m:sSub>
                                        </m:e>
                                      </m:nary>
                                    </m:e>
                                  </m:d>
                                </m:e>
                              </m:func>
                            </m:e>
                          </m:nary>
                        </m:den>
                      </m:f>
                    </m:e>
                  </m:d>
                </m:e>
                <m:sup>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i</m:t>
                      </m:r>
                    </m:sub>
                  </m:sSub>
                </m:sup>
              </m:sSup>
              <m:r>
                <w:rPr>
                  <w:rFonts w:ascii="Cambria Math" w:hAnsi="Cambria Math"/>
                  <w:color w:val="000000" w:themeColor="text1"/>
                </w:rPr>
                <m:t xml:space="preserve">,                                                        </m:t>
              </m:r>
              <m:d>
                <m:dPr>
                  <m:ctrlPr>
                    <w:rPr>
                      <w:rFonts w:ascii="Cambria Math" w:eastAsiaTheme="minorHAnsi" w:hAnsi="Cambria Math"/>
                      <w:i/>
                      <w:color w:val="000000" w:themeColor="text1"/>
                      <w:kern w:val="0"/>
                      <w:sz w:val="24"/>
                      <w:szCs w:val="24"/>
                      <w:lang w:eastAsia="en-US"/>
                      <w14:ligatures w14:val="none"/>
                    </w:rPr>
                  </m:ctrlPr>
                </m:dPr>
                <m:e>
                  <m:r>
                    <w:rPr>
                      <w:rFonts w:ascii="Cambria Math" w:hAnsi="Cambria Math"/>
                      <w:color w:val="000000" w:themeColor="text1"/>
                    </w:rPr>
                    <m:t>1</m:t>
                  </m:r>
                </m:e>
              </m:d>
            </m:e>
          </m:nary>
        </m:oMath>
      </m:oMathPara>
    </w:p>
    <w:p w14:paraId="2492A795" w14:textId="4776F30C" w:rsidR="003E4A1F" w:rsidRPr="003F1412" w:rsidRDefault="00CB6B2D" w:rsidP="003F1412">
      <w:pPr>
        <w:spacing w:line="240" w:lineRule="auto"/>
        <w:rPr>
          <w:color w:val="000000" w:themeColor="text1"/>
        </w:rPr>
      </w:pPr>
      <w:r w:rsidRPr="003F1412">
        <w:rPr>
          <w:color w:val="000000" w:themeColor="text1"/>
        </w:rPr>
        <w:t xml:space="preserve">where </w:t>
      </w:r>
      <m:oMath>
        <m:r>
          <w:rPr>
            <w:rFonts w:ascii="Cambria Math" w:hAnsi="Cambria Math"/>
            <w:color w:val="000000" w:themeColor="text1"/>
          </w:rPr>
          <m:t>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i</m:t>
                </m:r>
              </m:sub>
            </m:sSub>
          </m:e>
        </m:d>
      </m:oMath>
      <w:r w:rsidRPr="003F1412">
        <w:rPr>
          <w:color w:val="000000" w:themeColor="text1"/>
        </w:rPr>
        <w:t xml:space="preserve"> represents the set of individuals at risk at time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i</m:t>
            </m:r>
          </m:sub>
        </m:sSub>
        <m:r>
          <w:rPr>
            <w:rFonts w:ascii="Cambria Math" w:hAnsi="Cambria Math"/>
            <w:color w:val="000000" w:themeColor="text1"/>
          </w:rPr>
          <m:t>.</m:t>
        </m:r>
      </m:oMath>
      <w:r w:rsidRPr="003F1412">
        <w:rPr>
          <w:color w:val="000000" w:themeColor="text1"/>
        </w:rPr>
        <w:t xml:space="preserve"> This</w:t>
      </w:r>
      <w:r w:rsidR="003E4A1F" w:rsidRPr="003F1412">
        <w:rPr>
          <w:color w:val="000000" w:themeColor="text1"/>
        </w:rPr>
        <w:t xml:space="preserve"> partial likelihood</w:t>
      </w:r>
      <w:r w:rsidRPr="003F1412">
        <w:rPr>
          <w:color w:val="000000" w:themeColor="text1"/>
        </w:rPr>
        <w:t xml:space="preserve"> approach</w:t>
      </w:r>
      <w:r w:rsidR="003E4A1F" w:rsidRPr="003F1412">
        <w:rPr>
          <w:color w:val="000000" w:themeColor="text1"/>
        </w:rPr>
        <w:t xml:space="preserve"> allow</w:t>
      </w:r>
      <w:r w:rsidRPr="003F1412">
        <w:rPr>
          <w:color w:val="000000" w:themeColor="text1"/>
        </w:rPr>
        <w:t xml:space="preserve">s </w:t>
      </w:r>
      <w:r w:rsidR="003E4A1F" w:rsidRPr="003F1412">
        <w:rPr>
          <w:color w:val="000000" w:themeColor="text1"/>
        </w:rPr>
        <w:t>for</w:t>
      </w:r>
      <w:r w:rsidR="00024903" w:rsidRPr="003F1412">
        <w:rPr>
          <w:color w:val="000000" w:themeColor="text1"/>
        </w:rPr>
        <w:t xml:space="preserve"> estimating the regression coefficients without needing to specify the baseline hazard function. </w:t>
      </w:r>
      <w:r w:rsidR="00E54239" w:rsidRPr="003F1412">
        <w:rPr>
          <w:color w:val="000000" w:themeColor="text1"/>
        </w:rPr>
        <w:t>Furthermore, the hazard ratio</w:t>
      </w:r>
      <w:r w:rsidR="00617BF0">
        <w:rPr>
          <w:color w:val="000000" w:themeColor="text1"/>
        </w:rPr>
        <w:t xml:space="preserve"> (HR)</w:t>
      </w:r>
      <w:r w:rsidR="00E54239" w:rsidRPr="003F1412">
        <w:rPr>
          <w:color w:val="000000" w:themeColor="text1"/>
        </w:rPr>
        <w:t xml:space="preserve"> </w:t>
      </w:r>
      <w:r w:rsidR="004218B4">
        <w:rPr>
          <w:color w:val="000000" w:themeColor="text1"/>
        </w:rPr>
        <w:t>associated</w:t>
      </w:r>
      <w:r w:rsidR="00E54239" w:rsidRPr="003F1412">
        <w:rPr>
          <w:color w:val="000000" w:themeColor="text1"/>
        </w:rPr>
        <w:t xml:space="preserve"> with </w:t>
      </w:r>
      <w:r w:rsidR="00C55B48">
        <w:rPr>
          <w:color w:val="000000" w:themeColor="text1"/>
        </w:rPr>
        <w:t>treatment</w:t>
      </w:r>
      <w:r w:rsidR="00AB5D8E">
        <w:rPr>
          <w:color w:val="000000" w:themeColor="text1"/>
        </w:rPr>
        <w:t xml:space="preserve"> options</w:t>
      </w:r>
      <w:r w:rsidR="003E4A1F" w:rsidRPr="003F1412">
        <w:rPr>
          <w:color w:val="000000" w:themeColor="text1"/>
        </w:rPr>
        <w:t xml:space="preserve"> </w:t>
      </w:r>
      <m:oMath>
        <m:r>
          <m:rPr>
            <m:sty m:val="bi"/>
          </m:rPr>
          <w:rPr>
            <w:rFonts w:ascii="Cambria Math" w:hAnsi="Cambria Math"/>
            <w:color w:val="000000" w:themeColor="text1"/>
          </w:rPr>
          <m:t>Z</m:t>
        </m:r>
        <m: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Z</m:t>
            </m:r>
          </m:e>
          <m:sub>
            <m:r>
              <m:rPr>
                <m:sty m:val="bi"/>
              </m:rPr>
              <w:rPr>
                <w:rFonts w:ascii="Cambria Math" w:hAnsi="Cambria Math"/>
                <w:color w:val="000000" w:themeColor="text1"/>
              </w:rPr>
              <m:t>1</m:t>
            </m:r>
          </m:sub>
        </m:sSub>
      </m:oMath>
      <w:r w:rsidR="00F52E2C">
        <w:rPr>
          <w:color w:val="000000" w:themeColor="text1"/>
        </w:rPr>
        <w:t xml:space="preserve"> (e.g., OBS) </w:t>
      </w:r>
      <w:r w:rsidR="003E4A1F" w:rsidRPr="003F1412">
        <w:rPr>
          <w:color w:val="000000" w:themeColor="text1"/>
        </w:rPr>
        <w:t xml:space="preserve">and </w:t>
      </w:r>
      <m:oMath>
        <m:r>
          <m:rPr>
            <m:sty m:val="bi"/>
          </m:rPr>
          <w:rPr>
            <w:rFonts w:ascii="Cambria Math" w:hAnsi="Cambria Math"/>
            <w:color w:val="000000" w:themeColor="text1"/>
          </w:rPr>
          <m:t>Z</m:t>
        </m:r>
        <m: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Z</m:t>
            </m:r>
          </m:e>
          <m:sub>
            <m:r>
              <m:rPr>
                <m:sty m:val="bi"/>
              </m:rPr>
              <w:rPr>
                <w:rFonts w:ascii="Cambria Math" w:hAnsi="Cambria Math"/>
                <w:color w:val="000000" w:themeColor="text1"/>
              </w:rPr>
              <m:t>2</m:t>
            </m:r>
          </m:sub>
        </m:sSub>
      </m:oMath>
      <w:r w:rsidR="00280F3E" w:rsidRPr="003F1412">
        <w:rPr>
          <w:color w:val="000000" w:themeColor="text1"/>
        </w:rPr>
        <w:t xml:space="preserve"> </w:t>
      </w:r>
      <w:r w:rsidR="00F52E2C">
        <w:rPr>
          <w:color w:val="000000" w:themeColor="text1"/>
        </w:rPr>
        <w:t xml:space="preserve">(e.g., ACT) </w:t>
      </w:r>
      <w:r w:rsidR="00280F3E" w:rsidRPr="003F1412">
        <w:rPr>
          <w:color w:val="000000" w:themeColor="text1"/>
        </w:rPr>
        <w:t xml:space="preserve">provides a measure of the relative risk: </w:t>
      </w: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900"/>
      </w:tblGrid>
      <w:tr w:rsidR="003E4A1F" w:rsidRPr="001D21FD" w14:paraId="04F07D56" w14:textId="77777777" w:rsidTr="0043203A">
        <w:tc>
          <w:tcPr>
            <w:tcW w:w="9360" w:type="dxa"/>
          </w:tcPr>
          <w:p w14:paraId="2933C497" w14:textId="261F39B9" w:rsidR="005B03CB" w:rsidRPr="0043203A" w:rsidRDefault="00290027" w:rsidP="003F1412">
            <w:pPr>
              <w:keepNext/>
              <w:rPr>
                <w:rFonts w:eastAsiaTheme="minorEastAsia"/>
                <w:color w:val="000000" w:themeColor="text1"/>
              </w:rPr>
            </w:pPr>
            <m:oMathPara>
              <m:oMathParaPr>
                <m:jc m:val="right"/>
              </m:oMathParaPr>
              <m:oMath>
                <m:r>
                  <w:rPr>
                    <w:rFonts w:ascii="Cambria Math" w:eastAsiaTheme="minorEastAsia" w:hAnsi="Cambria Math"/>
                    <w:color w:val="000000" w:themeColor="text1"/>
                  </w:rPr>
                  <w:lastRenderedPageBreak/>
                  <m:t>HR=</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h</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t</m:t>
                        </m:r>
                      </m:e>
                      <m:e>
                        <m:r>
                          <m:rPr>
                            <m:sty m:val="bi"/>
                          </m:rPr>
                          <w:rPr>
                            <w:rFonts w:ascii="Cambria Math" w:eastAsiaTheme="minorEastAsia" w:hAnsi="Cambria Math"/>
                            <w:color w:val="000000" w:themeColor="text1"/>
                          </w:rPr>
                          <m:t>Z</m:t>
                        </m:r>
                        <m:r>
                          <w:rPr>
                            <w:rFonts w:ascii="Cambria Math" w:eastAsiaTheme="minorEastAsia" w:hAnsi="Cambria Math"/>
                            <w:color w:val="000000" w:themeColor="text1"/>
                          </w:rPr>
                          <m:t>=</m:t>
                        </m:r>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Z</m:t>
                            </m:r>
                          </m:e>
                          <m:sub>
                            <m:r>
                              <m:rPr>
                                <m:sty m:val="bi"/>
                              </m:rPr>
                              <w:rPr>
                                <w:rFonts w:ascii="Cambria Math" w:eastAsiaTheme="minorEastAsia" w:hAnsi="Cambria Math"/>
                                <w:color w:val="000000" w:themeColor="text1"/>
                              </w:rPr>
                              <m:t>1</m:t>
                            </m:r>
                          </m:sub>
                        </m:sSub>
                      </m:e>
                    </m:d>
                  </m:num>
                  <m:den>
                    <m:r>
                      <w:rPr>
                        <w:rFonts w:ascii="Cambria Math" w:eastAsiaTheme="minorEastAsia" w:hAnsi="Cambria Math"/>
                        <w:color w:val="000000" w:themeColor="text1"/>
                      </w:rPr>
                      <m:t>h</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t</m:t>
                        </m:r>
                      </m:e>
                      <m:e>
                        <m:r>
                          <m:rPr>
                            <m:sty m:val="bi"/>
                          </m:rPr>
                          <w:rPr>
                            <w:rFonts w:ascii="Cambria Math" w:eastAsiaTheme="minorEastAsia" w:hAnsi="Cambria Math"/>
                            <w:color w:val="000000" w:themeColor="text1"/>
                          </w:rPr>
                          <m:t>Z</m:t>
                        </m:r>
                        <m:r>
                          <w:rPr>
                            <w:rFonts w:ascii="Cambria Math" w:eastAsiaTheme="minorEastAsia" w:hAnsi="Cambria Math"/>
                            <w:color w:val="000000" w:themeColor="text1"/>
                          </w:rPr>
                          <m:t>=</m:t>
                        </m:r>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Z</m:t>
                            </m:r>
                          </m:e>
                          <m:sub>
                            <m:r>
                              <m:rPr>
                                <m:sty m:val="bi"/>
                              </m:rPr>
                              <w:rPr>
                                <w:rFonts w:ascii="Cambria Math" w:eastAsiaTheme="minorEastAsia" w:hAnsi="Cambria Math"/>
                                <w:color w:val="000000" w:themeColor="text1"/>
                              </w:rPr>
                              <m:t>2</m:t>
                            </m:r>
                          </m:sub>
                        </m:sSub>
                      </m:e>
                    </m:d>
                  </m:den>
                </m:f>
                <m:r>
                  <w:rPr>
                    <w:rFonts w:ascii="Cambria Math" w:eastAsiaTheme="minorEastAsia" w:hAnsi="Cambria Math"/>
                    <w:color w:val="000000" w:themeColor="text1"/>
                  </w:rPr>
                  <m:t>=</m:t>
                </m:r>
                <m:func>
                  <m:funcPr>
                    <m:ctrlPr>
                      <w:rPr>
                        <w:rFonts w:ascii="Cambria Math"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hAnsi="Cambria Math"/>
                            <w:i/>
                            <w:color w:val="000000" w:themeColor="text1"/>
                          </w:rPr>
                        </m:ctrlPr>
                      </m:dPr>
                      <m:e>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p</m:t>
                            </m:r>
                          </m:sup>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i</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1j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2j</m:t>
                                    </m:r>
                                  </m:sub>
                                </m:sSub>
                              </m:e>
                            </m:d>
                          </m:e>
                        </m:nary>
                      </m:e>
                    </m:d>
                  </m:e>
                </m:func>
                <m:r>
                  <w:rPr>
                    <w:rFonts w:ascii="Cambria Math" w:eastAsiaTheme="minorEastAsia" w:hAnsi="Cambria Math"/>
                    <w:color w:val="000000" w:themeColor="text1"/>
                  </w:rPr>
                  <m:t xml:space="preserve">,                                     </m:t>
                </m:r>
                <m:d>
                  <m:dPr>
                    <m:ctrlPr>
                      <w:rPr>
                        <w:rFonts w:ascii="Cambria Math" w:hAnsi="Cambria Math"/>
                        <w:i/>
                        <w:color w:val="000000" w:themeColor="text1"/>
                      </w:rPr>
                    </m:ctrlPr>
                  </m:dPr>
                  <m:e>
                    <m:r>
                      <w:rPr>
                        <w:rFonts w:ascii="Cambria Math" w:eastAsiaTheme="minorEastAsia" w:hAnsi="Cambria Math"/>
                        <w:color w:val="000000" w:themeColor="text1"/>
                      </w:rPr>
                      <m:t>2</m:t>
                    </m:r>
                  </m:e>
                </m:d>
                <m:r>
                  <w:rPr>
                    <w:rFonts w:ascii="Cambria Math" w:eastAsiaTheme="minorEastAsia" w:hAnsi="Cambria Math"/>
                    <w:color w:val="000000" w:themeColor="text1"/>
                  </w:rPr>
                  <m:t xml:space="preserve"> </m:t>
                </m:r>
              </m:oMath>
            </m:oMathPara>
          </w:p>
        </w:tc>
        <w:tc>
          <w:tcPr>
            <w:tcW w:w="900" w:type="dxa"/>
          </w:tcPr>
          <w:p w14:paraId="420996F1" w14:textId="141E143D" w:rsidR="003E4A1F" w:rsidRPr="001D21FD" w:rsidRDefault="003E4A1F" w:rsidP="003F1412">
            <w:pPr>
              <w:pStyle w:val="Caption"/>
              <w:jc w:val="right"/>
              <w:rPr>
                <w:color w:val="000000" w:themeColor="text1"/>
                <w:sz w:val="24"/>
                <w:szCs w:val="24"/>
              </w:rPr>
            </w:pPr>
          </w:p>
        </w:tc>
      </w:tr>
    </w:tbl>
    <w:p w14:paraId="73BE7855" w14:textId="1EF97AD9" w:rsidR="00D72725" w:rsidRDefault="001E5AA0" w:rsidP="005B483F">
      <w:pPr>
        <w:rPr>
          <w:rFonts w:eastAsia="Malgun Gothic"/>
          <w:lang w:eastAsia="ko-KR"/>
        </w:rPr>
      </w:pPr>
      <w:r w:rsidRPr="003F1412">
        <w:rPr>
          <w:color w:val="000000" w:themeColor="text1"/>
        </w:rPr>
        <w:t xml:space="preserve">where </w:t>
      </w:r>
      <m:oMath>
        <m:r>
          <w:rPr>
            <w:rFonts w:ascii="Cambria Math" w:hAnsi="Cambria Math"/>
            <w:color w:val="000000" w:themeColor="text1"/>
          </w:rPr>
          <m:t>β</m:t>
        </m:r>
      </m:oMath>
      <w:r w:rsidR="006B6DF6" w:rsidRPr="003F1412">
        <w:rPr>
          <w:color w:val="000000" w:themeColor="text1"/>
        </w:rPr>
        <w:t xml:space="preserve"> </w:t>
      </w:r>
      <w:r w:rsidR="006B6DF6">
        <w:rPr>
          <w:color w:val="000000" w:themeColor="text1"/>
        </w:rPr>
        <w:t xml:space="preserve">is </w:t>
      </w:r>
      <w:r w:rsidR="004471EF">
        <w:rPr>
          <w:color w:val="000000" w:themeColor="text1"/>
        </w:rPr>
        <w:t xml:space="preserve">the estimated model coefficients, and </w:t>
      </w:r>
      <w:r w:rsidRPr="003F1412">
        <w:rPr>
          <w:color w:val="000000" w:themeColor="text1"/>
        </w:rPr>
        <w:t>the exponent represents the difference in risk based on their respective</w:t>
      </w:r>
      <w:r>
        <w:rPr>
          <w:color w:val="000000" w:themeColor="text1"/>
        </w:rPr>
        <w:t xml:space="preserve"> </w:t>
      </w:r>
      <w:r w:rsidR="00C55B48">
        <w:rPr>
          <w:color w:val="000000" w:themeColor="text1"/>
        </w:rPr>
        <w:t>treatment</w:t>
      </w:r>
      <w:r w:rsidR="007049B4">
        <w:rPr>
          <w:color w:val="000000" w:themeColor="text1"/>
        </w:rPr>
        <w:t>s</w:t>
      </w:r>
      <w:r w:rsidRPr="003F1412">
        <w:rPr>
          <w:color w:val="000000" w:themeColor="text1"/>
        </w:rPr>
        <w:t>.</w:t>
      </w:r>
    </w:p>
    <w:p w14:paraId="07B6412E" w14:textId="05ADCF88" w:rsidR="00AB007E" w:rsidRDefault="00740B83" w:rsidP="00740B83">
      <w:pPr>
        <w:rPr>
          <w:rFonts w:eastAsia="Malgun Gothic"/>
          <w:lang w:eastAsia="ko-KR"/>
        </w:rPr>
      </w:pPr>
      <w:r>
        <w:rPr>
          <w:rFonts w:eastAsia="Malgun Gothic"/>
          <w:lang w:eastAsia="ko-KR"/>
        </w:rPr>
        <w:tab/>
      </w:r>
      <w:r w:rsidR="00916A31">
        <w:rPr>
          <w:rFonts w:eastAsia="Malgun Gothic"/>
          <w:lang w:eastAsia="ko-KR"/>
        </w:rPr>
        <w:t xml:space="preserve">With genomic data, where the number of predictors greatly exceeds the number of observations, </w:t>
      </w:r>
      <w:r w:rsidR="00F319A5">
        <w:rPr>
          <w:rFonts w:eastAsia="Malgun Gothic"/>
          <w:lang w:eastAsia="ko-KR"/>
        </w:rPr>
        <w:t xml:space="preserve">the Cox regression </w:t>
      </w:r>
      <w:r w:rsidR="00257483">
        <w:rPr>
          <w:rFonts w:eastAsia="Malgun Gothic"/>
          <w:lang w:eastAsia="ko-KR"/>
        </w:rPr>
        <w:t>models</w:t>
      </w:r>
      <w:r w:rsidR="00F319A5">
        <w:rPr>
          <w:rFonts w:eastAsia="Malgun Gothic"/>
          <w:lang w:eastAsia="ko-KR"/>
        </w:rPr>
        <w:t xml:space="preserve"> often struggle with overfitting and inflated variance</w:t>
      </w:r>
      <w:r w:rsidR="00FB6FE7">
        <w:rPr>
          <w:rFonts w:eastAsia="Malgun Gothic"/>
          <w:lang w:eastAsia="ko-KR"/>
        </w:rPr>
        <w:t>, leading to unreliable model predictions. To address</w:t>
      </w:r>
      <w:r w:rsidR="00257483">
        <w:rPr>
          <w:rFonts w:eastAsia="Malgun Gothic"/>
          <w:lang w:eastAsia="ko-KR"/>
        </w:rPr>
        <w:t xml:space="preserve"> these challenges</w:t>
      </w:r>
      <w:r w:rsidR="007A6D43">
        <w:rPr>
          <w:rFonts w:eastAsia="Malgun Gothic"/>
          <w:lang w:eastAsia="ko-KR"/>
        </w:rPr>
        <w:t xml:space="preserve">, it becomes crucial to select the most informative variables while simultaneously regularizing </w:t>
      </w:r>
      <w:r w:rsidR="004E02AE">
        <w:rPr>
          <w:rFonts w:eastAsia="Malgun Gothic"/>
          <w:lang w:eastAsia="ko-KR"/>
        </w:rPr>
        <w:t>the model to control complexity. Regularized Cox regression with an elastic net penalty</w:t>
      </w:r>
      <w:r w:rsidR="00FB6FE7">
        <w:rPr>
          <w:rFonts w:eastAsia="Malgun Gothic"/>
          <w:lang w:eastAsia="ko-KR"/>
        </w:rPr>
        <w:t xml:space="preserve"> </w:t>
      </w:r>
      <w:r w:rsidR="005D7139">
        <w:rPr>
          <w:rFonts w:eastAsia="Malgun Gothic"/>
          <w:lang w:eastAsia="ko-KR"/>
        </w:rPr>
        <w:t>(</w:t>
      </w:r>
      <w:r w:rsidR="00716414">
        <w:rPr>
          <w:rFonts w:eastAsia="Malgun Gothic"/>
          <w:lang w:eastAsia="ko-KR"/>
        </w:rPr>
        <w:t xml:space="preserve">Zou and Hastie, </w:t>
      </w:r>
      <w:r w:rsidR="00CE0BCD">
        <w:rPr>
          <w:rFonts w:eastAsia="Malgun Gothic"/>
          <w:lang w:eastAsia="ko-KR"/>
        </w:rPr>
        <w:t>2005</w:t>
      </w:r>
      <w:r w:rsidR="005D7139">
        <w:rPr>
          <w:rFonts w:eastAsia="Malgun Gothic"/>
          <w:lang w:eastAsia="ko-KR"/>
        </w:rPr>
        <w:t xml:space="preserve">) offers a robust solution by combining the strengths of both </w:t>
      </w:r>
      <m:oMath>
        <m:sSub>
          <m:sSubPr>
            <m:ctrlPr>
              <w:rPr>
                <w:rFonts w:ascii="Cambria Math" w:eastAsia="Malgun Gothic" w:hAnsi="Cambria Math"/>
                <w:i/>
                <w:lang w:eastAsia="ko-KR"/>
              </w:rPr>
            </m:ctrlPr>
          </m:sSubPr>
          <m:e>
            <m:r>
              <w:rPr>
                <w:rFonts w:ascii="Cambria Math" w:eastAsia="Malgun Gothic" w:hAnsi="Cambria Math"/>
                <w:lang w:eastAsia="ko-KR"/>
              </w:rPr>
              <m:t>L</m:t>
            </m:r>
          </m:e>
          <m:sub>
            <m:r>
              <w:rPr>
                <w:rFonts w:ascii="Cambria Math" w:eastAsia="Malgun Gothic" w:hAnsi="Cambria Math"/>
                <w:lang w:eastAsia="ko-KR"/>
              </w:rPr>
              <m:t>1</m:t>
            </m:r>
          </m:sub>
        </m:sSub>
      </m:oMath>
      <w:r w:rsidR="005D7139">
        <w:rPr>
          <w:rFonts w:eastAsia="Malgun Gothic"/>
          <w:lang w:eastAsia="ko-KR"/>
        </w:rPr>
        <w:t xml:space="preserve"> (lasso) and </w:t>
      </w:r>
      <m:oMath>
        <m:sSub>
          <m:sSubPr>
            <m:ctrlPr>
              <w:rPr>
                <w:rFonts w:ascii="Cambria Math" w:eastAsia="Malgun Gothic" w:hAnsi="Cambria Math"/>
                <w:i/>
                <w:lang w:eastAsia="ko-KR"/>
              </w:rPr>
            </m:ctrlPr>
          </m:sSubPr>
          <m:e>
            <m:r>
              <w:rPr>
                <w:rFonts w:ascii="Cambria Math" w:eastAsia="Malgun Gothic" w:hAnsi="Cambria Math"/>
                <w:lang w:eastAsia="ko-KR"/>
              </w:rPr>
              <m:t>L</m:t>
            </m:r>
          </m:e>
          <m:sub>
            <m:r>
              <w:rPr>
                <w:rFonts w:ascii="Cambria Math" w:eastAsia="Malgun Gothic" w:hAnsi="Cambria Math"/>
                <w:lang w:eastAsia="ko-KR"/>
              </w:rPr>
              <m:t>2</m:t>
            </m:r>
          </m:sub>
        </m:sSub>
      </m:oMath>
      <w:r w:rsidR="005D7139">
        <w:rPr>
          <w:rFonts w:eastAsia="Malgun Gothic"/>
          <w:lang w:eastAsia="ko-KR"/>
        </w:rPr>
        <w:t xml:space="preserve"> (ridge) regulari</w:t>
      </w:r>
      <w:r w:rsidR="00755EEE">
        <w:rPr>
          <w:rFonts w:eastAsia="Malgun Gothic"/>
          <w:lang w:eastAsia="ko-KR"/>
        </w:rPr>
        <w:t xml:space="preserve">zation techniques. This approach not only enhances variable selection by shrinking coefficients of less </w:t>
      </w:r>
      <w:r w:rsidR="00F700C6">
        <w:rPr>
          <w:rFonts w:eastAsia="Malgun Gothic"/>
          <w:lang w:eastAsia="ko-KR"/>
        </w:rPr>
        <w:t>relevant predictors to zero but also retains stability in the presence of multicollinearity</w:t>
      </w:r>
      <w:r w:rsidR="00C857BF">
        <w:rPr>
          <w:rFonts w:eastAsia="Malgun Gothic"/>
          <w:lang w:eastAsia="ko-KR"/>
        </w:rPr>
        <w:t xml:space="preserve">. This ensures a balance between interpretability and predictive performance. </w:t>
      </w:r>
      <w:r w:rsidR="00341324">
        <w:rPr>
          <w:rFonts w:eastAsia="Malgun Gothic"/>
          <w:lang w:eastAsia="ko-KR"/>
        </w:rPr>
        <w:t>Thus, elastic net regularization provides a powerful framework for building reliable survival models in the context of high-dimensional</w:t>
      </w:r>
      <w:r w:rsidR="0038204B">
        <w:rPr>
          <w:rFonts w:eastAsia="Malgun Gothic"/>
          <w:lang w:eastAsia="ko-KR"/>
        </w:rPr>
        <w:t xml:space="preserve"> survival</w:t>
      </w:r>
      <w:r w:rsidR="00341324">
        <w:rPr>
          <w:rFonts w:eastAsia="Malgun Gothic"/>
          <w:lang w:eastAsia="ko-KR"/>
        </w:rPr>
        <w:t xml:space="preserve"> data.</w:t>
      </w:r>
    </w:p>
    <w:p w14:paraId="5A46FB7D" w14:textId="14BCDD53" w:rsidR="00C518A6" w:rsidRDefault="0038204B" w:rsidP="00740B83">
      <w:pPr>
        <w:rPr>
          <w:rFonts w:eastAsia="Malgun Gothic"/>
          <w:lang w:eastAsia="ko-KR"/>
        </w:rPr>
      </w:pPr>
      <w:r>
        <w:rPr>
          <w:rFonts w:eastAsia="Malgun Gothic"/>
          <w:lang w:eastAsia="ko-KR"/>
        </w:rPr>
        <w:tab/>
      </w:r>
      <w:r w:rsidR="00BA150F">
        <w:rPr>
          <w:rFonts w:eastAsia="Malgun Gothic"/>
          <w:lang w:eastAsia="ko-KR"/>
        </w:rPr>
        <w:t>The Cox</w:t>
      </w:r>
      <w:r w:rsidR="001F2A10">
        <w:rPr>
          <w:rFonts w:eastAsia="Malgun Gothic"/>
          <w:lang w:eastAsia="ko-KR"/>
        </w:rPr>
        <w:t xml:space="preserve"> PH model</w:t>
      </w:r>
      <w:r w:rsidR="00B2496D">
        <w:rPr>
          <w:rFonts w:eastAsia="Malgun Gothic"/>
          <w:lang w:eastAsia="ko-KR"/>
        </w:rPr>
        <w:t>, defined by its partial log-likelihood, is ex</w:t>
      </w:r>
      <w:r w:rsidR="0007338F">
        <w:rPr>
          <w:rFonts w:eastAsia="Malgun Gothic"/>
          <w:lang w:eastAsia="ko-KR"/>
        </w:rPr>
        <w:t>tended with an elastic net penalty</w:t>
      </w:r>
      <w:r w:rsidR="00890175">
        <w:rPr>
          <w:rFonts w:eastAsia="Malgun Gothic"/>
          <w:lang w:eastAsia="ko-KR"/>
        </w:rPr>
        <w:t xml:space="preserve"> that is </w:t>
      </w:r>
      <w:r w:rsidR="00B05A76">
        <w:rPr>
          <w:rFonts w:eastAsia="Malgun Gothic"/>
          <w:lang w:eastAsia="ko-KR"/>
        </w:rPr>
        <w:t>expressed as:</w:t>
      </w:r>
    </w:p>
    <w:p w14:paraId="144A5C5B" w14:textId="4E1D6C64" w:rsidR="00B05A76" w:rsidRPr="007E19F8" w:rsidRDefault="00C30D0E" w:rsidP="00740B83">
      <w:pPr>
        <w:rPr>
          <w:rFonts w:eastAsia="Malgun Gothic"/>
          <w:lang w:eastAsia="ko-KR"/>
        </w:rPr>
      </w:pPr>
      <m:oMathPara>
        <m:oMath>
          <m:r>
            <w:rPr>
              <w:rFonts w:ascii="Cambria Math" w:eastAsia="Malgun Gothic" w:hAnsi="Cambria Math"/>
              <w:lang w:eastAsia="ko-KR"/>
            </w:rPr>
            <m:t>penalty=λ</m:t>
          </m:r>
          <m:d>
            <m:dPr>
              <m:ctrlPr>
                <w:rPr>
                  <w:rFonts w:ascii="Cambria Math" w:eastAsia="Malgun Gothic" w:hAnsi="Cambria Math"/>
                  <w:i/>
                  <w:lang w:eastAsia="ko-KR"/>
                </w:rPr>
              </m:ctrlPr>
            </m:dPr>
            <m:e>
              <m:r>
                <w:rPr>
                  <w:rFonts w:ascii="Cambria Math" w:eastAsia="Malgun Gothic" w:hAnsi="Cambria Math"/>
                  <w:lang w:eastAsia="ko-KR"/>
                </w:rPr>
                <m:t>α</m:t>
              </m:r>
              <m:nary>
                <m:naryPr>
                  <m:chr m:val="∑"/>
                  <m:limLoc m:val="undOvr"/>
                  <m:ctrlPr>
                    <w:rPr>
                      <w:rFonts w:ascii="Cambria Math" w:eastAsia="Malgun Gothic" w:hAnsi="Cambria Math"/>
                      <w:i/>
                      <w:lang w:eastAsia="ko-KR"/>
                    </w:rPr>
                  </m:ctrlPr>
                </m:naryPr>
                <m:sub>
                  <m:r>
                    <w:rPr>
                      <w:rFonts w:ascii="Cambria Math" w:eastAsia="Malgun Gothic" w:hAnsi="Cambria Math"/>
                      <w:lang w:eastAsia="ko-KR"/>
                    </w:rPr>
                    <m:t>j=1</m:t>
                  </m:r>
                </m:sub>
                <m:sup>
                  <m:r>
                    <w:rPr>
                      <w:rFonts w:ascii="Cambria Math" w:eastAsia="Malgun Gothic" w:hAnsi="Cambria Math"/>
                      <w:lang w:eastAsia="ko-KR"/>
                    </w:rPr>
                    <m:t>p</m:t>
                  </m:r>
                </m:sup>
                <m:e>
                  <m:d>
                    <m:dPr>
                      <m:begChr m:val="|"/>
                      <m:endChr m:val="|"/>
                      <m:ctrlPr>
                        <w:rPr>
                          <w:rFonts w:ascii="Cambria Math" w:eastAsia="Malgun Gothic" w:hAnsi="Cambria Math"/>
                          <w:i/>
                          <w:lang w:eastAsia="ko-KR"/>
                        </w:rPr>
                      </m:ctrlPr>
                    </m:dPr>
                    <m:e>
                      <m:sSub>
                        <m:sSubPr>
                          <m:ctrlPr>
                            <w:rPr>
                              <w:rFonts w:ascii="Cambria Math" w:eastAsia="Malgun Gothic" w:hAnsi="Cambria Math"/>
                              <w:i/>
                              <w:lang w:eastAsia="ko-KR"/>
                            </w:rPr>
                          </m:ctrlPr>
                        </m:sSubPr>
                        <m:e>
                          <m:r>
                            <w:rPr>
                              <w:rFonts w:ascii="Cambria Math" w:eastAsia="Malgun Gothic" w:hAnsi="Cambria Math"/>
                              <w:lang w:eastAsia="ko-KR"/>
                            </w:rPr>
                            <m:t>β</m:t>
                          </m:r>
                        </m:e>
                        <m:sub>
                          <m:r>
                            <w:rPr>
                              <w:rFonts w:ascii="Cambria Math" w:eastAsia="Malgun Gothic" w:hAnsi="Cambria Math"/>
                              <w:lang w:eastAsia="ko-KR"/>
                            </w:rPr>
                            <m:t>j</m:t>
                          </m:r>
                        </m:sub>
                      </m:sSub>
                    </m:e>
                  </m:d>
                </m:e>
              </m:nary>
              <m:r>
                <w:rPr>
                  <w:rFonts w:ascii="Cambria Math" w:eastAsia="Malgun Gothic" w:hAnsi="Cambria Math"/>
                  <w:lang w:eastAsia="ko-KR"/>
                </w:rPr>
                <m:t>+</m:t>
              </m:r>
              <m:f>
                <m:fPr>
                  <m:ctrlPr>
                    <w:rPr>
                      <w:rFonts w:ascii="Cambria Math" w:eastAsia="Malgun Gothic" w:hAnsi="Cambria Math"/>
                      <w:i/>
                      <w:lang w:eastAsia="ko-KR"/>
                    </w:rPr>
                  </m:ctrlPr>
                </m:fPr>
                <m:num>
                  <m:r>
                    <w:rPr>
                      <w:rFonts w:ascii="Cambria Math" w:eastAsia="Malgun Gothic" w:hAnsi="Cambria Math"/>
                      <w:lang w:eastAsia="ko-KR"/>
                    </w:rPr>
                    <m:t>1-α</m:t>
                  </m:r>
                </m:num>
                <m:den>
                  <m:r>
                    <w:rPr>
                      <w:rFonts w:ascii="Cambria Math" w:eastAsia="Malgun Gothic" w:hAnsi="Cambria Math"/>
                      <w:lang w:eastAsia="ko-KR"/>
                    </w:rPr>
                    <m:t>2</m:t>
                  </m:r>
                </m:den>
              </m:f>
              <m:nary>
                <m:naryPr>
                  <m:chr m:val="∑"/>
                  <m:limLoc m:val="undOvr"/>
                  <m:ctrlPr>
                    <w:rPr>
                      <w:rFonts w:ascii="Cambria Math" w:eastAsia="Malgun Gothic" w:hAnsi="Cambria Math"/>
                      <w:i/>
                      <w:lang w:eastAsia="ko-KR"/>
                    </w:rPr>
                  </m:ctrlPr>
                </m:naryPr>
                <m:sub>
                  <m:r>
                    <w:rPr>
                      <w:rFonts w:ascii="Cambria Math" w:eastAsia="Malgun Gothic" w:hAnsi="Cambria Math"/>
                      <w:lang w:eastAsia="ko-KR"/>
                    </w:rPr>
                    <m:t>j=1</m:t>
                  </m:r>
                </m:sub>
                <m:sup>
                  <m:r>
                    <w:rPr>
                      <w:rFonts w:ascii="Cambria Math" w:eastAsia="Malgun Gothic" w:hAnsi="Cambria Math"/>
                      <w:lang w:eastAsia="ko-KR"/>
                    </w:rPr>
                    <m:t>p</m:t>
                  </m:r>
                </m:sup>
                <m:e>
                  <m:sSubSup>
                    <m:sSubSupPr>
                      <m:ctrlPr>
                        <w:rPr>
                          <w:rFonts w:ascii="Cambria Math" w:eastAsia="Malgun Gothic" w:hAnsi="Cambria Math"/>
                          <w:i/>
                          <w:lang w:eastAsia="ko-KR"/>
                        </w:rPr>
                      </m:ctrlPr>
                    </m:sSubSupPr>
                    <m:e>
                      <m:r>
                        <w:rPr>
                          <w:rFonts w:ascii="Cambria Math" w:eastAsia="Malgun Gothic" w:hAnsi="Cambria Math"/>
                          <w:lang w:eastAsia="ko-KR"/>
                        </w:rPr>
                        <m:t>β</m:t>
                      </m:r>
                    </m:e>
                    <m:sub>
                      <m:r>
                        <w:rPr>
                          <w:rFonts w:ascii="Cambria Math" w:eastAsia="Malgun Gothic" w:hAnsi="Cambria Math"/>
                          <w:lang w:eastAsia="ko-KR"/>
                        </w:rPr>
                        <m:t>j</m:t>
                      </m:r>
                    </m:sub>
                    <m:sup>
                      <m:r>
                        <w:rPr>
                          <w:rFonts w:ascii="Cambria Math" w:eastAsia="Malgun Gothic" w:hAnsi="Cambria Math"/>
                          <w:lang w:eastAsia="ko-KR"/>
                        </w:rPr>
                        <m:t>2</m:t>
                      </m:r>
                    </m:sup>
                  </m:sSubSup>
                </m:e>
              </m:nary>
            </m:e>
          </m:d>
          <m:r>
            <w:rPr>
              <w:rFonts w:ascii="Cambria Math" w:eastAsia="Malgun Gothic" w:hAnsi="Cambria Math"/>
              <w:lang w:eastAsia="ko-KR"/>
            </w:rPr>
            <m:t>,</m:t>
          </m:r>
        </m:oMath>
      </m:oMathPara>
    </w:p>
    <w:p w14:paraId="45ADD25F" w14:textId="412F1A08" w:rsidR="00890175" w:rsidRDefault="007E19F8" w:rsidP="00890175">
      <w:pPr>
        <w:rPr>
          <w:rFonts w:eastAsia="Malgun Gothic"/>
          <w:lang w:eastAsia="ko-KR"/>
        </w:rPr>
      </w:pPr>
      <w:r>
        <w:rPr>
          <w:rFonts w:eastAsia="Malgun Gothic"/>
          <w:lang w:eastAsia="ko-KR"/>
        </w:rPr>
        <w:t xml:space="preserve">where </w:t>
      </w:r>
      <m:oMath>
        <m:r>
          <w:rPr>
            <w:rFonts w:ascii="Cambria Math" w:eastAsia="Malgun Gothic" w:hAnsi="Cambria Math"/>
            <w:lang w:eastAsia="ko-KR"/>
          </w:rPr>
          <m:t>λ</m:t>
        </m:r>
      </m:oMath>
      <w:r>
        <w:rPr>
          <w:rFonts w:eastAsia="Malgun Gothic"/>
          <w:lang w:eastAsia="ko-KR"/>
        </w:rPr>
        <w:t xml:space="preserve"> is the tuning parameter </w:t>
      </w:r>
      <w:r w:rsidR="00960BE3">
        <w:rPr>
          <w:rFonts w:eastAsia="Malgun Gothic"/>
          <w:lang w:eastAsia="ko-KR"/>
        </w:rPr>
        <w:t>con</w:t>
      </w:r>
      <w:r w:rsidR="00296E10">
        <w:rPr>
          <w:rFonts w:eastAsia="Malgun Gothic"/>
          <w:lang w:eastAsia="ko-KR"/>
        </w:rPr>
        <w:t>t</w:t>
      </w:r>
      <w:r w:rsidR="00960BE3">
        <w:rPr>
          <w:rFonts w:eastAsia="Malgun Gothic"/>
          <w:lang w:eastAsia="ko-KR"/>
        </w:rPr>
        <w:t>rolling</w:t>
      </w:r>
      <w:r>
        <w:rPr>
          <w:rFonts w:eastAsia="Malgun Gothic"/>
          <w:lang w:eastAsia="ko-KR"/>
        </w:rPr>
        <w:t xml:space="preserve"> the overall strength of regularization, </w:t>
      </w:r>
      <m:oMath>
        <m:r>
          <w:rPr>
            <w:rFonts w:ascii="Cambria Math" w:eastAsia="Malgun Gothic" w:hAnsi="Cambria Math"/>
            <w:lang w:eastAsia="ko-KR"/>
          </w:rPr>
          <m:t>α</m:t>
        </m:r>
      </m:oMath>
      <w:r>
        <w:rPr>
          <w:rFonts w:eastAsia="Malgun Gothic"/>
          <w:lang w:eastAsia="ko-KR"/>
        </w:rPr>
        <w:t xml:space="preserve"> is the </w:t>
      </w:r>
      <w:r w:rsidR="00CA325E">
        <w:rPr>
          <w:rFonts w:eastAsia="Malgun Gothic"/>
          <w:lang w:eastAsia="ko-KR"/>
        </w:rPr>
        <w:t>mixing</w:t>
      </w:r>
      <w:r>
        <w:rPr>
          <w:rFonts w:eastAsia="Malgun Gothic"/>
          <w:lang w:eastAsia="ko-KR"/>
        </w:rPr>
        <w:t xml:space="preserve"> parameter</w:t>
      </w:r>
      <w:r w:rsidR="000A16C7">
        <w:rPr>
          <w:rFonts w:eastAsia="Malgun Gothic"/>
          <w:lang w:eastAsia="ko-KR"/>
        </w:rPr>
        <w:t xml:space="preserve"> balancing the </w:t>
      </w:r>
      <m:oMath>
        <m:sSub>
          <m:sSubPr>
            <m:ctrlPr>
              <w:rPr>
                <w:rFonts w:ascii="Cambria Math" w:eastAsia="Malgun Gothic" w:hAnsi="Cambria Math"/>
                <w:i/>
                <w:lang w:eastAsia="ko-KR"/>
              </w:rPr>
            </m:ctrlPr>
          </m:sSubPr>
          <m:e>
            <m:r>
              <w:rPr>
                <w:rFonts w:ascii="Cambria Math" w:eastAsia="Malgun Gothic" w:hAnsi="Cambria Math"/>
                <w:lang w:eastAsia="ko-KR"/>
              </w:rPr>
              <m:t>L</m:t>
            </m:r>
          </m:e>
          <m:sub>
            <m:r>
              <w:rPr>
                <w:rFonts w:ascii="Cambria Math" w:eastAsia="Malgun Gothic" w:hAnsi="Cambria Math"/>
                <w:lang w:eastAsia="ko-KR"/>
              </w:rPr>
              <m:t>1</m:t>
            </m:r>
          </m:sub>
        </m:sSub>
      </m:oMath>
      <w:r w:rsidR="000A16C7">
        <w:rPr>
          <w:rFonts w:eastAsia="Malgun Gothic"/>
          <w:lang w:eastAsia="ko-KR"/>
        </w:rPr>
        <w:t xml:space="preserve"> (lasso</w:t>
      </w:r>
      <w:r w:rsidR="00F35638">
        <w:rPr>
          <w:rFonts w:eastAsia="Malgun Gothic"/>
          <w:lang w:eastAsia="ko-KR"/>
        </w:rPr>
        <w:t xml:space="preserve">, </w:t>
      </w:r>
      <m:oMath>
        <m:r>
          <w:rPr>
            <w:rFonts w:ascii="Cambria Math" w:eastAsia="Malgun Gothic" w:hAnsi="Cambria Math"/>
            <w:lang w:eastAsia="ko-KR"/>
          </w:rPr>
          <m:t>α=1</m:t>
        </m:r>
      </m:oMath>
      <w:r w:rsidR="000A16C7">
        <w:rPr>
          <w:rFonts w:eastAsia="Malgun Gothic"/>
          <w:lang w:eastAsia="ko-KR"/>
        </w:rPr>
        <w:t>)</w:t>
      </w:r>
      <w:r w:rsidR="001E3803">
        <w:rPr>
          <w:rFonts w:eastAsia="Malgun Gothic"/>
          <w:lang w:eastAsia="ko-KR"/>
        </w:rPr>
        <w:t xml:space="preserve"> and </w:t>
      </w:r>
      <m:oMath>
        <m:sSub>
          <m:sSubPr>
            <m:ctrlPr>
              <w:rPr>
                <w:rFonts w:ascii="Cambria Math" w:eastAsia="Malgun Gothic" w:hAnsi="Cambria Math"/>
                <w:i/>
                <w:lang w:eastAsia="ko-KR"/>
              </w:rPr>
            </m:ctrlPr>
          </m:sSubPr>
          <m:e>
            <m:r>
              <w:rPr>
                <w:rFonts w:ascii="Cambria Math" w:eastAsia="Malgun Gothic" w:hAnsi="Cambria Math"/>
                <w:lang w:eastAsia="ko-KR"/>
              </w:rPr>
              <m:t>L</m:t>
            </m:r>
          </m:e>
          <m:sub>
            <m:r>
              <w:rPr>
                <w:rFonts w:ascii="Cambria Math" w:eastAsia="Malgun Gothic" w:hAnsi="Cambria Math"/>
                <w:lang w:eastAsia="ko-KR"/>
              </w:rPr>
              <m:t>2</m:t>
            </m:r>
          </m:sub>
        </m:sSub>
      </m:oMath>
      <w:r w:rsidR="001E3803">
        <w:rPr>
          <w:rFonts w:eastAsia="Malgun Gothic"/>
          <w:lang w:eastAsia="ko-KR"/>
        </w:rPr>
        <w:t xml:space="preserve"> (ridge</w:t>
      </w:r>
      <w:r w:rsidR="00F35638">
        <w:rPr>
          <w:rFonts w:eastAsia="Malgun Gothic"/>
          <w:lang w:eastAsia="ko-KR"/>
        </w:rPr>
        <w:t xml:space="preserve">, </w:t>
      </w:r>
      <m:oMath>
        <m:r>
          <w:rPr>
            <w:rFonts w:ascii="Cambria Math" w:eastAsia="Malgun Gothic" w:hAnsi="Cambria Math"/>
            <w:lang w:eastAsia="ko-KR"/>
          </w:rPr>
          <m:t>α=0</m:t>
        </m:r>
      </m:oMath>
      <w:r w:rsidR="001E3803">
        <w:rPr>
          <w:rFonts w:eastAsia="Malgun Gothic"/>
          <w:lang w:eastAsia="ko-KR"/>
        </w:rPr>
        <w:t>)</w:t>
      </w:r>
      <w:r w:rsidR="004E6811">
        <w:rPr>
          <w:rFonts w:eastAsia="Malgun Gothic"/>
          <w:lang w:eastAsia="ko-KR"/>
        </w:rPr>
        <w:t xml:space="preserve"> penalties</w:t>
      </w:r>
      <w:r w:rsidR="00BF700D">
        <w:rPr>
          <w:rFonts w:eastAsia="Malgun Gothic"/>
          <w:lang w:eastAsia="ko-KR"/>
        </w:rPr>
        <w:t xml:space="preserve">, and </w:t>
      </w:r>
      <m:oMath>
        <m:sSub>
          <m:sSubPr>
            <m:ctrlPr>
              <w:rPr>
                <w:rFonts w:ascii="Cambria Math" w:eastAsia="Malgun Gothic" w:hAnsi="Cambria Math"/>
                <w:i/>
                <w:lang w:eastAsia="ko-KR"/>
              </w:rPr>
            </m:ctrlPr>
          </m:sSubPr>
          <m:e>
            <m:r>
              <w:rPr>
                <w:rFonts w:ascii="Cambria Math" w:eastAsia="Malgun Gothic" w:hAnsi="Cambria Math"/>
                <w:lang w:eastAsia="ko-KR"/>
              </w:rPr>
              <m:t>β</m:t>
            </m:r>
          </m:e>
          <m:sub>
            <m:r>
              <w:rPr>
                <w:rFonts w:ascii="Cambria Math" w:eastAsia="Malgun Gothic" w:hAnsi="Cambria Math"/>
                <w:lang w:eastAsia="ko-KR"/>
              </w:rPr>
              <m:t>j</m:t>
            </m:r>
          </m:sub>
        </m:sSub>
      </m:oMath>
      <w:r w:rsidR="00BF700D">
        <w:rPr>
          <w:rFonts w:eastAsia="Malgun Gothic"/>
          <w:lang w:eastAsia="ko-KR"/>
        </w:rPr>
        <w:t xml:space="preserve"> are the Cox regression coefficients. </w:t>
      </w:r>
      <w:r w:rsidR="00A30D46">
        <w:rPr>
          <w:rFonts w:eastAsia="Malgun Gothic"/>
          <w:lang w:eastAsia="ko-KR"/>
        </w:rPr>
        <w:t xml:space="preserve">The objective function for elastic net regularized </w:t>
      </w:r>
      <w:r w:rsidR="00296339">
        <w:rPr>
          <w:rFonts w:eastAsia="Malgun Gothic"/>
          <w:lang w:eastAsia="ko-KR"/>
        </w:rPr>
        <w:t>Cox regression can be described as:</w:t>
      </w:r>
    </w:p>
    <w:p w14:paraId="076E01CB" w14:textId="1652EB4D" w:rsidR="00296339" w:rsidRPr="00994710" w:rsidRDefault="0041512E" w:rsidP="00890175">
      <w:pPr>
        <w:rPr>
          <w:rFonts w:eastAsia="Malgun Gothic"/>
          <w:lang w:eastAsia="ko-KR"/>
        </w:rPr>
      </w:pPr>
      <m:oMathPara>
        <m:oMath>
          <m:r>
            <m:rPr>
              <m:scr m:val="script"/>
            </m:rPr>
            <w:rPr>
              <w:rFonts w:ascii="Cambria Math" w:eastAsia="Malgun Gothic" w:hAnsi="Cambria Math"/>
              <w:lang w:eastAsia="ko-KR"/>
            </w:rPr>
            <m:t>L</m:t>
          </m:r>
          <m:d>
            <m:dPr>
              <m:ctrlPr>
                <w:rPr>
                  <w:rFonts w:ascii="Cambria Math" w:eastAsia="Malgun Gothic" w:hAnsi="Cambria Math"/>
                  <w:i/>
                  <w:lang w:eastAsia="ko-KR"/>
                </w:rPr>
              </m:ctrlPr>
            </m:dPr>
            <m:e>
              <m:r>
                <m:rPr>
                  <m:sty m:val="bi"/>
                </m:rPr>
                <w:rPr>
                  <w:rFonts w:ascii="Cambria Math" w:eastAsia="Malgun Gothic" w:hAnsi="Cambria Math"/>
                  <w:lang w:eastAsia="ko-KR"/>
                </w:rPr>
                <m:t>β</m:t>
              </m:r>
            </m:e>
          </m:d>
          <m:r>
            <w:rPr>
              <w:rFonts w:ascii="Cambria Math" w:eastAsia="Malgun Gothic" w:hAnsi="Cambria Math"/>
              <w:lang w:eastAsia="ko-KR"/>
            </w:rPr>
            <m:t>=</m:t>
          </m:r>
          <m:f>
            <m:fPr>
              <m:ctrlPr>
                <w:rPr>
                  <w:rFonts w:ascii="Cambria Math" w:eastAsia="Malgun Gothic" w:hAnsi="Cambria Math"/>
                  <w:i/>
                  <w:lang w:eastAsia="ko-KR"/>
                </w:rPr>
              </m:ctrlPr>
            </m:fPr>
            <m:num>
              <m:r>
                <w:rPr>
                  <w:rFonts w:ascii="Cambria Math" w:eastAsia="Malgun Gothic" w:hAnsi="Cambria Math"/>
                  <w:lang w:eastAsia="ko-KR"/>
                </w:rPr>
                <m:t>1</m:t>
              </m:r>
            </m:num>
            <m:den>
              <m:r>
                <w:rPr>
                  <w:rFonts w:ascii="Cambria Math" w:eastAsia="Malgun Gothic" w:hAnsi="Cambria Math"/>
                  <w:lang w:eastAsia="ko-KR"/>
                </w:rPr>
                <m:t>n</m:t>
              </m:r>
            </m:den>
          </m:f>
          <m:nary>
            <m:naryPr>
              <m:chr m:val="∑"/>
              <m:limLoc m:val="undOvr"/>
              <m:ctrlPr>
                <w:rPr>
                  <w:rFonts w:ascii="Cambria Math" w:eastAsia="Malgun Gothic" w:hAnsi="Cambria Math"/>
                  <w:i/>
                  <w:lang w:eastAsia="ko-KR"/>
                </w:rPr>
              </m:ctrlPr>
            </m:naryPr>
            <m:sub>
              <m:r>
                <w:rPr>
                  <w:rFonts w:ascii="Cambria Math" w:eastAsia="Malgun Gothic" w:hAnsi="Cambria Math"/>
                  <w:lang w:eastAsia="ko-KR"/>
                </w:rPr>
                <m:t>i=1</m:t>
              </m:r>
            </m:sub>
            <m:sup>
              <m:r>
                <w:rPr>
                  <w:rFonts w:ascii="Cambria Math" w:eastAsia="Malgun Gothic" w:hAnsi="Cambria Math"/>
                  <w:lang w:eastAsia="ko-KR"/>
                </w:rPr>
                <m:t>n</m:t>
              </m:r>
            </m:sup>
            <m:e>
              <m:sSub>
                <m:sSubPr>
                  <m:ctrlPr>
                    <w:rPr>
                      <w:rFonts w:ascii="Cambria Math" w:eastAsia="Malgun Gothic" w:hAnsi="Cambria Math"/>
                      <w:i/>
                      <w:lang w:eastAsia="ko-KR"/>
                    </w:rPr>
                  </m:ctrlPr>
                </m:sSubPr>
                <m:e>
                  <m:r>
                    <w:rPr>
                      <w:rFonts w:ascii="Cambria Math" w:eastAsia="Malgun Gothic" w:hAnsi="Cambria Math"/>
                      <w:lang w:eastAsia="ko-KR"/>
                    </w:rPr>
                    <m:t>δ</m:t>
                  </m:r>
                </m:e>
                <m:sub>
                  <m:r>
                    <w:rPr>
                      <w:rFonts w:ascii="Cambria Math" w:eastAsia="Malgun Gothic" w:hAnsi="Cambria Math"/>
                      <w:lang w:eastAsia="ko-KR"/>
                    </w:rPr>
                    <m:t>i</m:t>
                  </m:r>
                </m:sub>
              </m:sSub>
              <m:d>
                <m:dPr>
                  <m:ctrlPr>
                    <w:rPr>
                      <w:rFonts w:ascii="Cambria Math" w:eastAsia="Malgun Gothic" w:hAnsi="Cambria Math"/>
                      <w:i/>
                      <w:lang w:eastAsia="ko-KR"/>
                    </w:rPr>
                  </m:ctrlPr>
                </m:dPr>
                <m:e>
                  <m:sSubSup>
                    <m:sSubSupPr>
                      <m:ctrlPr>
                        <w:rPr>
                          <w:rFonts w:ascii="Cambria Math" w:eastAsia="Malgun Gothic" w:hAnsi="Cambria Math"/>
                          <w:i/>
                          <w:lang w:eastAsia="ko-KR"/>
                        </w:rPr>
                      </m:ctrlPr>
                    </m:sSubSupPr>
                    <m:e>
                      <m:r>
                        <m:rPr>
                          <m:sty m:val="bi"/>
                        </m:rPr>
                        <w:rPr>
                          <w:rFonts w:ascii="Cambria Math" w:eastAsia="Malgun Gothic" w:hAnsi="Cambria Math"/>
                          <w:lang w:eastAsia="ko-KR"/>
                        </w:rPr>
                        <m:t>Z</m:t>
                      </m:r>
                    </m:e>
                    <m:sub>
                      <m:r>
                        <w:rPr>
                          <w:rFonts w:ascii="Cambria Math" w:eastAsia="Malgun Gothic" w:hAnsi="Cambria Math"/>
                          <w:lang w:eastAsia="ko-KR"/>
                        </w:rPr>
                        <m:t>i</m:t>
                      </m:r>
                    </m:sub>
                    <m:sup>
                      <m:r>
                        <w:rPr>
                          <w:rFonts w:ascii="Cambria Math" w:eastAsia="Malgun Gothic" w:hAnsi="Cambria Math"/>
                          <w:lang w:eastAsia="ko-KR"/>
                        </w:rPr>
                        <m:t>T</m:t>
                      </m:r>
                    </m:sup>
                  </m:sSubSup>
                  <m:r>
                    <m:rPr>
                      <m:sty m:val="bi"/>
                    </m:rPr>
                    <w:rPr>
                      <w:rFonts w:ascii="Cambria Math" w:eastAsia="Malgun Gothic" w:hAnsi="Cambria Math"/>
                      <w:lang w:eastAsia="ko-KR"/>
                    </w:rPr>
                    <m:t>β-</m:t>
                  </m:r>
                  <m:func>
                    <m:funcPr>
                      <m:ctrlPr>
                        <w:rPr>
                          <w:rFonts w:ascii="Cambria Math" w:eastAsia="Malgun Gothic" w:hAnsi="Cambria Math"/>
                          <w:i/>
                          <w:lang w:eastAsia="ko-KR"/>
                        </w:rPr>
                      </m:ctrlPr>
                    </m:funcPr>
                    <m:fName>
                      <m:r>
                        <m:rPr>
                          <m:sty m:val="p"/>
                        </m:rPr>
                        <w:rPr>
                          <w:rFonts w:ascii="Cambria Math" w:eastAsia="Malgun Gothic" w:hAnsi="Cambria Math"/>
                          <w:lang w:eastAsia="ko-KR"/>
                        </w:rPr>
                        <m:t>log</m:t>
                      </m:r>
                      <m:ctrlPr>
                        <w:rPr>
                          <w:rFonts w:ascii="Cambria Math" w:eastAsia="Malgun Gothic" w:hAnsi="Cambria Math"/>
                          <w:b/>
                          <w:bCs/>
                          <w:i/>
                          <w:lang w:eastAsia="ko-KR"/>
                        </w:rPr>
                      </m:ctrlPr>
                    </m:fName>
                    <m:e>
                      <m:nary>
                        <m:naryPr>
                          <m:chr m:val="∑"/>
                          <m:limLoc m:val="undOvr"/>
                          <m:supHide m:val="1"/>
                          <m:ctrlPr>
                            <w:rPr>
                              <w:rFonts w:ascii="Cambria Math" w:eastAsia="Malgun Gothic" w:hAnsi="Cambria Math"/>
                              <w:b/>
                              <w:bCs/>
                              <w:i/>
                              <w:lang w:eastAsia="ko-KR"/>
                            </w:rPr>
                          </m:ctrlPr>
                        </m:naryPr>
                        <m:sub>
                          <m:r>
                            <w:rPr>
                              <w:rFonts w:ascii="Cambria Math" w:eastAsia="Malgun Gothic" w:hAnsi="Cambria Math"/>
                              <w:lang w:eastAsia="ko-KR"/>
                            </w:rPr>
                            <m:t>j∈</m:t>
                          </m:r>
                          <m:sSub>
                            <m:sSubPr>
                              <m:ctrlPr>
                                <w:rPr>
                                  <w:rFonts w:ascii="Cambria Math" w:eastAsia="Malgun Gothic" w:hAnsi="Cambria Math"/>
                                  <w:i/>
                                  <w:lang w:eastAsia="ko-KR"/>
                                </w:rPr>
                              </m:ctrlPr>
                            </m:sSubPr>
                            <m:e>
                              <m:r>
                                <m:rPr>
                                  <m:scr m:val="script"/>
                                </m:rPr>
                                <w:rPr>
                                  <w:rFonts w:ascii="Cambria Math" w:eastAsia="Malgun Gothic" w:hAnsi="Cambria Math"/>
                                  <w:lang w:eastAsia="ko-KR"/>
                                </w:rPr>
                                <m:t>R</m:t>
                              </m:r>
                            </m:e>
                            <m:sub>
                              <m:r>
                                <w:rPr>
                                  <w:rFonts w:ascii="Cambria Math" w:eastAsia="Malgun Gothic" w:hAnsi="Cambria Math"/>
                                  <w:lang w:eastAsia="ko-KR"/>
                                </w:rPr>
                                <m:t>i</m:t>
                              </m:r>
                            </m:sub>
                          </m:sSub>
                        </m:sub>
                        <m:sup/>
                        <m:e>
                          <m:sSup>
                            <m:sSupPr>
                              <m:ctrlPr>
                                <w:rPr>
                                  <w:rFonts w:ascii="Cambria Math" w:eastAsia="Malgun Gothic" w:hAnsi="Cambria Math"/>
                                  <w:i/>
                                  <w:lang w:eastAsia="ko-KR"/>
                                </w:rPr>
                              </m:ctrlPr>
                            </m:sSupPr>
                            <m:e>
                              <m:r>
                                <w:rPr>
                                  <w:rFonts w:ascii="Cambria Math" w:eastAsia="Malgun Gothic" w:hAnsi="Cambria Math"/>
                                  <w:lang w:eastAsia="ko-KR"/>
                                </w:rPr>
                                <m:t>e</m:t>
                              </m:r>
                            </m:e>
                            <m:sup>
                              <m:sSubSup>
                                <m:sSubSupPr>
                                  <m:ctrlPr>
                                    <w:rPr>
                                      <w:rFonts w:ascii="Cambria Math" w:eastAsia="Malgun Gothic" w:hAnsi="Cambria Math"/>
                                      <w:i/>
                                      <w:lang w:eastAsia="ko-KR"/>
                                    </w:rPr>
                                  </m:ctrlPr>
                                </m:sSubSupPr>
                                <m:e>
                                  <m:r>
                                    <m:rPr>
                                      <m:sty m:val="bi"/>
                                    </m:rPr>
                                    <w:rPr>
                                      <w:rFonts w:ascii="Cambria Math" w:eastAsia="Malgun Gothic" w:hAnsi="Cambria Math"/>
                                      <w:lang w:eastAsia="ko-KR"/>
                                    </w:rPr>
                                    <m:t>Z</m:t>
                                  </m:r>
                                </m:e>
                                <m:sub>
                                  <m:r>
                                    <w:rPr>
                                      <w:rFonts w:ascii="Cambria Math" w:eastAsia="Malgun Gothic" w:hAnsi="Cambria Math"/>
                                      <w:lang w:eastAsia="ko-KR"/>
                                    </w:rPr>
                                    <m:t>j</m:t>
                                  </m:r>
                                </m:sub>
                                <m:sup>
                                  <m:r>
                                    <w:rPr>
                                      <w:rFonts w:ascii="Cambria Math" w:eastAsia="Malgun Gothic" w:hAnsi="Cambria Math"/>
                                      <w:lang w:eastAsia="ko-KR"/>
                                    </w:rPr>
                                    <m:t>T</m:t>
                                  </m:r>
                                </m:sup>
                              </m:sSubSup>
                              <m:r>
                                <m:rPr>
                                  <m:sty m:val="bi"/>
                                </m:rPr>
                                <w:rPr>
                                  <w:rFonts w:ascii="Cambria Math" w:eastAsia="Malgun Gothic" w:hAnsi="Cambria Math"/>
                                  <w:lang w:eastAsia="ko-KR"/>
                                </w:rPr>
                                <m:t>β</m:t>
                              </m:r>
                            </m:sup>
                          </m:sSup>
                        </m:e>
                      </m:nary>
                    </m:e>
                  </m:func>
                  <m:r>
                    <m:rPr>
                      <m:sty m:val="bi"/>
                    </m:rPr>
                    <w:rPr>
                      <w:rFonts w:ascii="Cambria Math" w:eastAsia="Malgun Gothic" w:hAnsi="Cambria Math"/>
                      <w:lang w:eastAsia="ko-KR"/>
                    </w:rPr>
                    <m:t xml:space="preserve"> </m:t>
                  </m:r>
                </m:e>
              </m:d>
            </m:e>
          </m:nary>
          <m:r>
            <w:rPr>
              <w:rFonts w:ascii="Cambria Math" w:eastAsia="Malgun Gothic" w:hAnsi="Cambria Math"/>
              <w:lang w:eastAsia="ko-KR"/>
            </w:rPr>
            <m:t>-penalty,</m:t>
          </m:r>
        </m:oMath>
      </m:oMathPara>
    </w:p>
    <w:p w14:paraId="0D18815E" w14:textId="5311F4E8" w:rsidR="00E7131C" w:rsidRDefault="00994710" w:rsidP="00E7131C">
      <w:pPr>
        <w:rPr>
          <w:rFonts w:eastAsia="Malgun Gothic"/>
          <w:lang w:eastAsia="ko-KR"/>
        </w:rPr>
      </w:pPr>
      <w:r>
        <w:rPr>
          <w:rFonts w:eastAsia="Malgun Gothic"/>
          <w:lang w:eastAsia="ko-KR"/>
        </w:rPr>
        <w:t xml:space="preserve">where </w:t>
      </w:r>
      <m:oMath>
        <m:r>
          <m:rPr>
            <m:scr m:val="script"/>
          </m:rPr>
          <w:rPr>
            <w:rFonts w:ascii="Cambria Math" w:eastAsia="Malgun Gothic" w:hAnsi="Cambria Math"/>
            <w:lang w:eastAsia="ko-KR"/>
          </w:rPr>
          <m:t>L</m:t>
        </m:r>
        <m:d>
          <m:dPr>
            <m:ctrlPr>
              <w:rPr>
                <w:rFonts w:ascii="Cambria Math" w:eastAsia="Malgun Gothic" w:hAnsi="Cambria Math"/>
                <w:i/>
                <w:lang w:eastAsia="ko-KR"/>
              </w:rPr>
            </m:ctrlPr>
          </m:dPr>
          <m:e>
            <m:r>
              <m:rPr>
                <m:sty m:val="bi"/>
              </m:rPr>
              <w:rPr>
                <w:rFonts w:ascii="Cambria Math" w:eastAsia="Malgun Gothic" w:hAnsi="Cambria Math"/>
                <w:lang w:eastAsia="ko-KR"/>
              </w:rPr>
              <m:t>β</m:t>
            </m:r>
          </m:e>
        </m:d>
      </m:oMath>
      <w:r>
        <w:rPr>
          <w:rFonts w:eastAsia="Malgun Gothic"/>
          <w:lang w:eastAsia="ko-KR"/>
        </w:rPr>
        <w:t xml:space="preserve"> is the penalized partial log-likelihood, </w:t>
      </w:r>
      <m:oMath>
        <m:sSubSup>
          <m:sSubSupPr>
            <m:ctrlPr>
              <w:rPr>
                <w:rFonts w:ascii="Cambria Math" w:eastAsia="Malgun Gothic" w:hAnsi="Cambria Math"/>
                <w:i/>
                <w:lang w:eastAsia="ko-KR"/>
              </w:rPr>
            </m:ctrlPr>
          </m:sSubSupPr>
          <m:e>
            <m:r>
              <m:rPr>
                <m:sty m:val="bi"/>
              </m:rPr>
              <w:rPr>
                <w:rFonts w:ascii="Cambria Math" w:eastAsia="Malgun Gothic" w:hAnsi="Cambria Math"/>
                <w:lang w:eastAsia="ko-KR"/>
              </w:rPr>
              <m:t>Z</m:t>
            </m:r>
          </m:e>
          <m:sub>
            <m:r>
              <w:rPr>
                <w:rFonts w:ascii="Cambria Math" w:eastAsia="Malgun Gothic" w:hAnsi="Cambria Math"/>
                <w:lang w:eastAsia="ko-KR"/>
              </w:rPr>
              <m:t>i</m:t>
            </m:r>
          </m:sub>
          <m:sup>
            <m:r>
              <w:rPr>
                <w:rFonts w:ascii="Cambria Math" w:eastAsia="Malgun Gothic" w:hAnsi="Cambria Math"/>
                <w:lang w:eastAsia="ko-KR"/>
              </w:rPr>
              <m:t>T</m:t>
            </m:r>
          </m:sup>
        </m:sSubSup>
        <m:r>
          <m:rPr>
            <m:sty m:val="bi"/>
          </m:rPr>
          <w:rPr>
            <w:rFonts w:ascii="Cambria Math" w:eastAsia="Malgun Gothic" w:hAnsi="Cambria Math"/>
            <w:lang w:eastAsia="ko-KR"/>
          </w:rPr>
          <m:t>β</m:t>
        </m:r>
      </m:oMath>
      <w:r w:rsidR="00604438">
        <w:rPr>
          <w:rFonts w:eastAsia="Malgun Gothic"/>
          <w:b/>
          <w:bCs/>
          <w:lang w:eastAsia="ko-KR"/>
        </w:rPr>
        <w:t xml:space="preserve"> </w:t>
      </w:r>
      <w:r w:rsidR="00604438" w:rsidRPr="00604438">
        <w:rPr>
          <w:rFonts w:eastAsia="Malgun Gothic"/>
          <w:lang w:eastAsia="ko-KR"/>
        </w:rPr>
        <w:t xml:space="preserve">is </w:t>
      </w:r>
      <w:r w:rsidR="00604438">
        <w:rPr>
          <w:rFonts w:eastAsia="Malgun Gothic"/>
          <w:lang w:eastAsia="ko-KR"/>
        </w:rPr>
        <w:t xml:space="preserve">the linear predictor for the </w:t>
      </w:r>
      <m:oMath>
        <m:r>
          <w:rPr>
            <w:rFonts w:ascii="Cambria Math" w:eastAsia="Malgun Gothic" w:hAnsi="Cambria Math"/>
            <w:lang w:eastAsia="ko-KR"/>
          </w:rPr>
          <m:t>i</m:t>
        </m:r>
      </m:oMath>
      <w:r w:rsidR="00604438">
        <w:rPr>
          <w:rFonts w:eastAsia="Malgun Gothic"/>
          <w:lang w:eastAsia="ko-KR"/>
        </w:rPr>
        <w:t xml:space="preserve">-th </w:t>
      </w:r>
      <w:r w:rsidR="00554F05">
        <w:rPr>
          <w:rFonts w:eastAsia="Malgun Gothic"/>
          <w:lang w:eastAsia="ko-KR"/>
        </w:rPr>
        <w:t xml:space="preserve">individual, </w:t>
      </w:r>
      <m:oMath>
        <m:sSub>
          <m:sSubPr>
            <m:ctrlPr>
              <w:rPr>
                <w:rFonts w:ascii="Cambria Math" w:eastAsia="Malgun Gothic" w:hAnsi="Cambria Math"/>
                <w:i/>
                <w:lang w:eastAsia="ko-KR"/>
              </w:rPr>
            </m:ctrlPr>
          </m:sSubPr>
          <m:e>
            <m:r>
              <m:rPr>
                <m:scr m:val="script"/>
              </m:rPr>
              <w:rPr>
                <w:rFonts w:ascii="Cambria Math" w:eastAsia="Malgun Gothic" w:hAnsi="Cambria Math"/>
                <w:lang w:eastAsia="ko-KR"/>
              </w:rPr>
              <m:t>R</m:t>
            </m:r>
          </m:e>
          <m:sub>
            <m:r>
              <w:rPr>
                <w:rFonts w:ascii="Cambria Math" w:eastAsia="Malgun Gothic" w:hAnsi="Cambria Math"/>
                <w:lang w:eastAsia="ko-KR"/>
              </w:rPr>
              <m:t>i</m:t>
            </m:r>
          </m:sub>
        </m:sSub>
      </m:oMath>
      <w:r w:rsidR="00554F05">
        <w:rPr>
          <w:rFonts w:eastAsia="Malgun Gothic"/>
          <w:lang w:eastAsia="ko-KR"/>
        </w:rPr>
        <w:t xml:space="preserve"> is the risk set of</w:t>
      </w:r>
      <w:r w:rsidR="00A71FFA">
        <w:rPr>
          <w:rFonts w:eastAsia="Malgun Gothic"/>
          <w:lang w:eastAsia="ko-KR"/>
        </w:rPr>
        <w:t xml:space="preserve"> individuals at time </w:t>
      </w:r>
      <m:oMath>
        <m:sSub>
          <m:sSubPr>
            <m:ctrlPr>
              <w:rPr>
                <w:rFonts w:ascii="Cambria Math" w:eastAsia="Malgun Gothic" w:hAnsi="Cambria Math"/>
                <w:i/>
                <w:lang w:eastAsia="ko-KR"/>
              </w:rPr>
            </m:ctrlPr>
          </m:sSubPr>
          <m:e>
            <m:r>
              <w:rPr>
                <w:rFonts w:ascii="Cambria Math" w:eastAsia="Malgun Gothic" w:hAnsi="Cambria Math"/>
                <w:lang w:eastAsia="ko-KR"/>
              </w:rPr>
              <m:t>t</m:t>
            </m:r>
          </m:e>
          <m:sub>
            <m:r>
              <w:rPr>
                <w:rFonts w:ascii="Cambria Math" w:eastAsia="Malgun Gothic" w:hAnsi="Cambria Math"/>
                <w:lang w:eastAsia="ko-KR"/>
              </w:rPr>
              <m:t>i</m:t>
            </m:r>
          </m:sub>
        </m:sSub>
      </m:oMath>
      <w:r w:rsidR="00A71FFA">
        <w:rPr>
          <w:rFonts w:eastAsia="Malgun Gothic"/>
          <w:lang w:eastAsia="ko-KR"/>
        </w:rPr>
        <w:t xml:space="preserve">, </w:t>
      </w:r>
      <m:oMath>
        <m:sSub>
          <m:sSubPr>
            <m:ctrlPr>
              <w:rPr>
                <w:rFonts w:ascii="Cambria Math" w:eastAsia="Malgun Gothic" w:hAnsi="Cambria Math"/>
                <w:i/>
                <w:lang w:eastAsia="ko-KR"/>
              </w:rPr>
            </m:ctrlPr>
          </m:sSubPr>
          <m:e>
            <m:r>
              <w:rPr>
                <w:rFonts w:ascii="Cambria Math" w:eastAsia="Malgun Gothic" w:hAnsi="Cambria Math"/>
                <w:lang w:eastAsia="ko-KR"/>
              </w:rPr>
              <m:t>δ</m:t>
            </m:r>
          </m:e>
          <m:sub>
            <m:r>
              <w:rPr>
                <w:rFonts w:ascii="Cambria Math" w:eastAsia="Malgun Gothic" w:hAnsi="Cambria Math"/>
                <w:lang w:eastAsia="ko-KR"/>
              </w:rPr>
              <m:t>i</m:t>
            </m:r>
          </m:sub>
        </m:sSub>
      </m:oMath>
      <w:r w:rsidR="00A71FFA">
        <w:rPr>
          <w:rFonts w:eastAsia="Malgun Gothic"/>
          <w:lang w:eastAsia="ko-KR"/>
        </w:rPr>
        <w:t xml:space="preserve"> </w:t>
      </w:r>
      <w:r w:rsidR="008D6BB4">
        <w:rPr>
          <w:rFonts w:eastAsia="Malgun Gothic"/>
          <w:lang w:eastAsia="ko-KR"/>
        </w:rPr>
        <w:t xml:space="preserve">is an event indicator </w:t>
      </w:r>
      <w:r w:rsidR="00960BE3">
        <w:rPr>
          <w:rFonts w:eastAsia="Malgun Gothic"/>
          <w:lang w:eastAsia="ko-KR"/>
        </w:rPr>
        <w:t xml:space="preserve">(1 for event and 0 for censored) </w:t>
      </w:r>
      <w:r w:rsidR="008D6BB4">
        <w:rPr>
          <w:rFonts w:eastAsia="Malgun Gothic"/>
          <w:lang w:eastAsia="ko-KR"/>
        </w:rPr>
        <w:t xml:space="preserve">for the </w:t>
      </w:r>
      <m:oMath>
        <m:r>
          <w:rPr>
            <w:rFonts w:ascii="Cambria Math" w:eastAsia="Malgun Gothic" w:hAnsi="Cambria Math"/>
            <w:lang w:eastAsia="ko-KR"/>
          </w:rPr>
          <m:t>i</m:t>
        </m:r>
      </m:oMath>
      <w:r w:rsidR="008D6BB4">
        <w:rPr>
          <w:rFonts w:eastAsia="Malgun Gothic"/>
          <w:lang w:eastAsia="ko-KR"/>
        </w:rPr>
        <w:t>-th individual</w:t>
      </w:r>
      <w:r w:rsidR="00037739">
        <w:rPr>
          <w:rFonts w:eastAsia="Malgun Gothic"/>
          <w:lang w:eastAsia="ko-KR"/>
        </w:rPr>
        <w:t>.</w:t>
      </w:r>
      <w:r w:rsidR="008E50D4">
        <w:rPr>
          <w:rFonts w:eastAsia="Malgun Gothic"/>
          <w:lang w:eastAsia="ko-KR"/>
        </w:rPr>
        <w:t xml:space="preserve"> </w:t>
      </w:r>
    </w:p>
    <w:p w14:paraId="1848B7BC" w14:textId="3A7002AF" w:rsidR="006F0100" w:rsidRPr="004331B9" w:rsidRDefault="003B2536" w:rsidP="007C1225">
      <w:pPr>
        <w:ind w:firstLine="720"/>
        <w:rPr>
          <w:rFonts w:eastAsia="Malgun Gothic" w:cstheme="minorHAnsi"/>
          <w:iCs/>
          <w:lang w:eastAsia="ko-KR"/>
        </w:rPr>
      </w:pPr>
      <w:r>
        <w:rPr>
          <w:rFonts w:eastAsia="Malgun Gothic"/>
          <w:lang w:eastAsia="ko-KR"/>
        </w:rPr>
        <w:t>The hyperparameter</w:t>
      </w:r>
      <w:r w:rsidR="000C112F">
        <w:rPr>
          <w:rFonts w:eastAsia="Malgun Gothic"/>
          <w:lang w:eastAsia="ko-KR"/>
        </w:rPr>
        <w:t xml:space="preserve">s </w:t>
      </w:r>
      <m:oMath>
        <m:r>
          <w:rPr>
            <w:rFonts w:ascii="Cambria Math" w:eastAsia="Malgun Gothic" w:hAnsi="Cambria Math"/>
            <w:lang w:eastAsia="ko-KR"/>
          </w:rPr>
          <m:t>α</m:t>
        </m:r>
      </m:oMath>
      <w:r w:rsidR="000C112F">
        <w:rPr>
          <w:rFonts w:eastAsia="Malgun Gothic"/>
          <w:lang w:eastAsia="ko-KR"/>
        </w:rPr>
        <w:t xml:space="preserve"> and</w:t>
      </w:r>
      <w:r w:rsidR="000F2EDC" w:rsidRPr="000F2EDC">
        <w:rPr>
          <w:rFonts w:ascii="Cambria Math" w:eastAsia="Malgun Gothic" w:hAnsi="Cambria Math"/>
          <w:i/>
          <w:lang w:eastAsia="ko-KR"/>
        </w:rPr>
        <w:t xml:space="preserve"> </w:t>
      </w:r>
      <m:oMath>
        <m:r>
          <w:rPr>
            <w:rFonts w:ascii="Cambria Math" w:eastAsia="Malgun Gothic" w:hAnsi="Cambria Math"/>
            <w:lang w:eastAsia="ko-KR"/>
          </w:rPr>
          <m:t>λ</m:t>
        </m:r>
      </m:oMath>
      <w:r w:rsidR="004331B9" w:rsidRPr="004331B9">
        <w:rPr>
          <w:rFonts w:eastAsia="Malgun Gothic" w:cstheme="minorHAnsi"/>
          <w:iCs/>
          <w:lang w:eastAsia="ko-KR"/>
        </w:rPr>
        <w:t xml:space="preserve"> were opti</w:t>
      </w:r>
      <w:r w:rsidR="004331B9">
        <w:rPr>
          <w:rFonts w:eastAsia="Malgun Gothic" w:cstheme="minorHAnsi"/>
          <w:iCs/>
          <w:lang w:eastAsia="ko-KR"/>
        </w:rPr>
        <w:t xml:space="preserve">mized using a systematic approach during the training phase. </w:t>
      </w:r>
      <w:r w:rsidR="004D483F">
        <w:rPr>
          <w:rFonts w:eastAsia="Malgun Gothic" w:cstheme="minorHAnsi"/>
          <w:iCs/>
          <w:lang w:eastAsia="ko-KR"/>
        </w:rPr>
        <w:t xml:space="preserve">A grid search was performed over </w:t>
      </w:r>
      <m:oMath>
        <m:r>
          <w:rPr>
            <w:rFonts w:ascii="Cambria Math" w:eastAsia="Malgun Gothic" w:hAnsi="Cambria Math"/>
            <w:lang w:eastAsia="ko-KR"/>
          </w:rPr>
          <m:t>α</m:t>
        </m:r>
      </m:oMath>
      <w:r w:rsidR="004D483F">
        <w:rPr>
          <w:rFonts w:eastAsia="Malgun Gothic" w:cstheme="minorHAnsi"/>
          <w:iCs/>
          <w:lang w:eastAsia="ko-KR"/>
        </w:rPr>
        <w:t xml:space="preserve"> values ranging</w:t>
      </w:r>
      <w:r w:rsidR="00C74DDC">
        <w:rPr>
          <w:rFonts w:eastAsia="Malgun Gothic" w:cstheme="minorHAnsi"/>
          <w:iCs/>
          <w:lang w:eastAsia="ko-KR"/>
        </w:rPr>
        <w:t xml:space="preserve"> from 0 to 1 in increments of .01,</w:t>
      </w:r>
      <w:r w:rsidR="00FD4B1A">
        <w:rPr>
          <w:rFonts w:eastAsia="Malgun Gothic" w:cstheme="minorHAnsi"/>
          <w:iCs/>
          <w:lang w:eastAsia="ko-KR"/>
        </w:rPr>
        <w:t xml:space="preserve"> resulting in 101 </w:t>
      </w:r>
      <w:proofErr w:type="gramStart"/>
      <w:r w:rsidR="00FD4B1A">
        <w:rPr>
          <w:rFonts w:eastAsia="Malgun Gothic" w:cstheme="minorHAnsi"/>
          <w:iCs/>
          <w:lang w:eastAsia="ko-KR"/>
        </w:rPr>
        <w:t>candidate</w:t>
      </w:r>
      <w:proofErr w:type="gramEnd"/>
      <w:r w:rsidR="00FD4B1A">
        <w:rPr>
          <w:rFonts w:eastAsia="Malgun Gothic" w:cstheme="minorHAnsi"/>
          <w:iCs/>
          <w:lang w:eastAsia="ko-KR"/>
        </w:rPr>
        <w:t xml:space="preserve"> </w:t>
      </w:r>
      <m:oMath>
        <m:r>
          <w:rPr>
            <w:rFonts w:ascii="Cambria Math" w:eastAsia="Malgun Gothic" w:hAnsi="Cambria Math"/>
            <w:lang w:eastAsia="ko-KR"/>
          </w:rPr>
          <m:t>α</m:t>
        </m:r>
      </m:oMath>
      <w:r w:rsidR="00FD4B1A">
        <w:rPr>
          <w:rFonts w:eastAsia="Malgun Gothic" w:cstheme="minorHAnsi"/>
          <w:lang w:eastAsia="ko-KR"/>
        </w:rPr>
        <w:t xml:space="preserve"> values. For each value of </w:t>
      </w:r>
      <m:oMath>
        <m:r>
          <w:rPr>
            <w:rFonts w:ascii="Cambria Math" w:eastAsia="Malgun Gothic" w:hAnsi="Cambria Math"/>
            <w:lang w:eastAsia="ko-KR"/>
          </w:rPr>
          <m:t>α,</m:t>
        </m:r>
      </m:oMath>
      <w:r w:rsidR="00FD4B1A">
        <w:rPr>
          <w:rFonts w:eastAsia="Malgun Gothic" w:cstheme="minorHAnsi"/>
          <w:lang w:eastAsia="ko-KR"/>
        </w:rPr>
        <w:t xml:space="preserve"> the corresponding optimal</w:t>
      </w:r>
      <w:r w:rsidR="00C74DDC">
        <w:rPr>
          <w:rFonts w:eastAsia="Malgun Gothic" w:cstheme="minorHAnsi"/>
          <w:iCs/>
          <w:lang w:eastAsia="ko-KR"/>
        </w:rPr>
        <w:t xml:space="preserve"> </w:t>
      </w:r>
      <m:oMath>
        <m:r>
          <w:rPr>
            <w:rFonts w:ascii="Cambria Math" w:eastAsia="Malgun Gothic" w:hAnsi="Cambria Math"/>
            <w:lang w:eastAsia="ko-KR"/>
          </w:rPr>
          <m:t>λ</m:t>
        </m:r>
      </m:oMath>
      <w:r w:rsidR="00FD4B1A">
        <w:rPr>
          <w:rFonts w:eastAsia="Malgun Gothic" w:cstheme="minorHAnsi"/>
          <w:lang w:eastAsia="ko-KR"/>
        </w:rPr>
        <w:t xml:space="preserve"> was determined using </w:t>
      </w:r>
      <w:r w:rsidR="0051373C">
        <w:rPr>
          <w:rFonts w:eastAsia="Malgun Gothic" w:cstheme="minorHAnsi"/>
          <w:lang w:eastAsia="ko-KR"/>
        </w:rPr>
        <w:t>LOOCV</w:t>
      </w:r>
      <w:r w:rsidR="00A728C6" w:rsidRPr="004331B9">
        <w:rPr>
          <w:rFonts w:eastAsia="Malgun Gothic" w:cstheme="minorHAnsi"/>
          <w:iCs/>
          <w:lang w:eastAsia="ko-KR"/>
        </w:rPr>
        <w:t>.</w:t>
      </w:r>
      <w:r w:rsidR="007C1225">
        <w:rPr>
          <w:rFonts w:eastAsia="Malgun Gothic" w:cstheme="minorHAnsi"/>
          <w:iCs/>
          <w:lang w:eastAsia="ko-KR"/>
        </w:rPr>
        <w:t xml:space="preserve"> This produced 101 optimal </w:t>
      </w:r>
      <m:oMath>
        <m:r>
          <w:rPr>
            <w:rFonts w:ascii="Cambria Math" w:eastAsia="Malgun Gothic" w:hAnsi="Cambria Math"/>
            <w:lang w:eastAsia="ko-KR"/>
          </w:rPr>
          <m:t>λ</m:t>
        </m:r>
      </m:oMath>
      <w:r w:rsidR="0036521D" w:rsidRPr="004331B9">
        <w:rPr>
          <w:rFonts w:eastAsia="Malgun Gothic" w:cstheme="minorHAnsi"/>
          <w:iCs/>
          <w:lang w:eastAsia="ko-KR"/>
        </w:rPr>
        <w:t xml:space="preserve"> </w:t>
      </w:r>
      <w:r w:rsidR="007C1225">
        <w:rPr>
          <w:rFonts w:eastAsia="Malgun Gothic" w:cstheme="minorHAnsi"/>
          <w:iCs/>
          <w:lang w:eastAsia="ko-KR"/>
        </w:rPr>
        <w:t>values</w:t>
      </w:r>
      <w:r w:rsidR="005C5D3E">
        <w:rPr>
          <w:rFonts w:eastAsia="Malgun Gothic" w:cstheme="minorHAnsi"/>
          <w:iCs/>
          <w:lang w:eastAsia="ko-KR"/>
        </w:rPr>
        <w:t xml:space="preserve">, one for each </w:t>
      </w:r>
      <m:oMath>
        <m:r>
          <w:rPr>
            <w:rFonts w:ascii="Cambria Math" w:eastAsia="Malgun Gothic" w:hAnsi="Cambria Math"/>
            <w:lang w:eastAsia="ko-KR"/>
          </w:rPr>
          <m:t>α</m:t>
        </m:r>
      </m:oMath>
      <w:r w:rsidR="005C5D3E">
        <w:rPr>
          <w:rFonts w:eastAsia="Malgun Gothic" w:cstheme="minorHAnsi"/>
          <w:lang w:eastAsia="ko-KR"/>
        </w:rPr>
        <w:t xml:space="preserve">. The pair of </w:t>
      </w:r>
      <m:oMath>
        <m:r>
          <w:rPr>
            <w:rFonts w:ascii="Cambria Math" w:eastAsia="Malgun Gothic" w:hAnsi="Cambria Math"/>
            <w:lang w:eastAsia="ko-KR"/>
          </w:rPr>
          <m:t>α</m:t>
        </m:r>
      </m:oMath>
      <w:r w:rsidR="005C5D3E">
        <w:rPr>
          <w:rFonts w:eastAsia="Malgun Gothic" w:cstheme="minorHAnsi"/>
          <w:lang w:eastAsia="ko-KR"/>
        </w:rPr>
        <w:t xml:space="preserve"> and </w:t>
      </w:r>
      <m:oMath>
        <m:r>
          <w:rPr>
            <w:rFonts w:ascii="Cambria Math" w:eastAsia="Malgun Gothic" w:hAnsi="Cambria Math"/>
            <w:lang w:eastAsia="ko-KR"/>
          </w:rPr>
          <m:t>λ</m:t>
        </m:r>
      </m:oMath>
      <w:r w:rsidR="007C40E3">
        <w:rPr>
          <w:rFonts w:eastAsia="Malgun Gothic" w:cstheme="minorHAnsi"/>
          <w:lang w:eastAsia="ko-KR"/>
        </w:rPr>
        <w:t xml:space="preserve"> that achieved the best model performance</w:t>
      </w:r>
      <w:r w:rsidR="00952390">
        <w:rPr>
          <w:rFonts w:eastAsia="Malgun Gothic" w:cstheme="minorHAnsi"/>
          <w:lang w:eastAsia="ko-KR"/>
        </w:rPr>
        <w:t xml:space="preserve"> was selected as the final hyperparameter combination.</w:t>
      </w:r>
    </w:p>
    <w:p w14:paraId="570D6489" w14:textId="03331092" w:rsidR="006F0100" w:rsidRPr="00CF3427" w:rsidRDefault="006F0100" w:rsidP="007D7BC2">
      <w:pPr>
        <w:rPr>
          <w:rFonts w:ascii="Calibri" w:eastAsia="Malgun Gothic" w:hAnsi="Calibri" w:cs="Calibri"/>
          <w:iCs/>
          <w:lang w:eastAsia="ko-KR"/>
        </w:rPr>
      </w:pPr>
      <w:r>
        <w:rPr>
          <w:rFonts w:ascii="Calibri" w:eastAsia="Malgun Gothic" w:hAnsi="Calibri" w:cs="Calibri"/>
          <w:iCs/>
          <w:lang w:eastAsia="ko-KR"/>
        </w:rPr>
        <w:tab/>
      </w:r>
      <w:r w:rsidR="00D138CA" w:rsidRPr="00CF3427">
        <w:rPr>
          <w:rFonts w:ascii="Calibri" w:eastAsia="Malgun Gothic" w:hAnsi="Calibri" w:cs="Calibri"/>
          <w:iCs/>
          <w:lang w:eastAsia="ko-KR"/>
        </w:rPr>
        <w:t xml:space="preserve">We developed </w:t>
      </w:r>
      <w:r w:rsidR="00604A85" w:rsidRPr="00CF3427">
        <w:rPr>
          <w:rFonts w:ascii="Calibri" w:eastAsia="Malgun Gothic" w:hAnsi="Calibri" w:cs="Calibri"/>
          <w:iCs/>
          <w:lang w:eastAsia="ko-KR"/>
        </w:rPr>
        <w:t>the first model using a bagging approach combined with regularized Cox regression</w:t>
      </w:r>
      <w:r w:rsidR="00E55935" w:rsidRPr="00CF3427">
        <w:rPr>
          <w:rFonts w:ascii="Calibri" w:eastAsia="Malgun Gothic" w:hAnsi="Calibri" w:cs="Calibri"/>
          <w:iCs/>
          <w:lang w:eastAsia="ko-KR"/>
        </w:rPr>
        <w:t>. Bagging</w:t>
      </w:r>
      <w:r w:rsidR="00FC2B81" w:rsidRPr="00CF3427">
        <w:rPr>
          <w:rFonts w:ascii="Calibri" w:eastAsia="Malgun Gothic" w:hAnsi="Calibri" w:cs="Calibri"/>
          <w:iCs/>
          <w:lang w:eastAsia="ko-KR"/>
        </w:rPr>
        <w:t xml:space="preserve"> (</w:t>
      </w:r>
      <w:proofErr w:type="spellStart"/>
      <w:r w:rsidR="00C63915" w:rsidRPr="00CF3427">
        <w:rPr>
          <w:rFonts w:ascii="Calibri" w:eastAsia="Malgun Gothic" w:hAnsi="Calibri" w:cs="Calibri"/>
          <w:iCs/>
          <w:lang w:eastAsia="ko-KR"/>
        </w:rPr>
        <w:t>Breiman</w:t>
      </w:r>
      <w:proofErr w:type="spellEnd"/>
      <w:r w:rsidR="00C63915" w:rsidRPr="00CF3427">
        <w:rPr>
          <w:rFonts w:ascii="Calibri" w:eastAsia="Malgun Gothic" w:hAnsi="Calibri" w:cs="Calibri"/>
          <w:iCs/>
          <w:lang w:eastAsia="ko-KR"/>
        </w:rPr>
        <w:t>, 1996</w:t>
      </w:r>
      <w:r w:rsidR="00FC2B81" w:rsidRPr="00CF3427">
        <w:rPr>
          <w:rFonts w:ascii="Calibri" w:eastAsia="Malgun Gothic" w:hAnsi="Calibri" w:cs="Calibri"/>
          <w:iCs/>
          <w:lang w:eastAsia="ko-KR"/>
        </w:rPr>
        <w:t>)</w:t>
      </w:r>
      <w:r w:rsidR="00E55935" w:rsidRPr="00CF3427">
        <w:rPr>
          <w:rFonts w:ascii="Calibri" w:eastAsia="Malgun Gothic" w:hAnsi="Calibri" w:cs="Calibri"/>
          <w:iCs/>
          <w:lang w:eastAsia="ko-KR"/>
        </w:rPr>
        <w:t xml:space="preserve"> was employed </w:t>
      </w:r>
      <w:r w:rsidR="009D5B5F" w:rsidRPr="00CF3427">
        <w:rPr>
          <w:rFonts w:ascii="Calibri" w:eastAsia="Malgun Gothic" w:hAnsi="Calibri" w:cs="Calibri"/>
          <w:iCs/>
          <w:lang w:eastAsia="ko-KR"/>
        </w:rPr>
        <w:t xml:space="preserve">to enhance the model’s stability and predictive performance by reducing variance. </w:t>
      </w:r>
      <w:r w:rsidR="00250AED" w:rsidRPr="00CF3427">
        <w:rPr>
          <w:rFonts w:ascii="Calibri" w:eastAsia="Malgun Gothic" w:hAnsi="Calibri" w:cs="Calibri"/>
          <w:iCs/>
          <w:lang w:eastAsia="ko-KR"/>
        </w:rPr>
        <w:t>Each</w:t>
      </w:r>
      <w:r w:rsidR="009D5B5F" w:rsidRPr="00CF3427">
        <w:rPr>
          <w:rFonts w:ascii="Calibri" w:eastAsia="Malgun Gothic" w:hAnsi="Calibri" w:cs="Calibri"/>
          <w:iCs/>
          <w:lang w:eastAsia="ko-KR"/>
        </w:rPr>
        <w:t xml:space="preserve"> bootstrap sample w</w:t>
      </w:r>
      <w:r w:rsidR="00250AED" w:rsidRPr="00CF3427">
        <w:rPr>
          <w:rFonts w:ascii="Calibri" w:eastAsia="Malgun Gothic" w:hAnsi="Calibri" w:cs="Calibri"/>
          <w:iCs/>
          <w:lang w:eastAsia="ko-KR"/>
        </w:rPr>
        <w:t>as</w:t>
      </w:r>
      <w:r w:rsidR="009D5B5F" w:rsidRPr="00CF3427">
        <w:rPr>
          <w:rFonts w:ascii="Calibri" w:eastAsia="Malgun Gothic" w:hAnsi="Calibri" w:cs="Calibri"/>
          <w:iCs/>
          <w:lang w:eastAsia="ko-KR"/>
        </w:rPr>
        <w:t xml:space="preserve"> generated from </w:t>
      </w:r>
      <w:proofErr w:type="gramStart"/>
      <w:r w:rsidR="009D5B5F" w:rsidRPr="00CF3427">
        <w:rPr>
          <w:rFonts w:ascii="Calibri" w:eastAsia="Malgun Gothic" w:hAnsi="Calibri" w:cs="Calibri"/>
          <w:iCs/>
          <w:lang w:eastAsia="ko-KR"/>
        </w:rPr>
        <w:t xml:space="preserve">the </w:t>
      </w:r>
      <w:proofErr w:type="spellStart"/>
      <w:r w:rsidR="00250AED" w:rsidRPr="00CF3427">
        <w:rPr>
          <w:rFonts w:ascii="Calibri" w:eastAsia="Malgun Gothic" w:hAnsi="Calibri" w:cs="Calibri"/>
          <w:iCs/>
          <w:lang w:eastAsia="ko-KR"/>
        </w:rPr>
        <w:t>the</w:t>
      </w:r>
      <w:proofErr w:type="spellEnd"/>
      <w:proofErr w:type="gramEnd"/>
      <w:r w:rsidR="00250AED" w:rsidRPr="00CF3427">
        <w:rPr>
          <w:rFonts w:ascii="Calibri" w:eastAsia="Malgun Gothic" w:hAnsi="Calibri" w:cs="Calibri"/>
          <w:iCs/>
          <w:lang w:eastAsia="ko-KR"/>
        </w:rPr>
        <w:t xml:space="preserve"> </w:t>
      </w:r>
      <w:r w:rsidR="00CC58F2" w:rsidRPr="00CF3427">
        <w:rPr>
          <w:rFonts w:ascii="Calibri" w:eastAsia="Malgun Gothic" w:hAnsi="Calibri" w:cs="Calibri"/>
          <w:iCs/>
          <w:lang w:eastAsia="ko-KR"/>
        </w:rPr>
        <w:t>training data with replacement to ensure a diverse representation of the data.</w:t>
      </w:r>
      <w:r w:rsidR="00D6465B" w:rsidRPr="00CF3427">
        <w:rPr>
          <w:rFonts w:ascii="Calibri" w:eastAsia="Malgun Gothic" w:hAnsi="Calibri" w:cs="Calibri"/>
          <w:iCs/>
          <w:lang w:eastAsia="ko-KR"/>
        </w:rPr>
        <w:t xml:space="preserve"> For each bootstrap sample, a </w:t>
      </w:r>
      <w:r w:rsidR="007D7BC2" w:rsidRPr="00CF3427">
        <w:rPr>
          <w:rFonts w:ascii="Calibri" w:eastAsia="Malgun Gothic" w:hAnsi="Calibri" w:cs="Calibri"/>
          <w:iCs/>
          <w:lang w:eastAsia="ko-KR"/>
        </w:rPr>
        <w:t xml:space="preserve">regularized </w:t>
      </w:r>
      <w:r w:rsidR="00D6465B" w:rsidRPr="00CF3427">
        <w:rPr>
          <w:rFonts w:ascii="Calibri" w:eastAsia="Malgun Gothic" w:hAnsi="Calibri" w:cs="Calibri"/>
          <w:iCs/>
          <w:lang w:eastAsia="ko-KR"/>
        </w:rPr>
        <w:t>Cox PH model</w:t>
      </w:r>
      <w:r w:rsidR="00FE2A2C" w:rsidRPr="00CF3427">
        <w:rPr>
          <w:rFonts w:ascii="Calibri" w:eastAsia="Malgun Gothic" w:hAnsi="Calibri" w:cs="Calibri"/>
          <w:iCs/>
          <w:lang w:eastAsia="ko-KR"/>
        </w:rPr>
        <w:t xml:space="preserve"> was built.</w:t>
      </w:r>
      <w:r w:rsidR="00C64BA7" w:rsidRPr="00CF3427">
        <w:rPr>
          <w:rFonts w:ascii="Calibri" w:eastAsia="Malgun Gothic" w:hAnsi="Calibri" w:cs="Calibri"/>
          <w:iCs/>
          <w:lang w:eastAsia="ko-KR"/>
        </w:rPr>
        <w:t xml:space="preserve"> </w:t>
      </w:r>
      <w:r w:rsidR="000924BB" w:rsidRPr="00CF3427">
        <w:rPr>
          <w:rFonts w:ascii="Calibri" w:eastAsia="Malgun Gothic" w:hAnsi="Calibri" w:cs="Calibri"/>
          <w:iCs/>
          <w:lang w:eastAsia="ko-KR"/>
        </w:rPr>
        <w:t xml:space="preserve">The </w:t>
      </w:r>
      <w:r w:rsidR="00C81B39" w:rsidRPr="00CF3427">
        <w:rPr>
          <w:rFonts w:ascii="Calibri" w:eastAsia="Malgun Gothic" w:hAnsi="Calibri" w:cs="Calibri"/>
          <w:iCs/>
          <w:lang w:eastAsia="ko-KR"/>
        </w:rPr>
        <w:t xml:space="preserve">predictions from individual models were aggregated to create the final </w:t>
      </w:r>
      <w:r w:rsidR="00C81B39" w:rsidRPr="00CF3427">
        <w:rPr>
          <w:rFonts w:ascii="Calibri" w:eastAsia="Malgun Gothic" w:hAnsi="Calibri" w:cs="Calibri"/>
          <w:iCs/>
          <w:lang w:eastAsia="ko-KR"/>
        </w:rPr>
        <w:lastRenderedPageBreak/>
        <w:t>ensemble model.</w:t>
      </w:r>
      <w:r w:rsidR="00927D42" w:rsidRPr="00CF3427">
        <w:rPr>
          <w:rFonts w:ascii="Calibri" w:eastAsia="Malgun Gothic" w:hAnsi="Calibri" w:cs="Calibri"/>
          <w:iCs/>
          <w:lang w:eastAsia="ko-KR"/>
        </w:rPr>
        <w:t xml:space="preserve"> Aggregation was performed by averaging the </w:t>
      </w:r>
      <w:r w:rsidR="003F0170" w:rsidRPr="00CF3427">
        <w:rPr>
          <w:rFonts w:ascii="Calibri" w:eastAsia="Malgun Gothic" w:hAnsi="Calibri" w:cs="Calibri"/>
          <w:iCs/>
          <w:lang w:eastAsia="ko-KR"/>
        </w:rPr>
        <w:t>predicted risk scores across all bootstrap models to obtain a robust estimate of the survival risk for each patient.</w:t>
      </w:r>
    </w:p>
    <w:p w14:paraId="1812BD0C" w14:textId="6EF23C6D" w:rsidR="00054D66" w:rsidRPr="00617BF0" w:rsidRDefault="00D54829" w:rsidP="00377247">
      <w:pPr>
        <w:ind w:firstLine="720"/>
        <w:rPr>
          <w:rFonts w:ascii="Calibri" w:eastAsia="Malgun Gothic" w:hAnsi="Calibri" w:cs="Calibri"/>
          <w:iCs/>
          <w:color w:val="0070C0"/>
          <w:lang w:eastAsia="ko-KR"/>
        </w:rPr>
      </w:pPr>
      <w:r w:rsidRPr="0067773B">
        <w:rPr>
          <w:rFonts w:ascii="Calibri" w:eastAsia="Malgun Gothic" w:hAnsi="Calibri" w:cs="Calibri"/>
          <w:iCs/>
          <w:lang w:eastAsia="ko-KR"/>
        </w:rPr>
        <w:t>P</w:t>
      </w:r>
      <w:r w:rsidR="00617BF0" w:rsidRPr="0067773B">
        <w:rPr>
          <w:rFonts w:ascii="Calibri" w:eastAsia="Malgun Gothic" w:hAnsi="Calibri" w:cs="Calibri"/>
          <w:iCs/>
          <w:lang w:eastAsia="ko-KR"/>
        </w:rPr>
        <w:t>atient treatment</w:t>
      </w:r>
      <w:r w:rsidRPr="0067773B">
        <w:rPr>
          <w:rFonts w:ascii="Calibri" w:eastAsia="Malgun Gothic" w:hAnsi="Calibri" w:cs="Calibri"/>
          <w:iCs/>
          <w:lang w:eastAsia="ko-KR"/>
        </w:rPr>
        <w:t xml:space="preserve"> recommendation </w:t>
      </w:r>
      <w:r w:rsidR="00952FD4" w:rsidRPr="0067773B">
        <w:rPr>
          <w:rFonts w:ascii="Calibri" w:eastAsia="Malgun Gothic" w:hAnsi="Calibri" w:cs="Calibri"/>
          <w:iCs/>
          <w:lang w:eastAsia="ko-KR"/>
        </w:rPr>
        <w:t>is</w:t>
      </w:r>
      <w:r w:rsidR="00617BF0" w:rsidRPr="0067773B">
        <w:rPr>
          <w:rFonts w:ascii="Calibri" w:eastAsia="Malgun Gothic" w:hAnsi="Calibri" w:cs="Calibri"/>
          <w:iCs/>
          <w:lang w:eastAsia="ko-KR"/>
        </w:rPr>
        <w:t xml:space="preserve"> based on the </w:t>
      </w:r>
      <w:r w:rsidR="00952FD4" w:rsidRPr="0067773B">
        <w:rPr>
          <w:rFonts w:ascii="Calibri" w:eastAsia="Malgun Gothic" w:hAnsi="Calibri" w:cs="Calibri"/>
          <w:iCs/>
          <w:lang w:eastAsia="ko-KR"/>
        </w:rPr>
        <w:t>predicted hazard ratio</w:t>
      </w:r>
      <w:r w:rsidR="008B275C" w:rsidRPr="0067773B">
        <w:rPr>
          <w:rFonts w:ascii="Calibri" w:eastAsia="Malgun Gothic" w:hAnsi="Calibri" w:cs="Calibri"/>
          <w:iCs/>
          <w:lang w:eastAsia="ko-KR"/>
        </w:rPr>
        <w:t xml:space="preserve"> (HR)</w:t>
      </w:r>
      <w:r w:rsidR="004B093C">
        <w:rPr>
          <w:rFonts w:ascii="Calibri" w:eastAsia="Malgun Gothic" w:hAnsi="Calibri" w:cs="Calibri"/>
          <w:iCs/>
          <w:lang w:eastAsia="ko-KR"/>
        </w:rPr>
        <w:t xml:space="preserve">, which </w:t>
      </w:r>
      <w:r w:rsidR="0022227C" w:rsidRPr="0067773B">
        <w:rPr>
          <w:rFonts w:ascii="Calibri" w:eastAsia="Malgun Gothic" w:hAnsi="Calibri" w:cs="Calibri"/>
          <w:iCs/>
          <w:lang w:eastAsia="ko-KR"/>
        </w:rPr>
        <w:t>quantifies the relative risk between t</w:t>
      </w:r>
      <w:r w:rsidR="00883D63">
        <w:rPr>
          <w:rFonts w:ascii="Calibri" w:eastAsia="Malgun Gothic" w:hAnsi="Calibri" w:cs="Calibri"/>
          <w:iCs/>
          <w:lang w:eastAsia="ko-KR"/>
        </w:rPr>
        <w:t>wo</w:t>
      </w:r>
      <w:r w:rsidR="0022227C" w:rsidRPr="0067773B">
        <w:rPr>
          <w:rFonts w:ascii="Calibri" w:eastAsia="Malgun Gothic" w:hAnsi="Calibri" w:cs="Calibri"/>
          <w:iCs/>
          <w:lang w:eastAsia="ko-KR"/>
        </w:rPr>
        <w:t xml:space="preserve"> treatments</w:t>
      </w:r>
      <w:r w:rsidR="00883D63">
        <w:rPr>
          <w:rFonts w:ascii="Calibri" w:eastAsia="Malgun Gothic" w:hAnsi="Calibri" w:cs="Calibri"/>
          <w:iCs/>
          <w:lang w:eastAsia="ko-KR"/>
        </w:rPr>
        <w:t xml:space="preserve"> options. Specifically, when</w:t>
      </w:r>
      <w:r w:rsidR="008B275C" w:rsidRPr="0067773B">
        <w:rPr>
          <w:rFonts w:ascii="Calibri" w:eastAsia="Malgun Gothic" w:hAnsi="Calibri" w:cs="Calibri"/>
          <w:iCs/>
          <w:lang w:eastAsia="ko-KR"/>
        </w:rPr>
        <w:t xml:space="preserve"> </w:t>
      </w:r>
      <w:r w:rsidR="005750C9" w:rsidRPr="0067773B">
        <w:rPr>
          <w:rFonts w:ascii="Calibri" w:eastAsia="Malgun Gothic" w:hAnsi="Calibri" w:cs="Calibri"/>
          <w:iCs/>
          <w:lang w:eastAsia="ko-KR"/>
        </w:rPr>
        <w:t>HR &gt; 1</w:t>
      </w:r>
      <w:r w:rsidR="002E7A6B" w:rsidRPr="0067773B">
        <w:rPr>
          <w:rFonts w:ascii="Calibri" w:eastAsia="Malgun Gothic" w:hAnsi="Calibri" w:cs="Calibri"/>
          <w:iCs/>
          <w:lang w:eastAsia="ko-KR"/>
        </w:rPr>
        <w:t xml:space="preserve">, hazard </w:t>
      </w:r>
      <w:r w:rsidR="009307DD">
        <w:rPr>
          <w:rFonts w:ascii="Calibri" w:eastAsia="Malgun Gothic" w:hAnsi="Calibri" w:cs="Calibri"/>
          <w:iCs/>
          <w:lang w:eastAsia="ko-KR"/>
        </w:rPr>
        <w:t>associated with</w:t>
      </w:r>
      <w:r w:rsidR="002E7A6B" w:rsidRPr="0067773B">
        <w:rPr>
          <w:rFonts w:ascii="Calibri" w:eastAsia="Malgun Gothic" w:hAnsi="Calibri" w:cs="Calibri"/>
          <w:iCs/>
          <w:lang w:eastAsia="ko-KR"/>
        </w:rP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2E7A6B" w:rsidRPr="0067773B">
        <w:rPr>
          <w:rFonts w:ascii="Calibri" w:eastAsia="Malgun Gothic" w:hAnsi="Calibri" w:cs="Calibri"/>
        </w:rPr>
        <w:t xml:space="preserve"> (e.g., OBS) </w:t>
      </w:r>
      <w:r w:rsidR="009307DD">
        <w:rPr>
          <w:rFonts w:ascii="Calibri" w:eastAsia="Malgun Gothic" w:hAnsi="Calibri" w:cs="Calibri"/>
        </w:rPr>
        <w:t xml:space="preserve">exceeds that of </w:t>
      </w: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2</m:t>
            </m:r>
          </m:sub>
        </m:sSub>
      </m:oMath>
      <w:r w:rsidR="008949E1">
        <w:rPr>
          <w:rFonts w:ascii="Calibri" w:eastAsia="Malgun Gothic" w:hAnsi="Calibri" w:cs="Calibri"/>
          <w:color w:val="000000" w:themeColor="text1"/>
        </w:rPr>
        <w:t xml:space="preserve"> (e.g., ACT)</w:t>
      </w:r>
      <w:r w:rsidR="006B0E99" w:rsidRPr="0067773B">
        <w:rPr>
          <w:rFonts w:ascii="Calibri" w:eastAsia="Malgun Gothic" w:hAnsi="Calibri" w:cs="Calibri"/>
        </w:rPr>
        <w:t xml:space="preserve">, </w:t>
      </w:r>
      <w:r w:rsidR="008949E1">
        <w:rPr>
          <w:rFonts w:ascii="Calibri" w:eastAsia="Malgun Gothic" w:hAnsi="Calibri" w:cs="Calibri"/>
        </w:rPr>
        <w:t>favoring a recommendation for</w:t>
      </w:r>
      <w:r w:rsidR="006B0E99">
        <w:rPr>
          <w:rFonts w:ascii="Calibri" w:eastAsia="Malgun Gothic" w:hAnsi="Calibri" w:cs="Calibri"/>
          <w:color w:val="000000" w:themeColor="text1"/>
        </w:rPr>
        <w:t xml:space="preserve"> ACT. </w:t>
      </w:r>
      <w:r w:rsidR="008949E1">
        <w:rPr>
          <w:rFonts w:ascii="Calibri" w:eastAsia="Malgun Gothic" w:hAnsi="Calibri" w:cs="Calibri"/>
          <w:color w:val="000000" w:themeColor="text1"/>
        </w:rPr>
        <w:t>Conversely</w:t>
      </w:r>
      <w:r w:rsidR="006B0E99">
        <w:rPr>
          <w:rFonts w:ascii="Calibri" w:eastAsia="Malgun Gothic" w:hAnsi="Calibri" w:cs="Calibri"/>
          <w:color w:val="000000" w:themeColor="text1"/>
        </w:rPr>
        <w:t xml:space="preserve">, if HR &lt; 1, </w:t>
      </w:r>
      <w:r w:rsidR="00F95885">
        <w:rPr>
          <w:rFonts w:ascii="Calibri" w:eastAsia="Malgun Gothic" w:hAnsi="Calibri" w:cs="Calibri"/>
          <w:color w:val="000000" w:themeColor="text1"/>
        </w:rPr>
        <w:t xml:space="preserve">the </w:t>
      </w:r>
      <w:r w:rsidR="000351DB">
        <w:rPr>
          <w:rFonts w:ascii="Calibri" w:eastAsia="Malgun Gothic" w:hAnsi="Calibri" w:cs="Calibri"/>
          <w:color w:val="000000" w:themeColor="text1"/>
        </w:rPr>
        <w:t xml:space="preserve">hazard under </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0351DB">
        <w:rPr>
          <w:rFonts w:ascii="Calibri" w:eastAsia="Malgun Gothic" w:hAnsi="Calibri" w:cs="Calibri"/>
          <w:color w:val="000000" w:themeColor="text1"/>
        </w:rPr>
        <w:t xml:space="preserve"> is lower, </w:t>
      </w:r>
      <w:r w:rsidR="00F95885">
        <w:rPr>
          <w:rFonts w:ascii="Calibri" w:eastAsia="Malgun Gothic" w:hAnsi="Calibri" w:cs="Calibri"/>
          <w:color w:val="000000" w:themeColor="text1"/>
        </w:rPr>
        <w:t>supporting a recommendation for</w:t>
      </w:r>
      <w:r w:rsidR="000351DB">
        <w:rPr>
          <w:rFonts w:ascii="Calibri" w:eastAsia="Malgun Gothic" w:hAnsi="Calibri" w:cs="Calibri"/>
          <w:color w:val="000000" w:themeColor="text1"/>
        </w:rPr>
        <w:t xml:space="preserve"> OBS.</w:t>
      </w:r>
      <w:r w:rsidR="00F056D8">
        <w:rPr>
          <w:rFonts w:ascii="Calibri" w:eastAsia="Malgun Gothic" w:hAnsi="Calibri" w:cs="Calibri"/>
          <w:color w:val="000000" w:themeColor="text1"/>
        </w:rPr>
        <w:t xml:space="preserve"> This approach provides a systematic </w:t>
      </w:r>
      <w:r w:rsidR="006851A8">
        <w:rPr>
          <w:rFonts w:ascii="Calibri" w:eastAsia="Malgun Gothic" w:hAnsi="Calibri" w:cs="Calibri"/>
          <w:color w:val="000000" w:themeColor="text1"/>
        </w:rPr>
        <w:t>and</w:t>
      </w:r>
      <w:r w:rsidR="00F056D8">
        <w:rPr>
          <w:rFonts w:ascii="Calibri" w:eastAsia="Malgun Gothic" w:hAnsi="Calibri" w:cs="Calibri"/>
          <w:color w:val="000000" w:themeColor="text1"/>
        </w:rPr>
        <w:t xml:space="preserve"> evidence-based </w:t>
      </w:r>
      <w:r w:rsidR="00B51EA0">
        <w:rPr>
          <w:rFonts w:ascii="Calibri" w:eastAsia="Malgun Gothic" w:hAnsi="Calibri" w:cs="Calibri"/>
          <w:color w:val="000000" w:themeColor="text1"/>
        </w:rPr>
        <w:t xml:space="preserve">framework for individualized </w:t>
      </w:r>
      <w:r w:rsidR="00F056D8">
        <w:rPr>
          <w:rFonts w:ascii="Calibri" w:eastAsia="Malgun Gothic" w:hAnsi="Calibri" w:cs="Calibri"/>
          <w:color w:val="000000" w:themeColor="text1"/>
        </w:rPr>
        <w:t>treatment recommendations</w:t>
      </w:r>
      <w:r w:rsidR="00B51EA0">
        <w:rPr>
          <w:rFonts w:ascii="Calibri" w:eastAsia="Malgun Gothic" w:hAnsi="Calibri" w:cs="Calibri"/>
          <w:color w:val="000000" w:themeColor="text1"/>
        </w:rPr>
        <w:t xml:space="preserve">, aligning </w:t>
      </w:r>
      <w:r w:rsidR="007D5419">
        <w:rPr>
          <w:rFonts w:ascii="Calibri" w:eastAsia="Malgun Gothic" w:hAnsi="Calibri" w:cs="Calibri"/>
          <w:color w:val="000000" w:themeColor="text1"/>
        </w:rPr>
        <w:t>clinical decisions with patient-specific genomic and clinical risk profiles</w:t>
      </w:r>
      <w:r w:rsidR="0067773B">
        <w:rPr>
          <w:rFonts w:ascii="Calibri" w:eastAsia="Malgun Gothic" w:hAnsi="Calibri" w:cs="Calibri"/>
          <w:color w:val="000000" w:themeColor="text1"/>
        </w:rPr>
        <w:t>.</w:t>
      </w:r>
    </w:p>
    <w:p w14:paraId="179F3CE0" w14:textId="0B2202F3" w:rsidR="00D90A37" w:rsidRPr="003A5D9A" w:rsidRDefault="00D90A37" w:rsidP="00890175">
      <w:pPr>
        <w:rPr>
          <w:rFonts w:ascii="Calibri" w:eastAsia="Malgun Gothic" w:hAnsi="Calibri" w:cs="Calibri"/>
          <w:iCs/>
          <w:color w:val="000000" w:themeColor="text1"/>
          <w:lang w:eastAsia="ko-KR"/>
        </w:rPr>
      </w:pPr>
      <w:r w:rsidRPr="003A5D9A">
        <w:rPr>
          <w:rFonts w:ascii="Calibri" w:eastAsia="Malgun Gothic" w:hAnsi="Calibri" w:cs="Calibri"/>
          <w:iCs/>
          <w:color w:val="000000" w:themeColor="text1"/>
          <w:lang w:eastAsia="ko-KR"/>
        </w:rPr>
        <w:tab/>
      </w:r>
      <w:r w:rsidR="003C27B1" w:rsidRPr="003A5D9A">
        <w:rPr>
          <w:rFonts w:ascii="Calibri" w:eastAsia="Malgun Gothic" w:hAnsi="Calibri" w:cs="Calibri"/>
          <w:iCs/>
          <w:color w:val="000000" w:themeColor="text1"/>
          <w:lang w:eastAsia="ko-KR"/>
        </w:rPr>
        <w:t xml:space="preserve">The model was implemented using the </w:t>
      </w:r>
      <w:proofErr w:type="spellStart"/>
      <w:r w:rsidR="003C27B1" w:rsidRPr="003A5D9A">
        <w:rPr>
          <w:rFonts w:ascii="Calibri" w:eastAsia="Malgun Gothic" w:hAnsi="Calibri" w:cs="Calibri"/>
          <w:iCs/>
          <w:color w:val="000000" w:themeColor="text1"/>
          <w:lang w:eastAsia="ko-KR"/>
        </w:rPr>
        <w:t>glmnet</w:t>
      </w:r>
      <w:proofErr w:type="spellEnd"/>
      <w:r w:rsidR="003C27B1" w:rsidRPr="003A5D9A">
        <w:rPr>
          <w:rFonts w:ascii="Calibri" w:eastAsia="Malgun Gothic" w:hAnsi="Calibri" w:cs="Calibri"/>
          <w:iCs/>
          <w:color w:val="000000" w:themeColor="text1"/>
          <w:lang w:eastAsia="ko-KR"/>
        </w:rPr>
        <w:t xml:space="preserve"> package</w:t>
      </w:r>
      <w:r w:rsidR="00C906AF" w:rsidRPr="003A5D9A">
        <w:rPr>
          <w:rFonts w:ascii="Calibri" w:eastAsia="Malgun Gothic" w:hAnsi="Calibri" w:cs="Calibri"/>
          <w:iCs/>
          <w:color w:val="000000" w:themeColor="text1"/>
          <w:lang w:eastAsia="ko-KR"/>
        </w:rPr>
        <w:t xml:space="preserve"> (Friedman</w:t>
      </w:r>
      <w:r w:rsidR="00A001F4" w:rsidRPr="003A5D9A">
        <w:rPr>
          <w:rFonts w:ascii="Calibri" w:eastAsia="Malgun Gothic" w:hAnsi="Calibri" w:cs="Calibri"/>
          <w:iCs/>
          <w:color w:val="000000" w:themeColor="text1"/>
          <w:lang w:eastAsia="ko-KR"/>
        </w:rPr>
        <w:t>, et al., 2010)</w:t>
      </w:r>
      <w:r w:rsidR="003C27B1" w:rsidRPr="003A5D9A">
        <w:rPr>
          <w:rFonts w:ascii="Calibri" w:eastAsia="Malgun Gothic" w:hAnsi="Calibri" w:cs="Calibri"/>
          <w:iCs/>
          <w:color w:val="000000" w:themeColor="text1"/>
          <w:lang w:eastAsia="ko-KR"/>
        </w:rPr>
        <w:t xml:space="preserve"> in R for elastic net regularization, and the ba</w:t>
      </w:r>
      <w:r w:rsidR="00B27CC8" w:rsidRPr="003A5D9A">
        <w:rPr>
          <w:rFonts w:ascii="Calibri" w:eastAsia="Malgun Gothic" w:hAnsi="Calibri" w:cs="Calibri"/>
          <w:iCs/>
          <w:color w:val="000000" w:themeColor="text1"/>
          <w:lang w:eastAsia="ko-KR"/>
        </w:rPr>
        <w:t>gging process was conducted using R</w:t>
      </w:r>
      <w:r w:rsidR="003A5D9A">
        <w:rPr>
          <w:rFonts w:ascii="Calibri" w:eastAsia="Malgun Gothic" w:hAnsi="Calibri" w:cs="Calibri"/>
          <w:iCs/>
          <w:color w:val="000000" w:themeColor="text1"/>
          <w:lang w:eastAsia="ko-KR"/>
        </w:rPr>
        <w:t>.</w:t>
      </w:r>
    </w:p>
    <w:p w14:paraId="6331ED06" w14:textId="77777777" w:rsidR="00941858" w:rsidRDefault="00941858" w:rsidP="00890175">
      <w:pPr>
        <w:rPr>
          <w:rFonts w:ascii="Calibri" w:eastAsia="Malgun Gothic" w:hAnsi="Calibri" w:cs="Calibri"/>
          <w:iCs/>
          <w:lang w:eastAsia="ko-KR"/>
        </w:rPr>
      </w:pPr>
    </w:p>
    <w:p w14:paraId="02B007E1" w14:textId="73CCE88E" w:rsidR="00F3322E" w:rsidRPr="00424FD8" w:rsidRDefault="00F3322E" w:rsidP="00F3322E">
      <w:pPr>
        <w:rPr>
          <w:rFonts w:eastAsia="Malgun Gothic"/>
          <w:b/>
          <w:bCs/>
          <w:lang w:eastAsia="ko-KR"/>
        </w:rPr>
      </w:pPr>
      <w:r w:rsidRPr="00424FD8">
        <w:rPr>
          <w:rFonts w:eastAsia="Malgun Gothic"/>
          <w:b/>
          <w:bCs/>
          <w:lang w:eastAsia="ko-KR"/>
        </w:rPr>
        <w:t>2.</w:t>
      </w:r>
      <w:r>
        <w:rPr>
          <w:rFonts w:eastAsia="Malgun Gothic" w:hint="eastAsia"/>
          <w:b/>
          <w:bCs/>
          <w:lang w:eastAsia="ko-KR"/>
        </w:rPr>
        <w:t>2.</w:t>
      </w:r>
      <w:r w:rsidR="000C02F6">
        <w:rPr>
          <w:rFonts w:eastAsia="Malgun Gothic"/>
          <w:b/>
          <w:bCs/>
          <w:lang w:eastAsia="ko-KR"/>
        </w:rPr>
        <w:t>2</w:t>
      </w:r>
      <w:r w:rsidRPr="00424FD8">
        <w:rPr>
          <w:rFonts w:eastAsia="Malgun Gothic"/>
          <w:b/>
          <w:bCs/>
          <w:lang w:eastAsia="ko-KR"/>
        </w:rPr>
        <w:t xml:space="preserve"> </w:t>
      </w:r>
      <w:r>
        <w:rPr>
          <w:rFonts w:eastAsia="Malgun Gothic" w:hint="eastAsia"/>
          <w:b/>
          <w:bCs/>
          <w:lang w:eastAsia="ko-KR"/>
        </w:rPr>
        <w:t>R</w:t>
      </w:r>
      <w:r w:rsidR="002150B1">
        <w:rPr>
          <w:rFonts w:eastAsia="Malgun Gothic"/>
          <w:b/>
          <w:bCs/>
          <w:lang w:eastAsia="ko-KR"/>
        </w:rPr>
        <w:t>andom Survival Forests</w:t>
      </w:r>
      <w:r>
        <w:rPr>
          <w:rFonts w:eastAsia="Malgun Gothic" w:hint="eastAsia"/>
          <w:b/>
          <w:bCs/>
          <w:lang w:eastAsia="ko-KR"/>
        </w:rPr>
        <w:t xml:space="preserve"> Model</w:t>
      </w:r>
    </w:p>
    <w:p w14:paraId="6AFB8A6B" w14:textId="700378FB" w:rsidR="008E2A9A" w:rsidRDefault="00F141BA" w:rsidP="00F443E0">
      <w:pPr>
        <w:ind w:firstLine="720"/>
        <w:rPr>
          <w:rFonts w:ascii="Calibri" w:eastAsia="Malgun Gothic" w:hAnsi="Calibri" w:cs="Calibri"/>
          <w:iCs/>
          <w:lang w:eastAsia="ko-KR"/>
        </w:rPr>
      </w:pPr>
      <w:r>
        <w:rPr>
          <w:rFonts w:ascii="Calibri" w:eastAsia="Malgun Gothic" w:hAnsi="Calibri" w:cs="Calibri"/>
          <w:iCs/>
          <w:lang w:eastAsia="ko-KR"/>
        </w:rPr>
        <w:t xml:space="preserve">Random Survival Forests (RSF) </w:t>
      </w:r>
      <w:r w:rsidR="00F576DE">
        <w:rPr>
          <w:rFonts w:ascii="Calibri" w:eastAsia="Malgun Gothic" w:hAnsi="Calibri" w:cs="Calibri"/>
          <w:iCs/>
          <w:lang w:eastAsia="ko-KR"/>
        </w:rPr>
        <w:t>(Ishwaran</w:t>
      </w:r>
      <w:r w:rsidR="00B86E6D">
        <w:rPr>
          <w:rFonts w:ascii="Calibri" w:eastAsia="Malgun Gothic" w:hAnsi="Calibri" w:cs="Calibri"/>
          <w:iCs/>
          <w:lang w:eastAsia="ko-KR"/>
        </w:rPr>
        <w:t xml:space="preserve"> et al., 2008) </w:t>
      </w:r>
      <w:r>
        <w:rPr>
          <w:rFonts w:ascii="Calibri" w:eastAsia="Malgun Gothic" w:hAnsi="Calibri" w:cs="Calibri"/>
          <w:iCs/>
          <w:lang w:eastAsia="ko-KR"/>
        </w:rPr>
        <w:t>is a</w:t>
      </w:r>
      <w:r w:rsidR="003F732D">
        <w:rPr>
          <w:rFonts w:ascii="Calibri" w:eastAsia="Malgun Gothic" w:hAnsi="Calibri" w:cs="Calibri"/>
          <w:iCs/>
          <w:lang w:eastAsia="ko-KR"/>
        </w:rPr>
        <w:t xml:space="preserve"> nonparametric</w:t>
      </w:r>
      <w:r>
        <w:rPr>
          <w:rFonts w:ascii="Calibri" w:eastAsia="Malgun Gothic" w:hAnsi="Calibri" w:cs="Calibri"/>
          <w:iCs/>
          <w:lang w:eastAsia="ko-KR"/>
        </w:rPr>
        <w:t xml:space="preserve"> ensemble learning method </w:t>
      </w:r>
      <w:r w:rsidR="00EA136D">
        <w:rPr>
          <w:rFonts w:ascii="Calibri" w:eastAsia="Malgun Gothic" w:hAnsi="Calibri" w:cs="Calibri"/>
          <w:iCs/>
          <w:lang w:eastAsia="ko-KR"/>
        </w:rPr>
        <w:t>specifically designed for survival analysis, extending the principles of random forests (</w:t>
      </w:r>
      <w:proofErr w:type="spellStart"/>
      <w:r w:rsidR="00EA136D">
        <w:rPr>
          <w:rFonts w:ascii="Calibri" w:eastAsia="Malgun Gothic" w:hAnsi="Calibri" w:cs="Calibri"/>
          <w:iCs/>
          <w:lang w:eastAsia="ko-KR"/>
        </w:rPr>
        <w:t>Breiman</w:t>
      </w:r>
      <w:proofErr w:type="spellEnd"/>
      <w:r w:rsidR="00EA136D">
        <w:rPr>
          <w:rFonts w:ascii="Calibri" w:eastAsia="Malgun Gothic" w:hAnsi="Calibri" w:cs="Calibri"/>
          <w:iCs/>
          <w:lang w:eastAsia="ko-KR"/>
        </w:rPr>
        <w:t>, 2001)</w:t>
      </w:r>
      <w:r w:rsidR="00A76C73">
        <w:rPr>
          <w:rFonts w:ascii="Calibri" w:eastAsia="Malgun Gothic" w:hAnsi="Calibri" w:cs="Calibri"/>
          <w:iCs/>
          <w:lang w:eastAsia="ko-KR"/>
        </w:rPr>
        <w:t xml:space="preserve"> to handle time-to-event survival data.</w:t>
      </w:r>
      <w:r w:rsidR="008534CE">
        <w:rPr>
          <w:rFonts w:ascii="Calibri" w:eastAsia="Malgun Gothic" w:hAnsi="Calibri" w:cs="Calibri"/>
          <w:iCs/>
          <w:lang w:eastAsia="ko-KR"/>
        </w:rPr>
        <w:t xml:space="preserve"> </w:t>
      </w:r>
      <w:r w:rsidR="00516D80">
        <w:rPr>
          <w:rFonts w:ascii="Calibri" w:eastAsia="Malgun Gothic" w:hAnsi="Calibri" w:cs="Calibri"/>
          <w:iCs/>
          <w:lang w:eastAsia="ko-KR"/>
        </w:rPr>
        <w:t>RSF builds upon boo</w:t>
      </w:r>
      <w:r w:rsidR="00E30B82">
        <w:rPr>
          <w:rFonts w:ascii="Calibri" w:eastAsia="Malgun Gothic" w:hAnsi="Calibri" w:cs="Calibri"/>
          <w:iCs/>
          <w:lang w:eastAsia="ko-KR"/>
        </w:rPr>
        <w:t>t</w:t>
      </w:r>
      <w:r w:rsidR="00516D80">
        <w:rPr>
          <w:rFonts w:ascii="Calibri" w:eastAsia="Malgun Gothic" w:hAnsi="Calibri" w:cs="Calibri"/>
          <w:iCs/>
          <w:lang w:eastAsia="ko-KR"/>
        </w:rPr>
        <w:t xml:space="preserve">strap aggregation (bagging) and recursive partitioning to build </w:t>
      </w:r>
      <w:r w:rsidR="008A518D">
        <w:rPr>
          <w:rFonts w:ascii="Calibri" w:eastAsia="Malgun Gothic" w:hAnsi="Calibri" w:cs="Calibri"/>
          <w:iCs/>
          <w:lang w:eastAsia="ko-KR"/>
        </w:rPr>
        <w:t>a collection of survival trees</w:t>
      </w:r>
      <w:r w:rsidR="00847F75">
        <w:rPr>
          <w:rFonts w:ascii="Calibri" w:eastAsia="Malgun Gothic" w:hAnsi="Calibri" w:cs="Calibri"/>
          <w:iCs/>
          <w:lang w:eastAsia="ko-KR"/>
        </w:rPr>
        <w:t xml:space="preserve"> using a random subset of predictors</w:t>
      </w:r>
      <w:r w:rsidR="008A518D">
        <w:rPr>
          <w:rFonts w:ascii="Calibri" w:eastAsia="Malgun Gothic" w:hAnsi="Calibri" w:cs="Calibri"/>
          <w:iCs/>
          <w:lang w:eastAsia="ko-KR"/>
        </w:rPr>
        <w:t>.</w:t>
      </w:r>
      <w:r w:rsidR="001831FD">
        <w:rPr>
          <w:rFonts w:ascii="Calibri" w:eastAsia="Malgun Gothic" w:hAnsi="Calibri" w:cs="Calibri"/>
          <w:iCs/>
          <w:lang w:eastAsia="ko-KR"/>
        </w:rPr>
        <w:t xml:space="preserve"> </w:t>
      </w:r>
      <w:r w:rsidR="00F443E0">
        <w:rPr>
          <w:rFonts w:ascii="Calibri" w:eastAsia="Malgun Gothic" w:hAnsi="Calibri" w:cs="Calibri"/>
          <w:iCs/>
          <w:lang w:eastAsia="ko-KR"/>
        </w:rPr>
        <w:t>Unlike traditional Cox PH models, RSF</w:t>
      </w:r>
      <w:r w:rsidR="00D346D4">
        <w:rPr>
          <w:rFonts w:ascii="Calibri" w:eastAsia="Malgun Gothic" w:hAnsi="Calibri" w:cs="Calibri"/>
          <w:iCs/>
          <w:lang w:eastAsia="ko-KR"/>
        </w:rPr>
        <w:t xml:space="preserve"> can handle more complicated patterns, like curvy relationships and how different factors</w:t>
      </w:r>
      <w:r w:rsidR="006E1566">
        <w:rPr>
          <w:rFonts w:ascii="Calibri" w:eastAsia="Malgun Gothic" w:hAnsi="Calibri" w:cs="Calibri"/>
          <w:iCs/>
          <w:lang w:eastAsia="ko-KR"/>
        </w:rPr>
        <w:t xml:space="preserve"> interact, without needing strict rules like the proportional </w:t>
      </w:r>
      <w:proofErr w:type="gramStart"/>
      <w:r w:rsidR="006E1566">
        <w:rPr>
          <w:rFonts w:ascii="Calibri" w:eastAsia="Malgun Gothic" w:hAnsi="Calibri" w:cs="Calibri"/>
          <w:iCs/>
          <w:lang w:eastAsia="ko-KR"/>
        </w:rPr>
        <w:t>hazards</w:t>
      </w:r>
      <w:proofErr w:type="gramEnd"/>
      <w:r w:rsidR="006E1566">
        <w:rPr>
          <w:rFonts w:ascii="Calibri" w:eastAsia="Malgun Gothic" w:hAnsi="Calibri" w:cs="Calibri"/>
          <w:iCs/>
          <w:lang w:eastAsia="ko-KR"/>
        </w:rPr>
        <w:t xml:space="preserve"> assumption.</w:t>
      </w:r>
    </w:p>
    <w:p w14:paraId="3D9AB53F" w14:textId="0D569FFA" w:rsidR="00EB5E22" w:rsidRDefault="00E33731" w:rsidP="00ED7521">
      <w:pPr>
        <w:ind w:firstLine="720"/>
        <w:rPr>
          <w:rFonts w:ascii="Calibri" w:eastAsia="Malgun Gothic" w:hAnsi="Calibri" w:cs="Calibri"/>
          <w:iCs/>
          <w:lang w:eastAsia="ko-KR"/>
        </w:rPr>
      </w:pPr>
      <w:r w:rsidRPr="008E1E2D">
        <w:rPr>
          <w:rFonts w:ascii="Calibri" w:eastAsia="Malgun Gothic" w:hAnsi="Calibri" w:cs="Calibri"/>
          <w:iCs/>
          <w:lang w:eastAsia="ko-KR"/>
        </w:rPr>
        <w:t xml:space="preserve">For a dataset with </w:t>
      </w:r>
      <m:oMath>
        <m:r>
          <w:rPr>
            <w:rFonts w:ascii="Cambria Math" w:eastAsia="Malgun Gothic" w:hAnsi="Cambria Math" w:cs="Calibri"/>
            <w:lang w:eastAsia="ko-KR"/>
          </w:rPr>
          <m:t>n</m:t>
        </m:r>
      </m:oMath>
      <w:r w:rsidRPr="008E1E2D">
        <w:rPr>
          <w:rFonts w:ascii="Calibri" w:eastAsia="Malgun Gothic" w:hAnsi="Calibri" w:cs="Calibri"/>
          <w:iCs/>
          <w:lang w:eastAsia="ko-KR"/>
        </w:rPr>
        <w:t xml:space="preserve"> observations, a bootstrap sample is generated by randomly selecting </w:t>
      </w:r>
      <m:oMath>
        <m:r>
          <w:rPr>
            <w:rFonts w:ascii="Cambria Math" w:eastAsia="Malgun Gothic" w:hAnsi="Cambria Math" w:cs="Calibri"/>
            <w:lang w:eastAsia="ko-KR"/>
          </w:rPr>
          <m:t>n</m:t>
        </m:r>
      </m:oMath>
      <w:r w:rsidRPr="008E1E2D">
        <w:rPr>
          <w:rFonts w:ascii="Calibri" w:eastAsia="Malgun Gothic" w:hAnsi="Calibri" w:cs="Calibri"/>
          <w:iCs/>
          <w:lang w:eastAsia="ko-KR"/>
        </w:rPr>
        <w:t xml:space="preserve"> observations with replacement. Let </w:t>
      </w:r>
      <m:oMath>
        <m:r>
          <w:rPr>
            <w:rFonts w:ascii="Cambria Math" w:eastAsia="Malgun Gothic" w:hAnsi="Cambria Math" w:cs="Calibri"/>
            <w:lang w:eastAsia="ko-KR"/>
          </w:rPr>
          <m:t>D=</m:t>
        </m:r>
        <m:d>
          <m:dPr>
            <m:begChr m:val="{"/>
            <m:endChr m:val="}"/>
            <m:ctrlPr>
              <w:rPr>
                <w:rFonts w:ascii="Cambria Math" w:eastAsia="Malgun Gothic" w:hAnsi="Cambria Math" w:cs="Calibri"/>
                <w:i/>
                <w:iCs/>
                <w:lang w:eastAsia="ko-KR"/>
              </w:rPr>
            </m:ctrlPr>
          </m:dPr>
          <m:e>
            <m:d>
              <m:dPr>
                <m:ctrlPr>
                  <w:rPr>
                    <w:rFonts w:ascii="Cambria Math" w:eastAsia="Malgun Gothic" w:hAnsi="Cambria Math" w:cs="Calibri"/>
                    <w:i/>
                    <w:iCs/>
                    <w:lang w:eastAsia="ko-KR"/>
                  </w:rPr>
                </m:ctrlPr>
              </m:dPr>
              <m:e>
                <m:sSub>
                  <m:sSubPr>
                    <m:ctrlPr>
                      <w:rPr>
                        <w:rFonts w:ascii="Cambria Math" w:eastAsia="Malgun Gothic" w:hAnsi="Cambria Math" w:cs="Calibri"/>
                        <w:i/>
                        <w:iCs/>
                        <w:lang w:eastAsia="ko-KR"/>
                      </w:rPr>
                    </m:ctrlPr>
                  </m:sSubPr>
                  <m:e>
                    <m:r>
                      <w:rPr>
                        <w:rFonts w:ascii="Cambria Math" w:eastAsia="Malgun Gothic" w:hAnsi="Cambria Math" w:cs="Calibri"/>
                        <w:lang w:eastAsia="ko-KR"/>
                      </w:rPr>
                      <m:t>x</m:t>
                    </m:r>
                  </m:e>
                  <m:sub>
                    <m:r>
                      <w:rPr>
                        <w:rFonts w:ascii="Cambria Math" w:eastAsia="Malgun Gothic" w:hAnsi="Cambria Math" w:cs="Calibri"/>
                        <w:lang w:eastAsia="ko-KR"/>
                      </w:rPr>
                      <m:t>1</m:t>
                    </m:r>
                  </m:sub>
                </m:sSub>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w:rPr>
                        <w:rFonts w:ascii="Cambria Math" w:eastAsia="Malgun Gothic" w:hAnsi="Cambria Math" w:cs="Calibri"/>
                        <w:lang w:eastAsia="ko-KR"/>
                      </w:rPr>
                      <m:t>t</m:t>
                    </m:r>
                  </m:e>
                  <m:sub>
                    <m:r>
                      <w:rPr>
                        <w:rFonts w:ascii="Cambria Math" w:eastAsia="Malgun Gothic" w:hAnsi="Cambria Math" w:cs="Calibri"/>
                        <w:lang w:eastAsia="ko-KR"/>
                      </w:rPr>
                      <m:t>1</m:t>
                    </m:r>
                  </m:sub>
                </m:sSub>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w:rPr>
                        <w:rFonts w:ascii="Cambria Math" w:eastAsia="Malgun Gothic" w:hAnsi="Cambria Math" w:cs="Calibri"/>
                        <w:lang w:eastAsia="ko-KR"/>
                      </w:rPr>
                      <m:t>δ</m:t>
                    </m:r>
                  </m:e>
                  <m:sub>
                    <m:r>
                      <w:rPr>
                        <w:rFonts w:ascii="Cambria Math" w:eastAsia="Malgun Gothic" w:hAnsi="Cambria Math" w:cs="Calibri"/>
                        <w:lang w:eastAsia="ko-KR"/>
                      </w:rPr>
                      <m:t>1</m:t>
                    </m:r>
                  </m:sub>
                </m:sSub>
              </m:e>
            </m:d>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w:rPr>
                    <w:rFonts w:ascii="Cambria Math" w:eastAsia="Malgun Gothic" w:hAnsi="Cambria Math" w:cs="Calibri"/>
                    <w:lang w:eastAsia="ko-KR"/>
                  </w:rPr>
                  <m:t>x</m:t>
                </m:r>
              </m:e>
              <m:sub>
                <m:r>
                  <w:rPr>
                    <w:rFonts w:ascii="Cambria Math" w:eastAsia="Malgun Gothic" w:hAnsi="Cambria Math" w:cs="Calibri"/>
                    <w:lang w:eastAsia="ko-KR"/>
                  </w:rPr>
                  <m:t>n</m:t>
                </m:r>
              </m:sub>
            </m:sSub>
            <m:r>
              <w:rPr>
                <w:rFonts w:ascii="Cambria Math" w:eastAsia="Malgun Gothic" w:hAnsi="Cambria Math" w:cs="Calibri"/>
                <w:lang w:eastAsia="ko-KR"/>
              </w:rPr>
              <m:t xml:space="preserve">, </m:t>
            </m:r>
            <m:sSub>
              <m:sSubPr>
                <m:ctrlPr>
                  <w:rPr>
                    <w:rFonts w:ascii="Cambria Math" w:eastAsia="Malgun Gothic" w:hAnsi="Cambria Math" w:cs="Calibri"/>
                    <w:i/>
                    <w:iCs/>
                    <w:lang w:eastAsia="ko-KR"/>
                  </w:rPr>
                </m:ctrlPr>
              </m:sSubPr>
              <m:e>
                <m:r>
                  <w:rPr>
                    <w:rFonts w:ascii="Cambria Math" w:eastAsia="Malgun Gothic" w:hAnsi="Cambria Math" w:cs="Calibri"/>
                    <w:lang w:eastAsia="ko-KR"/>
                  </w:rPr>
                  <m:t>t</m:t>
                </m:r>
              </m:e>
              <m:sub>
                <m:r>
                  <w:rPr>
                    <w:rFonts w:ascii="Cambria Math" w:eastAsia="Malgun Gothic" w:hAnsi="Cambria Math" w:cs="Calibri"/>
                    <w:lang w:eastAsia="ko-KR"/>
                  </w:rPr>
                  <m:t>n</m:t>
                </m:r>
              </m:sub>
            </m:sSub>
            <m:r>
              <w:rPr>
                <w:rFonts w:ascii="Cambria Math" w:eastAsia="Malgun Gothic" w:hAnsi="Cambria Math" w:cs="Calibri"/>
                <w:lang w:eastAsia="ko-KR"/>
              </w:rPr>
              <m:t xml:space="preserve">, </m:t>
            </m:r>
            <m:sSub>
              <m:sSubPr>
                <m:ctrlPr>
                  <w:rPr>
                    <w:rFonts w:ascii="Cambria Math" w:eastAsia="Malgun Gothic" w:hAnsi="Cambria Math" w:cs="Calibri"/>
                    <w:i/>
                    <w:iCs/>
                    <w:lang w:eastAsia="ko-KR"/>
                  </w:rPr>
                </m:ctrlPr>
              </m:sSubPr>
              <m:e>
                <m:r>
                  <w:rPr>
                    <w:rFonts w:ascii="Cambria Math" w:eastAsia="Malgun Gothic" w:hAnsi="Cambria Math" w:cs="Calibri"/>
                    <w:lang w:eastAsia="ko-KR"/>
                  </w:rPr>
                  <m:t>δ</m:t>
                </m:r>
              </m:e>
              <m:sub>
                <m:r>
                  <w:rPr>
                    <w:rFonts w:ascii="Cambria Math" w:eastAsia="Malgun Gothic" w:hAnsi="Cambria Math" w:cs="Calibri"/>
                    <w:lang w:eastAsia="ko-KR"/>
                  </w:rPr>
                  <m:t>n</m:t>
                </m:r>
              </m:sub>
            </m:sSub>
            <m:r>
              <w:rPr>
                <w:rFonts w:ascii="Cambria Math" w:eastAsia="Malgun Gothic" w:hAnsi="Cambria Math" w:cs="Calibri"/>
                <w:lang w:eastAsia="ko-KR"/>
              </w:rPr>
              <m:t>)</m:t>
            </m:r>
          </m:e>
        </m:d>
      </m:oMath>
      <w:r w:rsidRPr="008E1E2D">
        <w:rPr>
          <w:rFonts w:ascii="Calibri" w:eastAsia="Malgun Gothic" w:hAnsi="Calibri" w:cs="Calibri"/>
          <w:iCs/>
          <w:lang w:eastAsia="ko-KR"/>
        </w:rPr>
        <w:t xml:space="preserve"> be the original dataset, where </w:t>
      </w:r>
      <m:oMath>
        <m:sSub>
          <m:sSubPr>
            <m:ctrlPr>
              <w:rPr>
                <w:rFonts w:ascii="Cambria Math" w:eastAsia="Malgun Gothic" w:hAnsi="Cambria Math" w:cs="Calibri"/>
                <w:i/>
                <w:iCs/>
                <w:lang w:eastAsia="ko-KR"/>
              </w:rPr>
            </m:ctrlPr>
          </m:sSubPr>
          <m:e>
            <m:r>
              <w:rPr>
                <w:rFonts w:ascii="Cambria Math" w:eastAsia="Malgun Gothic" w:hAnsi="Cambria Math" w:cs="Calibri"/>
                <w:lang w:eastAsia="ko-KR"/>
              </w:rPr>
              <m:t>x</m:t>
            </m:r>
          </m:e>
          <m:sub>
            <m:r>
              <w:rPr>
                <w:rFonts w:ascii="Cambria Math" w:eastAsia="Malgun Gothic" w:hAnsi="Cambria Math" w:cs="Calibri"/>
                <w:lang w:eastAsia="ko-KR"/>
              </w:rPr>
              <m:t>i</m:t>
            </m:r>
          </m:sub>
        </m:sSub>
      </m:oMath>
      <w:r w:rsidRPr="008E1E2D">
        <w:rPr>
          <w:rFonts w:ascii="Calibri" w:eastAsia="Malgun Gothic" w:hAnsi="Calibri" w:cs="Calibri"/>
          <w:iCs/>
          <w:lang w:eastAsia="ko-KR"/>
        </w:rPr>
        <w:t xml:space="preserve"> is the covariate for individual </w:t>
      </w:r>
      <m:oMath>
        <m:r>
          <w:rPr>
            <w:rFonts w:ascii="Cambria Math" w:eastAsia="Malgun Gothic" w:hAnsi="Cambria Math" w:cs="Calibri"/>
            <w:lang w:eastAsia="ko-KR"/>
          </w:rPr>
          <m:t>i</m:t>
        </m:r>
      </m:oMath>
      <w:r w:rsidRPr="008E1E2D">
        <w:rPr>
          <w:rFonts w:ascii="Calibri" w:eastAsia="Malgun Gothic" w:hAnsi="Calibri" w:cs="Calibri"/>
          <w:iCs/>
          <w:lang w:eastAsia="ko-KR"/>
        </w:rPr>
        <w:t xml:space="preserve">, </w:t>
      </w:r>
      <m:oMath>
        <m:sSub>
          <m:sSubPr>
            <m:ctrlPr>
              <w:rPr>
                <w:rFonts w:ascii="Cambria Math" w:eastAsia="Malgun Gothic" w:hAnsi="Cambria Math" w:cs="Calibri"/>
                <w:i/>
                <w:iCs/>
                <w:lang w:eastAsia="ko-KR"/>
              </w:rPr>
            </m:ctrlPr>
          </m:sSubPr>
          <m:e>
            <m:r>
              <w:rPr>
                <w:rFonts w:ascii="Cambria Math" w:eastAsia="Malgun Gothic" w:hAnsi="Cambria Math" w:cs="Calibri"/>
                <w:lang w:eastAsia="ko-KR"/>
              </w:rPr>
              <m:t>t</m:t>
            </m:r>
          </m:e>
          <m:sub>
            <m:r>
              <w:rPr>
                <w:rFonts w:ascii="Cambria Math" w:eastAsia="Malgun Gothic" w:hAnsi="Cambria Math" w:cs="Calibri"/>
                <w:lang w:eastAsia="ko-KR"/>
              </w:rPr>
              <m:t>i</m:t>
            </m:r>
          </m:sub>
        </m:sSub>
      </m:oMath>
      <w:r w:rsidRPr="008E1E2D">
        <w:rPr>
          <w:rFonts w:ascii="Calibri" w:eastAsia="Malgun Gothic" w:hAnsi="Calibri" w:cs="Calibri"/>
          <w:iCs/>
          <w:lang w:eastAsia="ko-KR"/>
        </w:rPr>
        <w:t xml:space="preserve"> and </w:t>
      </w:r>
      <m:oMath>
        <m:sSub>
          <m:sSubPr>
            <m:ctrlPr>
              <w:rPr>
                <w:rFonts w:ascii="Cambria Math" w:eastAsia="Malgun Gothic" w:hAnsi="Cambria Math" w:cs="Calibri"/>
                <w:i/>
                <w:iCs/>
                <w:lang w:eastAsia="ko-KR"/>
              </w:rPr>
            </m:ctrlPr>
          </m:sSubPr>
          <m:e>
            <m:r>
              <w:rPr>
                <w:rFonts w:ascii="Cambria Math" w:eastAsia="Malgun Gothic" w:hAnsi="Cambria Math" w:cs="Calibri"/>
                <w:lang w:eastAsia="ko-KR"/>
              </w:rPr>
              <m:t>δ</m:t>
            </m:r>
          </m:e>
          <m:sub>
            <m:r>
              <w:rPr>
                <w:rFonts w:ascii="Cambria Math" w:eastAsia="Malgun Gothic" w:hAnsi="Cambria Math" w:cs="Calibri"/>
                <w:lang w:eastAsia="ko-KR"/>
              </w:rPr>
              <m:t>i</m:t>
            </m:r>
          </m:sub>
        </m:sSub>
      </m:oMath>
      <w:r w:rsidRPr="008E1E2D">
        <w:rPr>
          <w:rFonts w:ascii="Calibri" w:eastAsia="Malgun Gothic" w:hAnsi="Calibri" w:cs="Calibri"/>
          <w:iCs/>
          <w:lang w:eastAsia="ko-KR"/>
        </w:rPr>
        <w:t xml:space="preserve"> are the observed time and censoring indicators for individual </w:t>
      </w:r>
      <m:oMath>
        <m:r>
          <w:rPr>
            <w:rFonts w:ascii="Cambria Math" w:eastAsia="Malgun Gothic" w:hAnsi="Cambria Math" w:cs="Calibri"/>
            <w:lang w:eastAsia="ko-KR"/>
          </w:rPr>
          <m:t>i</m:t>
        </m:r>
      </m:oMath>
      <w:r w:rsidRPr="008E1E2D">
        <w:rPr>
          <w:rFonts w:ascii="Calibri" w:eastAsia="Malgun Gothic" w:hAnsi="Calibri" w:cs="Calibri"/>
          <w:iCs/>
          <w:lang w:eastAsia="ko-KR"/>
        </w:rPr>
        <w:t xml:space="preserve">, respectively. For each tree </w:t>
      </w:r>
      <m:oMath>
        <m:r>
          <w:rPr>
            <w:rFonts w:ascii="Cambria Math" w:eastAsia="Malgun Gothic" w:hAnsi="Cambria Math" w:cs="Calibri"/>
            <w:lang w:eastAsia="ko-KR"/>
          </w:rPr>
          <m:t>m</m:t>
        </m:r>
      </m:oMath>
      <w:r w:rsidRPr="008E1E2D">
        <w:rPr>
          <w:rFonts w:ascii="Calibri" w:eastAsia="Malgun Gothic" w:hAnsi="Calibri" w:cs="Calibri"/>
          <w:iCs/>
          <w:lang w:eastAsia="ko-KR"/>
        </w:rPr>
        <w:t xml:space="preserve">, a bootstrap sample </w:t>
      </w:r>
      <m:oMath>
        <m:sSup>
          <m:sSupPr>
            <m:ctrlPr>
              <w:rPr>
                <w:rFonts w:ascii="Cambria Math" w:eastAsia="Malgun Gothic" w:hAnsi="Cambria Math" w:cs="Calibri"/>
                <w:i/>
                <w:iCs/>
                <w:lang w:eastAsia="ko-KR"/>
              </w:rPr>
            </m:ctrlPr>
          </m:sSupPr>
          <m:e>
            <m:r>
              <w:rPr>
                <w:rFonts w:ascii="Cambria Math" w:eastAsia="Malgun Gothic" w:hAnsi="Cambria Math" w:cs="Calibri"/>
                <w:lang w:eastAsia="ko-KR"/>
              </w:rPr>
              <m:t>D</m:t>
            </m:r>
          </m:e>
          <m:sup>
            <m:d>
              <m:dPr>
                <m:ctrlPr>
                  <w:rPr>
                    <w:rFonts w:ascii="Cambria Math" w:eastAsia="Malgun Gothic" w:hAnsi="Cambria Math" w:cs="Calibri"/>
                    <w:i/>
                    <w:iCs/>
                    <w:lang w:eastAsia="ko-KR"/>
                  </w:rPr>
                </m:ctrlPr>
              </m:dPr>
              <m:e>
                <m:r>
                  <w:rPr>
                    <w:rFonts w:ascii="Cambria Math" w:eastAsia="Malgun Gothic" w:hAnsi="Cambria Math" w:cs="Calibri"/>
                    <w:lang w:eastAsia="ko-KR"/>
                  </w:rPr>
                  <m:t>m</m:t>
                </m:r>
              </m:e>
            </m:d>
          </m:sup>
        </m:sSup>
      </m:oMath>
      <w:r w:rsidRPr="008E1E2D">
        <w:rPr>
          <w:rFonts w:ascii="Calibri" w:eastAsia="Malgun Gothic" w:hAnsi="Calibri" w:cs="Calibri"/>
          <w:iCs/>
          <w:lang w:eastAsia="ko-KR"/>
        </w:rPr>
        <w:t xml:space="preserve"> is drawn</w:t>
      </w:r>
      <w:r w:rsidR="00BA64F6">
        <w:rPr>
          <w:rFonts w:ascii="Calibri" w:eastAsia="Malgun Gothic" w:hAnsi="Calibri" w:cs="Calibri"/>
          <w:iCs/>
          <w:lang w:eastAsia="ko-KR"/>
        </w:rPr>
        <w:t xml:space="preserve"> from the training dataset with replacement</w:t>
      </w:r>
      <w:r w:rsidRPr="008E1E2D">
        <w:rPr>
          <w:rFonts w:ascii="Calibri" w:eastAsia="Malgun Gothic" w:hAnsi="Calibri" w:cs="Calibri"/>
          <w:iCs/>
          <w:lang w:eastAsia="ko-KR"/>
        </w:rPr>
        <w:t xml:space="preserve">, where </w:t>
      </w:r>
      <m:oMath>
        <m:d>
          <m:dPr>
            <m:begChr m:val="|"/>
            <m:endChr m:val="|"/>
            <m:ctrlPr>
              <w:rPr>
                <w:rFonts w:ascii="Cambria Math" w:eastAsia="Malgun Gothic" w:hAnsi="Cambria Math" w:cs="Calibri"/>
                <w:i/>
                <w:iCs/>
                <w:lang w:eastAsia="ko-KR"/>
              </w:rPr>
            </m:ctrlPr>
          </m:dPr>
          <m:e>
            <m:sSup>
              <m:sSupPr>
                <m:ctrlPr>
                  <w:rPr>
                    <w:rFonts w:ascii="Cambria Math" w:eastAsia="Malgun Gothic" w:hAnsi="Cambria Math" w:cs="Calibri"/>
                    <w:i/>
                    <w:iCs/>
                    <w:lang w:eastAsia="ko-KR"/>
                  </w:rPr>
                </m:ctrlPr>
              </m:sSupPr>
              <m:e>
                <m:r>
                  <w:rPr>
                    <w:rFonts w:ascii="Cambria Math" w:eastAsia="Malgun Gothic" w:hAnsi="Cambria Math" w:cs="Calibri"/>
                    <w:lang w:eastAsia="ko-KR"/>
                  </w:rPr>
                  <m:t>D</m:t>
                </m:r>
              </m:e>
              <m:sup>
                <m:d>
                  <m:dPr>
                    <m:ctrlPr>
                      <w:rPr>
                        <w:rFonts w:ascii="Cambria Math" w:eastAsia="Malgun Gothic" w:hAnsi="Cambria Math" w:cs="Calibri"/>
                        <w:i/>
                        <w:iCs/>
                        <w:lang w:eastAsia="ko-KR"/>
                      </w:rPr>
                    </m:ctrlPr>
                  </m:dPr>
                  <m:e>
                    <m:r>
                      <w:rPr>
                        <w:rFonts w:ascii="Cambria Math" w:eastAsia="Malgun Gothic" w:hAnsi="Cambria Math" w:cs="Calibri"/>
                        <w:lang w:eastAsia="ko-KR"/>
                      </w:rPr>
                      <m:t>m</m:t>
                    </m:r>
                  </m:e>
                </m:d>
              </m:sup>
            </m:sSup>
          </m:e>
        </m:d>
        <m:r>
          <w:rPr>
            <w:rFonts w:ascii="Cambria Math" w:eastAsia="Malgun Gothic" w:hAnsi="Cambria Math" w:cs="Calibri"/>
            <w:lang w:eastAsia="ko-KR"/>
          </w:rPr>
          <m:t>=n.</m:t>
        </m:r>
      </m:oMath>
      <w:r w:rsidRPr="008E1E2D">
        <w:rPr>
          <w:rFonts w:ascii="Calibri" w:eastAsia="Malgun Gothic" w:hAnsi="Calibri" w:cs="Calibri"/>
          <w:iCs/>
          <w:lang w:eastAsia="ko-KR"/>
        </w:rPr>
        <w:t xml:space="preserve"> Here, observations not included in the bootstrap sample are referred to as out-of-bag (OOB) samples. OOB samples are not used in the training of a particular tree.</w:t>
      </w:r>
      <w:r w:rsidR="00DA64D3">
        <w:rPr>
          <w:rFonts w:ascii="Calibri" w:eastAsia="Malgun Gothic" w:hAnsi="Calibri" w:cs="Calibri"/>
          <w:iCs/>
          <w:lang w:eastAsia="ko-KR"/>
        </w:rPr>
        <w:t xml:space="preserve"> </w:t>
      </w:r>
      <w:r w:rsidR="00085EBA">
        <w:rPr>
          <w:rFonts w:ascii="Calibri" w:eastAsia="Malgun Gothic" w:hAnsi="Calibri" w:cs="Calibri"/>
          <w:iCs/>
          <w:lang w:eastAsia="ko-KR"/>
        </w:rPr>
        <w:t xml:space="preserve">Each tree is grown using recursive partitioning on </w:t>
      </w:r>
      <m:oMath>
        <m:sSup>
          <m:sSupPr>
            <m:ctrlPr>
              <w:rPr>
                <w:rFonts w:ascii="Cambria Math" w:eastAsia="Malgun Gothic" w:hAnsi="Cambria Math" w:cs="Calibri"/>
                <w:i/>
                <w:iCs/>
                <w:lang w:eastAsia="ko-KR"/>
              </w:rPr>
            </m:ctrlPr>
          </m:sSupPr>
          <m:e>
            <m:r>
              <w:rPr>
                <w:rFonts w:ascii="Cambria Math" w:eastAsia="Malgun Gothic" w:hAnsi="Cambria Math" w:cs="Calibri"/>
                <w:lang w:eastAsia="ko-KR"/>
              </w:rPr>
              <m:t>D</m:t>
            </m:r>
          </m:e>
          <m:sup>
            <m:d>
              <m:dPr>
                <m:ctrlPr>
                  <w:rPr>
                    <w:rFonts w:ascii="Cambria Math" w:eastAsia="Malgun Gothic" w:hAnsi="Cambria Math" w:cs="Calibri"/>
                    <w:i/>
                    <w:iCs/>
                    <w:lang w:eastAsia="ko-KR"/>
                  </w:rPr>
                </m:ctrlPr>
              </m:dPr>
              <m:e>
                <m:r>
                  <w:rPr>
                    <w:rFonts w:ascii="Cambria Math" w:eastAsia="Malgun Gothic" w:hAnsi="Cambria Math" w:cs="Calibri"/>
                    <w:lang w:eastAsia="ko-KR"/>
                  </w:rPr>
                  <m:t>m</m:t>
                </m:r>
              </m:e>
            </m:d>
          </m:sup>
        </m:sSup>
      </m:oMath>
      <w:r w:rsidR="00085EBA">
        <w:rPr>
          <w:rFonts w:ascii="Calibri" w:eastAsia="Malgun Gothic" w:hAnsi="Calibri" w:cs="Calibri"/>
          <w:iCs/>
          <w:lang w:eastAsia="ko-KR"/>
        </w:rPr>
        <w:t>. At each node</w:t>
      </w:r>
      <w:r w:rsidR="008C6700">
        <w:rPr>
          <w:rFonts w:ascii="Calibri" w:eastAsia="Malgun Gothic" w:hAnsi="Calibri" w:cs="Calibri"/>
          <w:iCs/>
          <w:lang w:eastAsia="ko-KR"/>
        </w:rPr>
        <w:t xml:space="preserve">, a random subset of predictors is selected, and possible candidate splits are evaluated </w:t>
      </w:r>
      <w:r w:rsidR="00BD7315">
        <w:rPr>
          <w:rFonts w:ascii="Calibri" w:eastAsia="Malgun Gothic" w:hAnsi="Calibri" w:cs="Calibri"/>
          <w:iCs/>
          <w:lang w:eastAsia="ko-KR"/>
        </w:rPr>
        <w:t>to maximize survival differences between child nodes. The log-rank statistic (</w:t>
      </w:r>
      <w:r w:rsidR="00BD7315" w:rsidRPr="00CA228A">
        <w:rPr>
          <w:rFonts w:ascii="Calibri" w:eastAsia="Malgun Gothic" w:hAnsi="Calibri" w:cs="Calibri"/>
          <w:iCs/>
          <w:lang w:eastAsia="ko-KR"/>
        </w:rPr>
        <w:t>Mantel, 1966</w:t>
      </w:r>
      <w:r w:rsidR="00BD7315">
        <w:rPr>
          <w:rFonts w:ascii="Calibri" w:eastAsia="Malgun Gothic" w:hAnsi="Calibri" w:cs="Calibri"/>
          <w:iCs/>
          <w:lang w:eastAsia="ko-KR"/>
        </w:rPr>
        <w:t>)</w:t>
      </w:r>
      <w:r w:rsidR="004C6A31">
        <w:rPr>
          <w:rFonts w:ascii="Calibri" w:eastAsia="Malgun Gothic" w:hAnsi="Calibri" w:cs="Calibri"/>
          <w:iCs/>
          <w:lang w:eastAsia="ko-KR"/>
        </w:rPr>
        <w:t xml:space="preserve"> is used as a splitting criterion</w:t>
      </w:r>
      <w:r w:rsidR="00B373D7">
        <w:rPr>
          <w:rFonts w:ascii="Calibri" w:eastAsia="Malgun Gothic" w:hAnsi="Calibri" w:cs="Calibri"/>
          <w:iCs/>
          <w:lang w:eastAsia="ko-KR"/>
        </w:rPr>
        <w:t xml:space="preserve"> such that nodes are partitioned to best separate survival outcomes.</w:t>
      </w:r>
      <w:r w:rsidR="0060178F">
        <w:rPr>
          <w:rFonts w:ascii="Calibri" w:eastAsia="Malgun Gothic" w:hAnsi="Calibri" w:cs="Calibri"/>
          <w:iCs/>
          <w:lang w:eastAsia="ko-KR"/>
        </w:rPr>
        <w:t xml:space="preserve"> The tree construction stops when a predefined minimum terminal node size is reached or </w:t>
      </w:r>
      <w:r w:rsidR="00EE7B36">
        <w:rPr>
          <w:rFonts w:ascii="Calibri" w:eastAsia="Malgun Gothic" w:hAnsi="Calibri" w:cs="Calibri"/>
          <w:iCs/>
          <w:lang w:eastAsia="ko-KR"/>
        </w:rPr>
        <w:t>when no further improvement in survival separation can be achieved.</w:t>
      </w:r>
    </w:p>
    <w:p w14:paraId="2E78931E" w14:textId="7CAF6D85" w:rsidR="00EF51F6" w:rsidRDefault="00DA64D3" w:rsidP="00CA0480">
      <w:pPr>
        <w:ind w:firstLine="720"/>
        <w:rPr>
          <w:rFonts w:ascii="Calibri" w:eastAsia="Malgun Gothic" w:hAnsi="Calibri" w:cs="Calibri"/>
          <w:iCs/>
          <w:lang w:eastAsia="ko-KR"/>
        </w:rPr>
      </w:pPr>
      <w:r>
        <w:rPr>
          <w:rFonts w:ascii="Calibri" w:eastAsia="Malgun Gothic" w:hAnsi="Calibri" w:cs="Calibri"/>
          <w:iCs/>
          <w:lang w:eastAsia="ko-KR"/>
        </w:rPr>
        <w:t xml:space="preserve">The goal is to </w:t>
      </w:r>
      <w:r w:rsidR="006C6516">
        <w:rPr>
          <w:rFonts w:ascii="Calibri" w:eastAsia="Malgun Gothic" w:hAnsi="Calibri" w:cs="Calibri"/>
          <w:iCs/>
          <w:lang w:eastAsia="ko-KR"/>
        </w:rPr>
        <w:t xml:space="preserve">model the relationship between the covariates </w:t>
      </w:r>
      <m:oMath>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m:t>
            </m:r>
          </m:sub>
        </m:sSub>
      </m:oMath>
      <w:r w:rsidR="008A04E4">
        <w:rPr>
          <w:rFonts w:ascii="Calibri" w:eastAsia="Malgun Gothic" w:hAnsi="Calibri" w:cs="Calibri"/>
          <w:iCs/>
          <w:lang w:eastAsia="ko-KR"/>
        </w:rPr>
        <w:t xml:space="preserve"> and survival outcomes by </w:t>
      </w:r>
      <w:r w:rsidR="007779BD">
        <w:rPr>
          <w:rFonts w:ascii="Calibri" w:eastAsia="Malgun Gothic" w:hAnsi="Calibri" w:cs="Calibri"/>
          <w:iCs/>
          <w:lang w:eastAsia="ko-KR"/>
        </w:rPr>
        <w:t xml:space="preserve">estimating survival probabilities or cumulative hazard functions (CHFs) for each </w:t>
      </w:r>
      <w:r w:rsidR="00ED7521">
        <w:rPr>
          <w:rFonts w:ascii="Calibri" w:eastAsia="Malgun Gothic" w:hAnsi="Calibri" w:cs="Calibri"/>
          <w:iCs/>
          <w:lang w:eastAsia="ko-KR"/>
        </w:rPr>
        <w:t>patient</w:t>
      </w:r>
      <w:r w:rsidR="007779BD">
        <w:rPr>
          <w:rFonts w:ascii="Calibri" w:eastAsia="Malgun Gothic" w:hAnsi="Calibri" w:cs="Calibri"/>
          <w:iCs/>
          <w:lang w:eastAsia="ko-KR"/>
        </w:rPr>
        <w:t>.</w:t>
      </w:r>
      <w:r w:rsidR="002A5A97">
        <w:rPr>
          <w:rFonts w:ascii="Calibri" w:eastAsia="Malgun Gothic" w:hAnsi="Calibri" w:cs="Calibri"/>
          <w:iCs/>
          <w:lang w:eastAsia="ko-KR"/>
        </w:rPr>
        <w:t xml:space="preserve"> It</w:t>
      </w:r>
      <w:r w:rsidR="00ED7521">
        <w:rPr>
          <w:rFonts w:ascii="Calibri" w:eastAsia="Malgun Gothic" w:hAnsi="Calibri" w:cs="Calibri"/>
          <w:iCs/>
          <w:lang w:eastAsia="ko-KR"/>
        </w:rPr>
        <w:t xml:space="preserve"> aims to reduce </w:t>
      </w:r>
      <w:r w:rsidR="00355514">
        <w:rPr>
          <w:rFonts w:ascii="Calibri" w:eastAsia="Malgun Gothic" w:hAnsi="Calibri" w:cs="Calibri"/>
          <w:iCs/>
          <w:lang w:eastAsia="ko-KR"/>
        </w:rPr>
        <w:t>variance</w:t>
      </w:r>
      <w:r w:rsidR="00D14CE3">
        <w:rPr>
          <w:rFonts w:ascii="Calibri" w:eastAsia="Malgun Gothic" w:hAnsi="Calibri" w:cs="Calibri"/>
          <w:iCs/>
          <w:lang w:eastAsia="ko-KR"/>
        </w:rPr>
        <w:t xml:space="preserve"> and </w:t>
      </w:r>
      <w:r w:rsidR="00355514">
        <w:rPr>
          <w:rFonts w:ascii="Calibri" w:eastAsia="Malgun Gothic" w:hAnsi="Calibri" w:cs="Calibri"/>
          <w:iCs/>
          <w:lang w:eastAsia="ko-KR"/>
        </w:rPr>
        <w:t>prevent</w:t>
      </w:r>
      <w:r w:rsidR="00A9157F">
        <w:rPr>
          <w:rFonts w:ascii="Calibri" w:eastAsia="Malgun Gothic" w:hAnsi="Calibri" w:cs="Calibri"/>
          <w:iCs/>
          <w:lang w:eastAsia="ko-KR"/>
        </w:rPr>
        <w:t xml:space="preserve"> overfitting. </w:t>
      </w:r>
      <w:r w:rsidR="00EF51F6">
        <w:rPr>
          <w:rFonts w:ascii="Calibri" w:eastAsia="Malgun Gothic" w:hAnsi="Calibri" w:cs="Calibri"/>
          <w:iCs/>
          <w:lang w:eastAsia="ko-KR"/>
        </w:rPr>
        <w:t>The result is a set of survival trees, each capturing different aspects of the data</w:t>
      </w:r>
      <w:r w:rsidR="00D52C55">
        <w:rPr>
          <w:rFonts w:ascii="Calibri" w:eastAsia="Malgun Gothic" w:hAnsi="Calibri" w:cs="Calibri"/>
          <w:iCs/>
          <w:lang w:eastAsia="ko-KR"/>
        </w:rPr>
        <w:t xml:space="preserve"> structure due to the randomness introduced by bagging.</w:t>
      </w:r>
    </w:p>
    <w:p w14:paraId="007C7CFD" w14:textId="3F3A253C" w:rsidR="00EE5FC9" w:rsidRDefault="00EE5FC9" w:rsidP="00757808">
      <w:pPr>
        <w:ind w:firstLine="720"/>
        <w:rPr>
          <w:rFonts w:ascii="Calibri" w:eastAsia="Malgun Gothic" w:hAnsi="Calibri" w:cs="Calibri"/>
          <w:iCs/>
          <w:lang w:eastAsia="ko-KR"/>
        </w:rPr>
      </w:pPr>
      <w:r>
        <w:rPr>
          <w:rFonts w:ascii="Calibri" w:eastAsia="Malgun Gothic" w:hAnsi="Calibri" w:cs="Calibri"/>
          <w:iCs/>
          <w:lang w:eastAsia="ko-KR"/>
        </w:rPr>
        <w:t xml:space="preserve">After </w:t>
      </w:r>
      <m:oMath>
        <m:r>
          <w:rPr>
            <w:rFonts w:ascii="Cambria Math" w:eastAsia="Malgun Gothic" w:hAnsi="Cambria Math" w:cs="Calibri"/>
            <w:lang w:eastAsia="ko-KR"/>
          </w:rPr>
          <m:t>M</m:t>
        </m:r>
      </m:oMath>
      <w:r>
        <w:rPr>
          <w:rFonts w:ascii="Calibri" w:eastAsia="Malgun Gothic" w:hAnsi="Calibri" w:cs="Calibri"/>
          <w:iCs/>
          <w:lang w:eastAsia="ko-KR"/>
        </w:rPr>
        <w:t xml:space="preserve"> trees are grown, their predictions are aggregated to produce </w:t>
      </w:r>
      <w:r w:rsidR="00911E75">
        <w:rPr>
          <w:rFonts w:ascii="Calibri" w:eastAsia="Malgun Gothic" w:hAnsi="Calibri" w:cs="Calibri"/>
          <w:iCs/>
          <w:lang w:eastAsia="ko-KR"/>
        </w:rPr>
        <w:t>a</w:t>
      </w:r>
      <w:r>
        <w:rPr>
          <w:rFonts w:ascii="Calibri" w:eastAsia="Malgun Gothic" w:hAnsi="Calibri" w:cs="Calibri"/>
          <w:iCs/>
          <w:lang w:eastAsia="ko-KR"/>
        </w:rPr>
        <w:t xml:space="preserve"> final RSF mode</w:t>
      </w:r>
      <w:r w:rsidR="00C51139">
        <w:rPr>
          <w:rFonts w:ascii="Calibri" w:eastAsia="Malgun Gothic" w:hAnsi="Calibri" w:cs="Calibri"/>
          <w:iCs/>
          <w:lang w:eastAsia="ko-KR"/>
        </w:rPr>
        <w:t>l</w:t>
      </w:r>
      <w:r w:rsidR="00570DA1">
        <w:rPr>
          <w:rFonts w:ascii="Calibri" w:eastAsia="Malgun Gothic" w:hAnsi="Calibri" w:cs="Calibri"/>
          <w:iCs/>
          <w:lang w:eastAsia="ko-KR"/>
        </w:rPr>
        <w:t xml:space="preserve">. For an individual patient </w:t>
      </w:r>
      <m:oMath>
        <m:r>
          <w:rPr>
            <w:rFonts w:ascii="Cambria Math" w:eastAsia="Malgun Gothic" w:hAnsi="Cambria Math" w:cs="Calibri"/>
            <w:lang w:eastAsia="ko-KR"/>
          </w:rPr>
          <m:t>i</m:t>
        </m:r>
      </m:oMath>
      <w:r w:rsidR="00570DA1">
        <w:rPr>
          <w:rFonts w:ascii="Calibri" w:eastAsia="Malgun Gothic" w:hAnsi="Calibri" w:cs="Calibri"/>
          <w:lang w:eastAsia="ko-KR"/>
        </w:rPr>
        <w:t xml:space="preserve">, </w:t>
      </w:r>
      <w:r w:rsidR="00284FC5">
        <w:rPr>
          <w:rFonts w:ascii="Calibri" w:eastAsia="Malgun Gothic" w:hAnsi="Calibri" w:cs="Calibri"/>
          <w:lang w:eastAsia="ko-KR"/>
        </w:rPr>
        <w:t xml:space="preserve">the RSF estimates </w:t>
      </w:r>
      <w:r w:rsidR="00570DA1">
        <w:rPr>
          <w:rFonts w:ascii="Calibri" w:eastAsia="Malgun Gothic" w:hAnsi="Calibri" w:cs="Calibri"/>
          <w:lang w:eastAsia="ko-KR"/>
        </w:rPr>
        <w:t xml:space="preserve">the </w:t>
      </w:r>
      <w:r w:rsidR="005D4BFB">
        <w:rPr>
          <w:rFonts w:ascii="Calibri" w:eastAsia="Malgun Gothic" w:hAnsi="Calibri" w:cs="Calibri"/>
          <w:iCs/>
          <w:lang w:eastAsia="ko-KR"/>
        </w:rPr>
        <w:t>cumulative hazard function (CHF)</w:t>
      </w:r>
      <w:r w:rsidR="00AF7432">
        <w:rPr>
          <w:rFonts w:ascii="Calibri" w:eastAsia="Malgun Gothic" w:hAnsi="Calibri" w:cs="Calibri"/>
          <w:iCs/>
          <w:lang w:eastAsia="ko-KR"/>
        </w:rPr>
        <w:t xml:space="preserve"> for each treatment </w:t>
      </w:r>
      <m:oMath>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oMath>
      <w:r w:rsidR="001F25A9">
        <w:rPr>
          <w:rFonts w:ascii="Calibri" w:eastAsia="Malgun Gothic" w:hAnsi="Calibri" w:cs="Calibri"/>
          <w:iCs/>
          <w:lang w:eastAsia="ko-KR"/>
        </w:rPr>
        <w:t xml:space="preserve"> (e.g., </w:t>
      </w:r>
      <m:oMath>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i,1</m:t>
            </m:r>
          </m:sub>
        </m:sSub>
      </m:oMath>
      <w:r w:rsidR="001F25A9">
        <w:rPr>
          <w:rFonts w:ascii="Calibri" w:eastAsia="Malgun Gothic" w:hAnsi="Calibri" w:cs="Calibri"/>
          <w:iCs/>
          <w:lang w:eastAsia="ko-KR"/>
        </w:rPr>
        <w:t xml:space="preserve"> for OBS</w:t>
      </w:r>
      <w:r w:rsidR="00AD5692">
        <w:rPr>
          <w:rFonts w:ascii="Calibri" w:eastAsia="Malgun Gothic" w:hAnsi="Calibri" w:cs="Calibri"/>
          <w:iCs/>
          <w:lang w:eastAsia="ko-KR"/>
        </w:rPr>
        <w:t xml:space="preserve"> and </w:t>
      </w:r>
      <m:oMath>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i,2</m:t>
            </m:r>
          </m:sub>
        </m:sSub>
      </m:oMath>
      <w:r w:rsidR="00AD5692">
        <w:rPr>
          <w:rFonts w:ascii="Calibri" w:eastAsia="Malgun Gothic" w:hAnsi="Calibri" w:cs="Calibri"/>
          <w:iCs/>
          <w:lang w:eastAsia="ko-KR"/>
        </w:rPr>
        <w:t xml:space="preserve"> for ACT)</w:t>
      </w:r>
      <w:r w:rsidR="00473D44">
        <w:rPr>
          <w:rFonts w:ascii="Calibri" w:eastAsia="Malgun Gothic" w:hAnsi="Calibri" w:cs="Calibri"/>
          <w:iCs/>
          <w:lang w:eastAsia="ko-KR"/>
        </w:rPr>
        <w:t xml:space="preserve"> and takes</w:t>
      </w:r>
      <w:r w:rsidR="00570DA1" w:rsidRPr="00B826FC">
        <w:rPr>
          <w:rFonts w:ascii="Calibri" w:eastAsia="Malgun Gothic" w:hAnsi="Calibri" w:cs="Calibri"/>
          <w:iCs/>
          <w:lang w:eastAsia="ko-KR"/>
        </w:rPr>
        <w:t xml:space="preserve"> </w:t>
      </w:r>
      <w:r w:rsidR="00473D44">
        <w:rPr>
          <w:rFonts w:ascii="Calibri" w:eastAsia="Malgun Gothic" w:hAnsi="Calibri" w:cs="Calibri"/>
          <w:iCs/>
          <w:lang w:eastAsia="ko-KR"/>
        </w:rPr>
        <w:t>an</w:t>
      </w:r>
      <w:r w:rsidR="00570DA1" w:rsidRPr="00B826FC">
        <w:rPr>
          <w:rFonts w:ascii="Calibri" w:eastAsia="Malgun Gothic" w:hAnsi="Calibri" w:cs="Calibri"/>
          <w:iCs/>
          <w:lang w:eastAsia="ko-KR"/>
        </w:rPr>
        <w:t xml:space="preserve"> average of the CHFs from all trees</w:t>
      </w:r>
      <w:r w:rsidR="00996149" w:rsidRPr="00B826FC">
        <w:rPr>
          <w:rFonts w:ascii="Calibri" w:eastAsia="Malgun Gothic" w:hAnsi="Calibri" w:cs="Calibri"/>
          <w:iCs/>
          <w:lang w:eastAsia="ko-KR"/>
        </w:rPr>
        <w:t>:</w:t>
      </w:r>
    </w:p>
    <w:p w14:paraId="6049CA63" w14:textId="5BD80F9C" w:rsidR="00996149" w:rsidRPr="00F7069E" w:rsidRDefault="00000000" w:rsidP="00F7069E">
      <w:pPr>
        <w:ind w:firstLine="720"/>
        <w:rPr>
          <w:rFonts w:ascii="Calibri" w:eastAsia="Malgun Gothic" w:hAnsi="Calibri" w:cs="Calibri"/>
          <w:iCs/>
          <w:lang w:eastAsia="ko-KR"/>
        </w:rPr>
      </w:pPr>
      <m:oMathPara>
        <m:oMath>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H</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r>
            <w:rPr>
              <w:rFonts w:ascii="Cambria Math" w:eastAsia="Malgun Gothic" w:hAnsi="Cambria Math" w:cs="Calibri"/>
              <w:lang w:eastAsia="ko-KR"/>
            </w:rPr>
            <m:t>=</m:t>
          </m:r>
          <m:f>
            <m:fPr>
              <m:ctrlPr>
                <w:rPr>
                  <w:rFonts w:ascii="Cambria Math" w:eastAsia="Malgun Gothic" w:hAnsi="Cambria Math" w:cs="Calibri"/>
                  <w:i/>
                  <w:iCs/>
                  <w:lang w:eastAsia="ko-KR"/>
                </w:rPr>
              </m:ctrlPr>
            </m:fPr>
            <m:num>
              <m:r>
                <w:rPr>
                  <w:rFonts w:ascii="Cambria Math" w:eastAsia="Malgun Gothic" w:hAnsi="Cambria Math" w:cs="Calibri"/>
                  <w:lang w:eastAsia="ko-KR"/>
                </w:rPr>
                <m:t>1</m:t>
              </m:r>
            </m:num>
            <m:den>
              <m:r>
                <w:rPr>
                  <w:rFonts w:ascii="Cambria Math" w:eastAsia="Malgun Gothic" w:hAnsi="Cambria Math" w:cs="Calibri"/>
                  <w:lang w:eastAsia="ko-KR"/>
                </w:rPr>
                <m:t>M</m:t>
              </m:r>
            </m:den>
          </m:f>
          <m:nary>
            <m:naryPr>
              <m:chr m:val="∑"/>
              <m:limLoc m:val="undOvr"/>
              <m:ctrlPr>
                <w:rPr>
                  <w:rFonts w:ascii="Cambria Math" w:eastAsia="Malgun Gothic" w:hAnsi="Cambria Math" w:cs="Calibri"/>
                  <w:i/>
                  <w:iCs/>
                  <w:lang w:eastAsia="ko-KR"/>
                </w:rPr>
              </m:ctrlPr>
            </m:naryPr>
            <m:sub>
              <m:r>
                <w:rPr>
                  <w:rFonts w:ascii="Cambria Math" w:eastAsia="Malgun Gothic" w:hAnsi="Cambria Math" w:cs="Calibri"/>
                  <w:lang w:eastAsia="ko-KR"/>
                </w:rPr>
                <m:t>m=1</m:t>
              </m:r>
            </m:sub>
            <m:sup>
              <m:r>
                <w:rPr>
                  <w:rFonts w:ascii="Cambria Math" w:eastAsia="Malgun Gothic" w:hAnsi="Cambria Math" w:cs="Calibri"/>
                  <w:lang w:eastAsia="ko-KR"/>
                </w:rPr>
                <m:t>M</m:t>
              </m:r>
            </m:sup>
            <m:e>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H</m:t>
                      </m:r>
                    </m:e>
                  </m:acc>
                  <m:ctrlPr>
                    <w:rPr>
                      <w:rFonts w:ascii="Cambria Math" w:eastAsia="Malgun Gothic" w:hAnsi="Cambria Math" w:cs="Calibri"/>
                      <w:i/>
                      <w:lang w:eastAsia="ko-KR"/>
                    </w:rPr>
                  </m:ctrlPr>
                </m:e>
                <m:sub>
                  <m:r>
                    <w:rPr>
                      <w:rFonts w:ascii="Cambria Math" w:eastAsia="Malgun Gothic" w:hAnsi="Cambria Math" w:cs="Calibri"/>
                      <w:lang w:eastAsia="ko-KR"/>
                    </w:rPr>
                    <m:t>i,m</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r>
                <w:rPr>
                  <w:rFonts w:ascii="Cambria Math" w:eastAsia="Malgun Gothic" w:hAnsi="Cambria Math" w:cs="Calibri"/>
                  <w:lang w:eastAsia="ko-KR"/>
                </w:rPr>
                <m:t>,</m:t>
              </m:r>
            </m:e>
          </m:nary>
          <m:r>
            <w:rPr>
              <w:rFonts w:ascii="Cambria Math" w:eastAsia="Malgun Gothic" w:hAnsi="Cambria Math" w:cs="Calibri"/>
              <w:lang w:eastAsia="ko-KR"/>
            </w:rPr>
            <m:t xml:space="preserve"> </m:t>
          </m:r>
        </m:oMath>
      </m:oMathPara>
    </w:p>
    <w:p w14:paraId="037A7C8B" w14:textId="53B179A5" w:rsidR="00F7069E" w:rsidRPr="00F7069E" w:rsidRDefault="00F7069E" w:rsidP="00F7069E">
      <w:pPr>
        <w:rPr>
          <w:rFonts w:ascii="Calibri" w:eastAsia="Malgun Gothic" w:hAnsi="Calibri" w:cs="Calibri"/>
          <w:iCs/>
          <w:lang w:eastAsia="ko-KR"/>
        </w:rPr>
      </w:pPr>
      <w:r>
        <w:rPr>
          <w:rFonts w:ascii="Calibri" w:eastAsia="Malgun Gothic" w:hAnsi="Calibri" w:cs="Calibri"/>
          <w:iCs/>
          <w:lang w:eastAsia="ko-KR"/>
        </w:rPr>
        <w:lastRenderedPageBreak/>
        <w:t xml:space="preserve">where </w:t>
      </w:r>
      <m:oMath>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H</m:t>
                </m:r>
              </m:e>
            </m:acc>
            <m:ctrlPr>
              <w:rPr>
                <w:rFonts w:ascii="Cambria Math" w:eastAsia="Malgun Gothic" w:hAnsi="Cambria Math" w:cs="Calibri"/>
                <w:i/>
                <w:lang w:eastAsia="ko-KR"/>
              </w:rPr>
            </m:ctrlPr>
          </m:e>
          <m:sub>
            <m:r>
              <w:rPr>
                <w:rFonts w:ascii="Cambria Math" w:eastAsia="Malgun Gothic" w:hAnsi="Cambria Math" w:cs="Calibri"/>
                <w:lang w:eastAsia="ko-KR"/>
              </w:rPr>
              <m:t>i,m</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oMath>
      <w:r>
        <w:rPr>
          <w:rFonts w:ascii="Calibri" w:eastAsia="Malgun Gothic" w:hAnsi="Calibri" w:cs="Calibri"/>
          <w:iCs/>
          <w:lang w:eastAsia="ko-KR"/>
        </w:rPr>
        <w:t xml:space="preserve"> is the CHF </w:t>
      </w:r>
      <w:r w:rsidR="001D1DF0">
        <w:rPr>
          <w:rFonts w:ascii="Calibri" w:eastAsia="Malgun Gothic" w:hAnsi="Calibri" w:cs="Calibri"/>
          <w:iCs/>
          <w:lang w:eastAsia="ko-KR"/>
        </w:rPr>
        <w:t>predicted</w:t>
      </w:r>
      <w:r>
        <w:rPr>
          <w:rFonts w:ascii="Calibri" w:eastAsia="Malgun Gothic" w:hAnsi="Calibri" w:cs="Calibri"/>
          <w:iCs/>
          <w:lang w:eastAsia="ko-KR"/>
        </w:rPr>
        <w:t xml:space="preserve"> by tree </w:t>
      </w:r>
      <m:oMath>
        <m:r>
          <w:rPr>
            <w:rFonts w:ascii="Cambria Math" w:eastAsia="Malgun Gothic" w:hAnsi="Cambria Math" w:cs="Calibri"/>
            <w:lang w:eastAsia="ko-KR"/>
          </w:rPr>
          <m:t>m</m:t>
        </m:r>
      </m:oMath>
      <w:r w:rsidR="00910848">
        <w:rPr>
          <w:rFonts w:ascii="Calibri" w:eastAsia="Malgun Gothic" w:hAnsi="Calibri" w:cs="Calibri"/>
          <w:lang w:eastAsia="ko-KR"/>
        </w:rPr>
        <w:t xml:space="preserve"> for treatment </w:t>
      </w:r>
      <m:oMath>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oMath>
      <w:r w:rsidR="00B05B1F">
        <w:rPr>
          <w:rFonts w:ascii="Calibri" w:eastAsia="Malgun Gothic" w:hAnsi="Calibri" w:cs="Calibri"/>
          <w:iCs/>
          <w:lang w:eastAsia="ko-KR"/>
        </w:rPr>
        <w:t>,</w:t>
      </w:r>
      <w:r w:rsidR="00E046A2">
        <w:rPr>
          <w:rFonts w:ascii="Calibri" w:eastAsia="Malgun Gothic" w:hAnsi="Calibri" w:cs="Calibri"/>
          <w:iCs/>
          <w:lang w:eastAsia="ko-KR"/>
        </w:rPr>
        <w:t xml:space="preserve"> and </w:t>
      </w:r>
      <m:oMath>
        <m:r>
          <w:rPr>
            <w:rFonts w:ascii="Cambria Math" w:eastAsia="Malgun Gothic" w:hAnsi="Cambria Math" w:cs="Calibri"/>
            <w:lang w:eastAsia="ko-KR"/>
          </w:rPr>
          <m:t>M</m:t>
        </m:r>
      </m:oMath>
      <w:r w:rsidR="00B05B1F">
        <w:rPr>
          <w:rFonts w:ascii="Calibri" w:eastAsia="Malgun Gothic" w:hAnsi="Calibri" w:cs="Calibri"/>
          <w:lang w:eastAsia="ko-KR"/>
        </w:rPr>
        <w:t xml:space="preserve"> is the total number of trees in the forest.</w:t>
      </w:r>
    </w:p>
    <w:p w14:paraId="318DFC94" w14:textId="6855415E" w:rsidR="005D4BFB" w:rsidRDefault="007805C2" w:rsidP="00757808">
      <w:pPr>
        <w:ind w:firstLine="720"/>
        <w:rPr>
          <w:rFonts w:ascii="Calibri" w:eastAsia="Malgun Gothic" w:hAnsi="Calibri" w:cs="Calibri"/>
          <w:iCs/>
          <w:lang w:eastAsia="ko-KR"/>
        </w:rPr>
      </w:pPr>
      <w:r>
        <w:rPr>
          <w:rFonts w:ascii="Calibri" w:eastAsia="Malgun Gothic" w:hAnsi="Calibri" w:cs="Calibri"/>
          <w:iCs/>
          <w:lang w:eastAsia="ko-KR"/>
        </w:rPr>
        <w:t xml:space="preserve">For an individual </w:t>
      </w:r>
      <m:oMath>
        <m:r>
          <w:rPr>
            <w:rFonts w:ascii="Cambria Math" w:eastAsia="Malgun Gothic" w:hAnsi="Cambria Math" w:cs="Calibri"/>
            <w:lang w:eastAsia="ko-KR"/>
          </w:rPr>
          <m:t>i</m:t>
        </m:r>
      </m:oMath>
      <w:r>
        <w:rPr>
          <w:rFonts w:ascii="Calibri" w:eastAsia="Malgun Gothic" w:hAnsi="Calibri" w:cs="Calibri"/>
          <w:iCs/>
          <w:lang w:eastAsia="ko-KR"/>
        </w:rPr>
        <w:t xml:space="preserve">, </w:t>
      </w:r>
      <w:r w:rsidR="007F550D">
        <w:rPr>
          <w:rFonts w:ascii="Calibri" w:eastAsia="Malgun Gothic" w:hAnsi="Calibri" w:cs="Calibri"/>
          <w:iCs/>
          <w:lang w:eastAsia="ko-KR"/>
        </w:rPr>
        <w:t>the RSF model can provide survival probabilities</w:t>
      </w:r>
      <w:r w:rsidR="00FF5542">
        <w:rPr>
          <w:rFonts w:ascii="Calibri" w:eastAsia="Malgun Gothic" w:hAnsi="Calibri" w:cs="Calibri"/>
          <w:iCs/>
          <w:lang w:eastAsia="ko-KR"/>
        </w:rPr>
        <w:t xml:space="preserve"> at any given time </w:t>
      </w:r>
      <m:oMath>
        <m:r>
          <w:rPr>
            <w:rFonts w:ascii="Cambria Math" w:eastAsia="Malgun Gothic" w:hAnsi="Cambria Math" w:cs="Calibri"/>
            <w:lang w:eastAsia="ko-KR"/>
          </w:rPr>
          <m:t>t</m:t>
        </m:r>
      </m:oMath>
      <w:r w:rsidR="00FF5542">
        <w:rPr>
          <w:rFonts w:ascii="Calibri" w:eastAsia="Malgun Gothic" w:hAnsi="Calibri" w:cs="Calibri"/>
          <w:lang w:eastAsia="ko-KR"/>
        </w:rPr>
        <w:t xml:space="preserve">. These probabilities are derived by aggregating the survival probabilities across all trees in the forest. </w:t>
      </w:r>
      <w:r w:rsidR="00AE4A4B">
        <w:rPr>
          <w:rFonts w:ascii="Calibri" w:eastAsia="Malgun Gothic" w:hAnsi="Calibri" w:cs="Calibri"/>
          <w:lang w:eastAsia="ko-KR"/>
        </w:rPr>
        <w:t>Using the aggregated CHFs, t</w:t>
      </w:r>
      <w:r w:rsidR="00FF5542">
        <w:rPr>
          <w:rFonts w:ascii="Calibri" w:eastAsia="Malgun Gothic" w:hAnsi="Calibri" w:cs="Calibri"/>
          <w:lang w:eastAsia="ko-KR"/>
        </w:rPr>
        <w:t>he survival probability</w:t>
      </w:r>
      <w:r w:rsidR="00AE4A4B">
        <w:rPr>
          <w:rFonts w:ascii="Calibri" w:eastAsia="Malgun Gothic" w:hAnsi="Calibri" w:cs="Calibri"/>
          <w:lang w:eastAsia="ko-KR"/>
        </w:rPr>
        <w:t xml:space="preserve"> for patient </w:t>
      </w:r>
      <m:oMath>
        <m:r>
          <w:rPr>
            <w:rFonts w:ascii="Cambria Math" w:eastAsia="Malgun Gothic" w:hAnsi="Cambria Math" w:cs="Calibri"/>
            <w:lang w:eastAsia="ko-KR"/>
          </w:rPr>
          <m:t>i</m:t>
        </m:r>
      </m:oMath>
      <w:r w:rsidR="00AE4A4B">
        <w:rPr>
          <w:rFonts w:ascii="Calibri" w:eastAsia="Malgun Gothic" w:hAnsi="Calibri" w:cs="Calibri"/>
          <w:lang w:eastAsia="ko-KR"/>
        </w:rPr>
        <w:t xml:space="preserve"> under treatment </w:t>
      </w:r>
      <m:oMath>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oMath>
      <w:r w:rsidR="001F79EE">
        <w:rPr>
          <w:rFonts w:ascii="Calibri" w:eastAsia="Malgun Gothic" w:hAnsi="Calibri" w:cs="Calibri"/>
          <w:lang w:eastAsia="ko-KR"/>
        </w:rPr>
        <w:t xml:space="preserve"> at time </w:t>
      </w:r>
      <m:oMath>
        <m:r>
          <w:rPr>
            <w:rFonts w:ascii="Cambria Math" w:eastAsia="Malgun Gothic" w:hAnsi="Cambria Math" w:cs="Calibri"/>
            <w:lang w:eastAsia="ko-KR"/>
          </w:rPr>
          <m:t>t</m:t>
        </m:r>
      </m:oMath>
      <w:r w:rsidR="001F79EE">
        <w:rPr>
          <w:rFonts w:ascii="Calibri" w:eastAsia="Malgun Gothic" w:hAnsi="Calibri" w:cs="Calibri"/>
          <w:lang w:eastAsia="ko-KR"/>
        </w:rPr>
        <w:t>,</w:t>
      </w:r>
      <w:r w:rsidR="00AE4A4B">
        <w:rPr>
          <w:rFonts w:ascii="Calibri" w:eastAsia="Malgun Gothic" w:hAnsi="Calibri" w:cs="Calibri"/>
          <w:lang w:eastAsia="ko-KR"/>
        </w:rPr>
        <w:t xml:space="preserve"> </w:t>
      </w:r>
      <m:oMath>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S</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r>
          <w:rPr>
            <w:rFonts w:ascii="Cambria Math" w:eastAsia="Malgun Gothic" w:hAnsi="Cambria Math" w:cs="Calibri"/>
            <w:lang w:eastAsia="ko-KR"/>
          </w:rPr>
          <m:t>,</m:t>
        </m:r>
      </m:oMath>
      <w:r w:rsidR="00BB1ECF">
        <w:rPr>
          <w:rFonts w:ascii="Calibri" w:eastAsia="Malgun Gothic" w:hAnsi="Calibri" w:cs="Calibri"/>
          <w:iCs/>
          <w:lang w:eastAsia="ko-KR"/>
        </w:rPr>
        <w:t xml:space="preserve"> is </w:t>
      </w:r>
      <w:r w:rsidR="001F79EE">
        <w:rPr>
          <w:rFonts w:ascii="Calibri" w:eastAsia="Malgun Gothic" w:hAnsi="Calibri" w:cs="Calibri"/>
          <w:iCs/>
          <w:lang w:eastAsia="ko-KR"/>
        </w:rPr>
        <w:t>obtained as</w:t>
      </w:r>
      <w:r w:rsidR="00BB1ECF">
        <w:rPr>
          <w:rFonts w:ascii="Calibri" w:eastAsia="Malgun Gothic" w:hAnsi="Calibri" w:cs="Calibri"/>
          <w:iCs/>
          <w:lang w:eastAsia="ko-KR"/>
        </w:rPr>
        <w:t>:</w:t>
      </w:r>
    </w:p>
    <w:p w14:paraId="111411A1" w14:textId="71A32D39" w:rsidR="00BB1ECF" w:rsidRPr="004250C5" w:rsidRDefault="00000000" w:rsidP="00757808">
      <w:pPr>
        <w:ind w:firstLine="720"/>
        <w:rPr>
          <w:rFonts w:ascii="Calibri" w:eastAsia="Malgun Gothic" w:hAnsi="Calibri" w:cs="Calibri"/>
          <w:iCs/>
          <w:color w:val="000000" w:themeColor="text1"/>
        </w:rPr>
      </w:pPr>
      <m:oMathPara>
        <m:oMath>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S</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r>
            <w:rPr>
              <w:rFonts w:ascii="Cambria Math" w:eastAsia="Malgun Gothic" w:hAnsi="Cambria Math" w:cs="Calibri"/>
              <w:lang w:eastAsia="ko-KR"/>
            </w:rPr>
            <m:t>=</m:t>
          </m:r>
          <m:nary>
            <m:naryPr>
              <m:chr m:val="∏"/>
              <m:supHide m:val="1"/>
              <m:ctrlPr>
                <w:rPr>
                  <w:rFonts w:ascii="Cambria Math" w:hAnsi="Cambria Math"/>
                  <w:i/>
                  <w:iCs/>
                  <w:color w:val="000000" w:themeColor="text1"/>
                </w:rPr>
              </m:ctrlPr>
            </m:naryPr>
            <m:sub>
              <m:r>
                <w:rPr>
                  <w:rFonts w:ascii="Cambria Math" w:hAnsi="Cambria Math"/>
                  <w:color w:val="000000" w:themeColor="text1"/>
                </w:rPr>
                <m:t>u≤t</m:t>
              </m:r>
            </m:sub>
            <m:sup/>
            <m:e>
              <m:d>
                <m:dPr>
                  <m:ctrlPr>
                    <w:rPr>
                      <w:rFonts w:ascii="Cambria Math" w:hAnsi="Cambria Math"/>
                      <w:i/>
                      <w:color w:val="000000" w:themeColor="text1"/>
                    </w:rPr>
                  </m:ctrlPr>
                </m:dPr>
                <m:e>
                  <m:r>
                    <w:rPr>
                      <w:rFonts w:ascii="Cambria Math" w:hAnsi="Cambria Math"/>
                      <w:color w:val="000000" w:themeColor="text1"/>
                    </w:rPr>
                    <m:t>1-</m:t>
                  </m:r>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H</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u</m:t>
                      </m:r>
                    </m:e>
                  </m:d>
                </m:e>
              </m:d>
              <m:r>
                <w:rPr>
                  <w:rFonts w:ascii="Cambria Math" w:hAnsi="Cambria Math"/>
                  <w:color w:val="000000" w:themeColor="text1"/>
                </w:rPr>
                <m:t>,</m:t>
              </m:r>
            </m:e>
          </m:nary>
        </m:oMath>
      </m:oMathPara>
    </w:p>
    <w:p w14:paraId="147E0337" w14:textId="3E81ED9B" w:rsidR="004250C5" w:rsidRPr="004250C5" w:rsidRDefault="004250C5" w:rsidP="004250C5">
      <w:pPr>
        <w:rPr>
          <w:rFonts w:ascii="Calibri" w:eastAsia="Malgun Gothic" w:hAnsi="Calibri" w:cs="Calibri"/>
          <w:iCs/>
          <w:lang w:eastAsia="ko-KR"/>
        </w:rPr>
      </w:pPr>
      <w:r>
        <w:rPr>
          <w:rFonts w:ascii="Calibri" w:eastAsia="Malgun Gothic" w:hAnsi="Calibri" w:cs="Calibri"/>
          <w:iCs/>
          <w:lang w:eastAsia="ko-KR"/>
        </w:rPr>
        <w:t xml:space="preserve">where </w:t>
      </w:r>
      <m:oMath>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H</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u</m:t>
            </m:r>
          </m:e>
        </m:d>
      </m:oMath>
      <w:r>
        <w:rPr>
          <w:rFonts w:ascii="Calibri" w:eastAsia="Malgun Gothic" w:hAnsi="Calibri" w:cs="Calibri"/>
          <w:iCs/>
          <w:lang w:eastAsia="ko-KR"/>
        </w:rPr>
        <w:t xml:space="preserve"> is the CHF at time </w:t>
      </w:r>
      <m:oMath>
        <m:r>
          <w:rPr>
            <w:rFonts w:ascii="Cambria Math" w:eastAsia="Malgun Gothic" w:hAnsi="Cambria Math" w:cs="Calibri"/>
            <w:lang w:eastAsia="ko-KR"/>
          </w:rPr>
          <m:t>u</m:t>
        </m:r>
      </m:oMath>
      <w:r w:rsidR="00216336">
        <w:rPr>
          <w:rFonts w:ascii="Calibri" w:eastAsia="Malgun Gothic" w:hAnsi="Calibri" w:cs="Calibri"/>
          <w:lang w:eastAsia="ko-KR"/>
        </w:rPr>
        <w:t xml:space="preserve"> for treatment </w:t>
      </w:r>
      <m:oMath>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i,k</m:t>
            </m:r>
          </m:sub>
        </m:sSub>
      </m:oMath>
      <w:r w:rsidR="00216336">
        <w:rPr>
          <w:rFonts w:ascii="Calibri" w:eastAsia="Malgun Gothic" w:hAnsi="Calibri" w:cs="Calibri"/>
          <w:iCs/>
          <w:lang w:eastAsia="ko-KR"/>
        </w:rPr>
        <w:t>.</w:t>
      </w:r>
    </w:p>
    <w:p w14:paraId="4BA5F415" w14:textId="5207E4B8" w:rsidR="00CB2C76" w:rsidRDefault="00347901" w:rsidP="00757808">
      <w:pPr>
        <w:ind w:firstLine="720"/>
        <w:rPr>
          <w:rFonts w:ascii="Calibri" w:eastAsia="Malgun Gothic" w:hAnsi="Calibri" w:cs="Calibri"/>
          <w:iCs/>
          <w:lang w:eastAsia="ko-KR"/>
        </w:rPr>
      </w:pPr>
      <w:r>
        <w:rPr>
          <w:rFonts w:ascii="Calibri" w:eastAsia="Malgun Gothic" w:hAnsi="Calibri" w:cs="Calibri"/>
          <w:iCs/>
          <w:lang w:eastAsia="ko-KR"/>
        </w:rPr>
        <w:t xml:space="preserve"> </w:t>
      </w:r>
      <w:r w:rsidR="003959C7" w:rsidRPr="00334390">
        <w:rPr>
          <w:rFonts w:ascii="Calibri" w:eastAsia="Malgun Gothic" w:hAnsi="Calibri" w:cs="Calibri"/>
          <w:iCs/>
          <w:lang w:eastAsia="ko-KR"/>
        </w:rPr>
        <w:t xml:space="preserve">RSF’s ability to handle </w:t>
      </w:r>
      <w:r w:rsidR="00212FB0" w:rsidRPr="00334390">
        <w:rPr>
          <w:rFonts w:ascii="Calibri" w:eastAsia="Malgun Gothic" w:hAnsi="Calibri" w:cs="Calibri"/>
          <w:iCs/>
          <w:lang w:eastAsia="ko-KR"/>
        </w:rPr>
        <w:t>large number of</w:t>
      </w:r>
      <w:r w:rsidR="003959C7" w:rsidRPr="00334390">
        <w:rPr>
          <w:rFonts w:ascii="Calibri" w:eastAsia="Malgun Gothic" w:hAnsi="Calibri" w:cs="Calibri"/>
          <w:iCs/>
          <w:lang w:eastAsia="ko-KR"/>
        </w:rPr>
        <w:t xml:space="preserve"> predictor variables while maintaining predictive </w:t>
      </w:r>
      <w:r w:rsidR="008564E3" w:rsidRPr="00334390">
        <w:rPr>
          <w:rFonts w:ascii="Calibri" w:eastAsia="Malgun Gothic" w:hAnsi="Calibri" w:cs="Calibri"/>
          <w:iCs/>
          <w:lang w:eastAsia="ko-KR"/>
        </w:rPr>
        <w:t xml:space="preserve">accuracy makes </w:t>
      </w:r>
      <w:r w:rsidR="00DB0EA6" w:rsidRPr="00334390">
        <w:rPr>
          <w:rFonts w:ascii="Calibri" w:eastAsia="Malgun Gothic" w:hAnsi="Calibri" w:cs="Calibri"/>
          <w:iCs/>
          <w:lang w:eastAsia="ko-KR"/>
        </w:rPr>
        <w:t xml:space="preserve">it </w:t>
      </w:r>
      <w:r w:rsidR="00F30A7D" w:rsidRPr="00334390">
        <w:rPr>
          <w:rFonts w:ascii="Calibri" w:eastAsia="Malgun Gothic" w:hAnsi="Calibri" w:cs="Calibri"/>
          <w:iCs/>
          <w:lang w:eastAsia="ko-KR"/>
        </w:rPr>
        <w:t xml:space="preserve">an ideal choice </w:t>
      </w:r>
      <w:r w:rsidR="00DB0EA6" w:rsidRPr="00334390">
        <w:rPr>
          <w:rFonts w:ascii="Calibri" w:eastAsia="Malgun Gothic" w:hAnsi="Calibri" w:cs="Calibri"/>
          <w:iCs/>
          <w:lang w:eastAsia="ko-KR"/>
        </w:rPr>
        <w:t>as the second model</w:t>
      </w:r>
      <w:r w:rsidR="00D94581">
        <w:rPr>
          <w:rFonts w:ascii="Calibri" w:eastAsia="Malgun Gothic" w:hAnsi="Calibri" w:cs="Calibri"/>
          <w:iCs/>
          <w:lang w:eastAsia="ko-KR"/>
        </w:rPr>
        <w:t xml:space="preserve"> in this paper</w:t>
      </w:r>
      <w:r w:rsidR="00DB0EA6" w:rsidRPr="00334390">
        <w:rPr>
          <w:rFonts w:ascii="Calibri" w:eastAsia="Malgun Gothic" w:hAnsi="Calibri" w:cs="Calibri"/>
          <w:iCs/>
          <w:lang w:eastAsia="ko-KR"/>
        </w:rPr>
        <w:t xml:space="preserve"> </w:t>
      </w:r>
      <w:r w:rsidR="007A67B6" w:rsidRPr="00334390">
        <w:rPr>
          <w:rFonts w:ascii="Calibri" w:eastAsia="Malgun Gothic" w:hAnsi="Calibri" w:cs="Calibri"/>
          <w:iCs/>
          <w:lang w:eastAsia="ko-KR"/>
        </w:rPr>
        <w:t xml:space="preserve">for individualized </w:t>
      </w:r>
      <w:r w:rsidR="004E03B4" w:rsidRPr="00334390">
        <w:rPr>
          <w:rFonts w:ascii="Calibri" w:eastAsia="Malgun Gothic" w:hAnsi="Calibri" w:cs="Calibri"/>
          <w:iCs/>
          <w:lang w:eastAsia="ko-KR"/>
        </w:rPr>
        <w:t>clinical decision</w:t>
      </w:r>
      <w:r w:rsidR="00F30A7D" w:rsidRPr="00334390">
        <w:rPr>
          <w:rFonts w:ascii="Calibri" w:eastAsia="Malgun Gothic" w:hAnsi="Calibri" w:cs="Calibri"/>
          <w:iCs/>
          <w:lang w:eastAsia="ko-KR"/>
        </w:rPr>
        <w:t>-making</w:t>
      </w:r>
      <w:r w:rsidR="004E03B4" w:rsidRPr="00334390">
        <w:rPr>
          <w:rFonts w:ascii="Calibri" w:eastAsia="Malgun Gothic" w:hAnsi="Calibri" w:cs="Calibri"/>
          <w:iCs/>
          <w:lang w:eastAsia="ko-KR"/>
        </w:rPr>
        <w:t xml:space="preserve"> </w:t>
      </w:r>
      <w:r w:rsidR="00F06B81" w:rsidRPr="00334390">
        <w:rPr>
          <w:rFonts w:ascii="Calibri" w:eastAsia="Malgun Gothic" w:hAnsi="Calibri" w:cs="Calibri"/>
          <w:iCs/>
          <w:lang w:eastAsia="ko-KR"/>
        </w:rPr>
        <w:t>in the</w:t>
      </w:r>
      <w:r w:rsidR="004E03B4" w:rsidRPr="00334390">
        <w:rPr>
          <w:rFonts w:ascii="Calibri" w:eastAsia="Malgun Gothic" w:hAnsi="Calibri" w:cs="Calibri"/>
          <w:iCs/>
          <w:lang w:eastAsia="ko-KR"/>
        </w:rPr>
        <w:t xml:space="preserve"> treatment </w:t>
      </w:r>
      <w:r w:rsidR="00807348" w:rsidRPr="00334390">
        <w:rPr>
          <w:rFonts w:ascii="Calibri" w:eastAsia="Malgun Gothic" w:hAnsi="Calibri" w:cs="Calibri"/>
          <w:iCs/>
          <w:lang w:eastAsia="ko-KR"/>
        </w:rPr>
        <w:t>of non-</w:t>
      </w:r>
      <w:proofErr w:type="gramStart"/>
      <w:r w:rsidR="00807348" w:rsidRPr="00334390">
        <w:rPr>
          <w:rFonts w:ascii="Calibri" w:eastAsia="Malgun Gothic" w:hAnsi="Calibri" w:cs="Calibri"/>
          <w:iCs/>
          <w:lang w:eastAsia="ko-KR"/>
        </w:rPr>
        <w:t>small cell</w:t>
      </w:r>
      <w:proofErr w:type="gramEnd"/>
      <w:r w:rsidR="00807348" w:rsidRPr="00334390">
        <w:rPr>
          <w:rFonts w:ascii="Calibri" w:eastAsia="Malgun Gothic" w:hAnsi="Calibri" w:cs="Calibri"/>
          <w:iCs/>
          <w:lang w:eastAsia="ko-KR"/>
        </w:rPr>
        <w:t xml:space="preserve"> lung cancer patients.</w:t>
      </w:r>
      <w:r w:rsidR="00334390">
        <w:rPr>
          <w:rFonts w:ascii="Calibri" w:eastAsia="Malgun Gothic" w:hAnsi="Calibri" w:cs="Calibri"/>
          <w:iCs/>
          <w:lang w:eastAsia="ko-KR"/>
        </w:rPr>
        <w:t xml:space="preserve"> </w:t>
      </w:r>
      <w:r w:rsidR="00773889">
        <w:rPr>
          <w:rFonts w:ascii="Calibri" w:eastAsia="Malgun Gothic" w:hAnsi="Calibri" w:cs="Calibri"/>
          <w:iCs/>
          <w:lang w:eastAsia="ko-KR"/>
        </w:rPr>
        <w:t>Out of the key features of RSF is its ability to estimate variable importance, which indicates the contribution of each predictor to the model. Variable importance is assess</w:t>
      </w:r>
      <w:r w:rsidR="00066EBB">
        <w:rPr>
          <w:rFonts w:ascii="Calibri" w:eastAsia="Malgun Gothic" w:hAnsi="Calibri" w:cs="Calibri"/>
          <w:iCs/>
          <w:lang w:eastAsia="ko-KR"/>
        </w:rPr>
        <w:t>ed</w:t>
      </w:r>
      <w:r w:rsidR="00773889">
        <w:rPr>
          <w:rFonts w:ascii="Calibri" w:eastAsia="Malgun Gothic" w:hAnsi="Calibri" w:cs="Calibri"/>
          <w:iCs/>
          <w:lang w:eastAsia="ko-KR"/>
        </w:rPr>
        <w:t xml:space="preserve"> by permuting </w:t>
      </w:r>
      <w:r w:rsidR="006951BD">
        <w:rPr>
          <w:rFonts w:ascii="Calibri" w:eastAsia="Malgun Gothic" w:hAnsi="Calibri" w:cs="Calibri"/>
          <w:iCs/>
          <w:lang w:eastAsia="ko-KR"/>
        </w:rPr>
        <w:t>the values of a specific predictor in the OOB samples</w:t>
      </w:r>
      <w:r w:rsidR="005D7BF0">
        <w:rPr>
          <w:rFonts w:ascii="Calibri" w:eastAsia="Malgun Gothic" w:hAnsi="Calibri" w:cs="Calibri"/>
          <w:iCs/>
          <w:lang w:eastAsia="ko-KR"/>
        </w:rPr>
        <w:t xml:space="preserve"> and calculating the decrease in prediction</w:t>
      </w:r>
      <w:r w:rsidR="00887D2D">
        <w:rPr>
          <w:rFonts w:ascii="Calibri" w:eastAsia="Malgun Gothic" w:hAnsi="Calibri" w:cs="Calibri"/>
          <w:iCs/>
          <w:lang w:eastAsia="ko-KR"/>
        </w:rPr>
        <w:t xml:space="preserve"> performance.</w:t>
      </w:r>
      <w:r w:rsidR="00135357">
        <w:rPr>
          <w:rFonts w:ascii="Calibri" w:eastAsia="Malgun Gothic" w:hAnsi="Calibri" w:cs="Calibri"/>
          <w:iCs/>
          <w:lang w:eastAsia="ko-KR"/>
        </w:rPr>
        <w:t xml:space="preserve"> </w:t>
      </w:r>
      <w:r w:rsidR="00887D2D">
        <w:rPr>
          <w:rFonts w:ascii="Calibri" w:eastAsia="Malgun Gothic" w:hAnsi="Calibri" w:cs="Calibri"/>
          <w:iCs/>
          <w:lang w:eastAsia="ko-KR"/>
        </w:rPr>
        <w:t>Predictors with higher</w:t>
      </w:r>
      <w:r w:rsidR="00135357">
        <w:rPr>
          <w:rFonts w:ascii="Calibri" w:eastAsia="Malgun Gothic" w:hAnsi="Calibri" w:cs="Calibri"/>
          <w:iCs/>
          <w:lang w:eastAsia="ko-KR"/>
        </w:rPr>
        <w:t xml:space="preserve"> </w:t>
      </w:r>
      <w:r w:rsidR="004F1FC2">
        <w:rPr>
          <w:rFonts w:ascii="Calibri" w:eastAsia="Malgun Gothic" w:hAnsi="Calibri" w:cs="Calibri"/>
          <w:iCs/>
          <w:lang w:eastAsia="ko-KR"/>
        </w:rPr>
        <w:t>importance scores are more influential in determining survival outcomes</w:t>
      </w:r>
      <w:r w:rsidR="00DE5F70">
        <w:rPr>
          <w:rFonts w:ascii="Calibri" w:eastAsia="Malgun Gothic" w:hAnsi="Calibri" w:cs="Calibri"/>
          <w:iCs/>
          <w:lang w:eastAsia="ko-KR"/>
        </w:rPr>
        <w:t>.</w:t>
      </w:r>
    </w:p>
    <w:p w14:paraId="08683E31" w14:textId="7FADF576" w:rsidR="00BB2B08" w:rsidRDefault="007F0063" w:rsidP="00757808">
      <w:pPr>
        <w:ind w:firstLine="720"/>
        <w:rPr>
          <w:rFonts w:ascii="Calibri" w:eastAsia="Malgun Gothic" w:hAnsi="Calibri" w:cs="Calibri"/>
          <w:iCs/>
          <w:lang w:eastAsia="ko-KR"/>
        </w:rPr>
      </w:pPr>
      <w:r>
        <w:rPr>
          <w:rFonts w:ascii="Calibri" w:eastAsia="Malgun Gothic" w:hAnsi="Calibri" w:cs="Calibri"/>
          <w:iCs/>
          <w:lang w:eastAsia="ko-KR"/>
        </w:rPr>
        <w:t xml:space="preserve">For each patient, the survival probabilities </w:t>
      </w:r>
      <m:oMath>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S</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i,1</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oMath>
      <w:r>
        <w:rPr>
          <w:rFonts w:ascii="Calibri" w:eastAsia="Malgun Gothic" w:hAnsi="Calibri" w:cs="Calibri"/>
          <w:iCs/>
          <w:lang w:eastAsia="ko-KR"/>
        </w:rPr>
        <w:t xml:space="preserve"> and </w:t>
      </w:r>
      <m:oMath>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S</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i,2</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oMath>
      <w:r>
        <w:rPr>
          <w:rFonts w:ascii="Calibri" w:eastAsia="Malgun Gothic" w:hAnsi="Calibri" w:cs="Calibri"/>
          <w:iCs/>
          <w:lang w:eastAsia="ko-KR"/>
        </w:rPr>
        <w:t xml:space="preserve"> are compared </w:t>
      </w:r>
      <w:r w:rsidR="00782818">
        <w:rPr>
          <w:rFonts w:ascii="Calibri" w:eastAsia="Malgun Gothic" w:hAnsi="Calibri" w:cs="Calibri"/>
          <w:iCs/>
          <w:lang w:eastAsia="ko-KR"/>
        </w:rPr>
        <w:t xml:space="preserve">across a range of time points. If </w:t>
      </w:r>
      <m:oMath>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S</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i,1</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r>
          <w:rPr>
            <w:rFonts w:ascii="Cambria Math" w:eastAsia="Malgun Gothic" w:hAnsi="Cambria Math" w:cs="Calibri"/>
            <w:lang w:eastAsia="ko-KR"/>
          </w:rPr>
          <m:t>&gt;</m:t>
        </m:r>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S</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i,2</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r>
          <w:rPr>
            <w:rFonts w:ascii="Cambria Math" w:eastAsia="Malgun Gothic" w:hAnsi="Cambria Math" w:cs="Calibri"/>
            <w:lang w:eastAsia="ko-KR"/>
          </w:rPr>
          <m:t>,</m:t>
        </m:r>
      </m:oMath>
      <w:r w:rsidR="00782818">
        <w:rPr>
          <w:rFonts w:ascii="Calibri" w:eastAsia="Malgun Gothic" w:hAnsi="Calibri" w:cs="Calibri"/>
          <w:iCs/>
          <w:lang w:eastAsia="ko-KR"/>
        </w:rPr>
        <w:t xml:space="preserve"> </w:t>
      </w:r>
      <w:r w:rsidR="001C6BE0">
        <w:rPr>
          <w:rFonts w:ascii="Calibri" w:eastAsia="Malgun Gothic" w:hAnsi="Calibri" w:cs="Calibri"/>
          <w:iCs/>
          <w:lang w:eastAsia="ko-KR"/>
        </w:rPr>
        <w:t>the OBS treatment is recommended</w:t>
      </w:r>
      <w:r w:rsidR="00667591">
        <w:rPr>
          <w:rFonts w:ascii="Calibri" w:eastAsia="Malgun Gothic" w:hAnsi="Calibri" w:cs="Calibri"/>
          <w:iCs/>
          <w:lang w:eastAsia="ko-KR"/>
        </w:rPr>
        <w:t xml:space="preserve">. On the other hand, if </w:t>
      </w:r>
      <m:oMath>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S</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i,1</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r>
          <w:rPr>
            <w:rFonts w:ascii="Cambria Math" w:eastAsia="Malgun Gothic" w:hAnsi="Cambria Math" w:cs="Calibri"/>
            <w:lang w:eastAsia="ko-KR"/>
          </w:rPr>
          <m:t>&lt;</m:t>
        </m:r>
        <m:sSubSup>
          <m:sSubSupPr>
            <m:ctrlPr>
              <w:rPr>
                <w:rFonts w:ascii="Cambria Math" w:eastAsia="Malgun Gothic" w:hAnsi="Cambria Math" w:cs="Calibri"/>
                <w:i/>
                <w:iCs/>
                <w:lang w:eastAsia="ko-KR"/>
              </w:rPr>
            </m:ctrlPr>
          </m:sSubSupPr>
          <m:e>
            <m:acc>
              <m:accPr>
                <m:ctrlPr>
                  <w:rPr>
                    <w:rFonts w:ascii="Cambria Math" w:eastAsia="Malgun Gothic" w:hAnsi="Cambria Math" w:cs="Calibri"/>
                    <w:i/>
                    <w:iCs/>
                    <w:lang w:eastAsia="ko-KR"/>
                  </w:rPr>
                </m:ctrlPr>
              </m:accPr>
              <m:e>
                <m:r>
                  <w:rPr>
                    <w:rFonts w:ascii="Cambria Math" w:eastAsia="Malgun Gothic" w:hAnsi="Cambria Math" w:cs="Calibri"/>
                    <w:lang w:eastAsia="ko-KR"/>
                  </w:rPr>
                  <m:t>S</m:t>
                </m:r>
              </m:e>
            </m:acc>
            <m:ctrlPr>
              <w:rPr>
                <w:rFonts w:ascii="Cambria Math" w:eastAsia="Malgun Gothic" w:hAnsi="Cambria Math" w:cs="Calibri"/>
                <w:i/>
                <w:lang w:eastAsia="ko-KR"/>
              </w:rPr>
            </m:ctrlPr>
          </m:e>
          <m:sub>
            <m:r>
              <w:rPr>
                <w:rFonts w:ascii="Cambria Math" w:eastAsia="Malgun Gothic" w:hAnsi="Cambria Math" w:cs="Calibri"/>
                <w:lang w:eastAsia="ko-KR"/>
              </w:rPr>
              <m:t>RSF,i</m:t>
            </m:r>
            <m:ctrlPr>
              <w:rPr>
                <w:rFonts w:ascii="Cambria Math" w:eastAsia="Malgun Gothic" w:hAnsi="Cambria Math" w:cs="Calibri"/>
                <w:i/>
                <w:lang w:eastAsia="ko-KR"/>
              </w:rPr>
            </m:ctrlPr>
          </m:sub>
          <m:sup>
            <m:r>
              <w:rPr>
                <w:rFonts w:ascii="Cambria Math" w:eastAsia="Malgun Gothic" w:hAnsi="Cambria Math" w:cs="Calibri"/>
                <w:lang w:eastAsia="ko-KR"/>
              </w:rPr>
              <m:t>(</m:t>
            </m:r>
            <m:sSub>
              <m:sSubPr>
                <m:ctrlPr>
                  <w:rPr>
                    <w:rFonts w:ascii="Cambria Math" w:eastAsia="Malgun Gothic" w:hAnsi="Cambria Math" w:cs="Calibri"/>
                    <w:i/>
                    <w:iCs/>
                    <w:lang w:eastAsia="ko-KR"/>
                  </w:rPr>
                </m:ctrlPr>
              </m:sSubPr>
              <m:e>
                <m:r>
                  <m:rPr>
                    <m:sty m:val="bi"/>
                  </m:rPr>
                  <w:rPr>
                    <w:rFonts w:ascii="Cambria Math" w:eastAsia="Malgun Gothic" w:hAnsi="Cambria Math" w:cs="Calibri"/>
                    <w:lang w:eastAsia="ko-KR"/>
                  </w:rPr>
                  <m:t>Z</m:t>
                </m:r>
              </m:e>
              <m:sub>
                <m:r>
                  <w:rPr>
                    <w:rFonts w:ascii="Cambria Math" w:eastAsia="Malgun Gothic" w:hAnsi="Cambria Math" w:cs="Calibri"/>
                    <w:lang w:eastAsia="ko-KR"/>
                  </w:rPr>
                  <m:t>i,2</m:t>
                </m:r>
              </m:sub>
            </m:sSub>
            <m:r>
              <w:rPr>
                <w:rFonts w:ascii="Cambria Math" w:eastAsia="Malgun Gothic" w:hAnsi="Cambria Math" w:cs="Calibri"/>
                <w:lang w:eastAsia="ko-KR"/>
              </w:rPr>
              <m:t>)</m:t>
            </m:r>
          </m:sup>
        </m:sSubSup>
        <m:d>
          <m:dPr>
            <m:ctrlPr>
              <w:rPr>
                <w:rFonts w:ascii="Cambria Math" w:eastAsia="Malgun Gothic" w:hAnsi="Cambria Math" w:cs="Calibri"/>
                <w:i/>
                <w:iCs/>
                <w:lang w:eastAsia="ko-KR"/>
              </w:rPr>
            </m:ctrlPr>
          </m:dPr>
          <m:e>
            <m:r>
              <w:rPr>
                <w:rFonts w:ascii="Cambria Math" w:eastAsia="Malgun Gothic" w:hAnsi="Cambria Math" w:cs="Calibri"/>
                <w:lang w:eastAsia="ko-KR"/>
              </w:rPr>
              <m:t>t</m:t>
            </m:r>
          </m:e>
        </m:d>
        <m:r>
          <w:rPr>
            <w:rFonts w:ascii="Cambria Math" w:eastAsia="Malgun Gothic" w:hAnsi="Cambria Math" w:cs="Calibri"/>
            <w:lang w:eastAsia="ko-KR"/>
          </w:rPr>
          <m:t>,</m:t>
        </m:r>
      </m:oMath>
      <w:r w:rsidR="00667591">
        <w:rPr>
          <w:rFonts w:ascii="Calibri" w:eastAsia="Malgun Gothic" w:hAnsi="Calibri" w:cs="Calibri"/>
          <w:iCs/>
          <w:lang w:eastAsia="ko-KR"/>
        </w:rPr>
        <w:t xml:space="preserve"> </w:t>
      </w:r>
      <w:r w:rsidR="003E026E">
        <w:rPr>
          <w:rFonts w:ascii="Calibri" w:eastAsia="Malgun Gothic" w:hAnsi="Calibri" w:cs="Calibri"/>
          <w:iCs/>
          <w:lang w:eastAsia="ko-KR"/>
        </w:rPr>
        <w:t>the ACT treatment is recommended.</w:t>
      </w:r>
    </w:p>
    <w:p w14:paraId="75E303F4" w14:textId="03458263" w:rsidR="00B84BD6" w:rsidRDefault="008A54A7" w:rsidP="00B84BD6">
      <w:pPr>
        <w:ind w:firstLine="720"/>
        <w:rPr>
          <w:rFonts w:ascii="Calibri" w:eastAsia="Malgun Gothic" w:hAnsi="Calibri" w:cs="Calibri"/>
          <w:iCs/>
          <w:lang w:eastAsia="ko-KR"/>
        </w:rPr>
      </w:pPr>
      <w:r>
        <w:rPr>
          <w:rFonts w:ascii="Calibri" w:eastAsia="Malgun Gothic" w:hAnsi="Calibri" w:cs="Calibri"/>
          <w:iCs/>
          <w:lang w:eastAsia="ko-KR"/>
        </w:rPr>
        <w:t xml:space="preserve">The RSF model was implemented using the </w:t>
      </w:r>
      <w:proofErr w:type="spellStart"/>
      <w:r>
        <w:rPr>
          <w:rFonts w:ascii="Calibri" w:eastAsia="Malgun Gothic" w:hAnsi="Calibri" w:cs="Calibri"/>
          <w:iCs/>
          <w:lang w:eastAsia="ko-KR"/>
        </w:rPr>
        <w:t>randomForestSRC</w:t>
      </w:r>
      <w:proofErr w:type="spellEnd"/>
      <w:r>
        <w:rPr>
          <w:rFonts w:ascii="Calibri" w:eastAsia="Malgun Gothic" w:hAnsi="Calibri" w:cs="Calibri"/>
          <w:iCs/>
          <w:lang w:eastAsia="ko-KR"/>
        </w:rPr>
        <w:t xml:space="preserve"> package in R</w:t>
      </w:r>
      <w:r w:rsidR="00B94D0B">
        <w:rPr>
          <w:rFonts w:ascii="Calibri" w:eastAsia="Malgun Gothic" w:hAnsi="Calibri" w:cs="Calibri"/>
          <w:iCs/>
          <w:lang w:eastAsia="ko-KR"/>
        </w:rPr>
        <w:t xml:space="preserve">. </w:t>
      </w:r>
      <w:r w:rsidR="008F5ED6">
        <w:rPr>
          <w:rFonts w:ascii="Calibri" w:eastAsia="Malgun Gothic" w:hAnsi="Calibri" w:cs="Calibri"/>
          <w:iCs/>
          <w:lang w:eastAsia="ko-KR"/>
        </w:rPr>
        <w:t>All hyperparameters</w:t>
      </w:r>
      <w:r w:rsidR="00016BC3">
        <w:rPr>
          <w:rFonts w:ascii="Calibri" w:eastAsia="Malgun Gothic" w:hAnsi="Calibri" w:cs="Calibri"/>
          <w:iCs/>
          <w:lang w:eastAsia="ko-KR"/>
        </w:rPr>
        <w:t xml:space="preserve">, including the number of trees, the random split points, </w:t>
      </w:r>
      <w:r w:rsidR="00186AEA">
        <w:rPr>
          <w:rFonts w:ascii="Calibri" w:eastAsia="Malgun Gothic" w:hAnsi="Calibri" w:cs="Calibri"/>
          <w:iCs/>
          <w:lang w:eastAsia="ko-KR"/>
        </w:rPr>
        <w:t xml:space="preserve">the number of </w:t>
      </w:r>
      <w:r w:rsidR="007057CA">
        <w:rPr>
          <w:rFonts w:ascii="Calibri" w:eastAsia="Malgun Gothic" w:hAnsi="Calibri" w:cs="Calibri"/>
          <w:iCs/>
          <w:lang w:eastAsia="ko-KR"/>
        </w:rPr>
        <w:t>variables randomly</w:t>
      </w:r>
      <w:r w:rsidR="00186AEA">
        <w:rPr>
          <w:rFonts w:ascii="Calibri" w:eastAsia="Malgun Gothic" w:hAnsi="Calibri" w:cs="Calibri"/>
          <w:iCs/>
          <w:lang w:eastAsia="ko-KR"/>
        </w:rPr>
        <w:t xml:space="preserve"> selected at each split in a node,</w:t>
      </w:r>
      <w:r w:rsidR="001E111E">
        <w:rPr>
          <w:rFonts w:ascii="Calibri" w:eastAsia="Malgun Gothic" w:hAnsi="Calibri" w:cs="Calibri"/>
          <w:iCs/>
          <w:lang w:eastAsia="ko-KR"/>
        </w:rPr>
        <w:t xml:space="preserve"> and the minimum terminal node size, were optimized through </w:t>
      </w:r>
      <w:r w:rsidR="00672E96" w:rsidRPr="00672E96">
        <w:rPr>
          <w:rFonts w:ascii="Calibri" w:eastAsia="Malgun Gothic" w:hAnsi="Calibri" w:cs="Calibri"/>
          <w:iCs/>
          <w:lang w:eastAsia="ko-KR"/>
        </w:rPr>
        <w:t>LOOCV</w:t>
      </w:r>
      <w:r w:rsidR="001E111E" w:rsidRPr="001E111E">
        <w:rPr>
          <w:rFonts w:ascii="Calibri" w:eastAsia="Malgun Gothic" w:hAnsi="Calibri" w:cs="Calibri"/>
          <w:iCs/>
          <w:color w:val="FF0000"/>
          <w:lang w:eastAsia="ko-KR"/>
        </w:rPr>
        <w:t xml:space="preserve"> </w:t>
      </w:r>
      <w:r w:rsidR="001E111E">
        <w:rPr>
          <w:rFonts w:ascii="Calibri" w:eastAsia="Malgun Gothic" w:hAnsi="Calibri" w:cs="Calibri"/>
          <w:iCs/>
          <w:lang w:eastAsia="ko-KR"/>
        </w:rPr>
        <w:t>to ensure robust model performance.</w:t>
      </w:r>
    </w:p>
    <w:p w14:paraId="71CCBCDB" w14:textId="77777777" w:rsidR="00B84BD6" w:rsidRPr="00334390" w:rsidRDefault="00B84BD6" w:rsidP="00890175">
      <w:pPr>
        <w:rPr>
          <w:rFonts w:ascii="Calibri" w:eastAsia="Malgun Gothic" w:hAnsi="Calibri" w:cs="Calibri"/>
          <w:iCs/>
          <w:lang w:eastAsia="ko-KR"/>
        </w:rPr>
      </w:pPr>
    </w:p>
    <w:p w14:paraId="60C1C481" w14:textId="415ABB02" w:rsidR="00601F7A" w:rsidRPr="00424FD8" w:rsidRDefault="00601F7A" w:rsidP="00601F7A">
      <w:pPr>
        <w:rPr>
          <w:rFonts w:eastAsia="Malgun Gothic"/>
          <w:b/>
          <w:bCs/>
          <w:lang w:eastAsia="ko-KR"/>
        </w:rPr>
      </w:pPr>
      <w:r w:rsidRPr="00424FD8">
        <w:rPr>
          <w:rFonts w:eastAsia="Malgun Gothic"/>
          <w:b/>
          <w:bCs/>
          <w:lang w:eastAsia="ko-KR"/>
        </w:rPr>
        <w:t>2.</w:t>
      </w:r>
      <w:r>
        <w:rPr>
          <w:rFonts w:eastAsia="Malgun Gothic" w:hint="eastAsia"/>
          <w:b/>
          <w:bCs/>
          <w:lang w:eastAsia="ko-KR"/>
        </w:rPr>
        <w:t>2.</w:t>
      </w:r>
      <w:r>
        <w:rPr>
          <w:rFonts w:eastAsia="Malgun Gothic"/>
          <w:b/>
          <w:bCs/>
          <w:lang w:eastAsia="ko-KR"/>
        </w:rPr>
        <w:t>3</w:t>
      </w:r>
      <w:r w:rsidRPr="00424FD8">
        <w:rPr>
          <w:rFonts w:eastAsia="Malgun Gothic"/>
          <w:b/>
          <w:bCs/>
          <w:lang w:eastAsia="ko-KR"/>
        </w:rPr>
        <w:t xml:space="preserve"> </w:t>
      </w:r>
      <w:r>
        <w:rPr>
          <w:rFonts w:eastAsia="Malgun Gothic"/>
          <w:b/>
          <w:bCs/>
          <w:lang w:eastAsia="ko-KR"/>
        </w:rPr>
        <w:t>Deep Learning Survival</w:t>
      </w:r>
      <w:r>
        <w:rPr>
          <w:rFonts w:eastAsia="Malgun Gothic" w:hint="eastAsia"/>
          <w:b/>
          <w:bCs/>
          <w:lang w:eastAsia="ko-KR"/>
        </w:rPr>
        <w:t xml:space="preserve"> Model</w:t>
      </w:r>
    </w:p>
    <w:p w14:paraId="501BE735" w14:textId="60A890DA" w:rsidR="00C52657" w:rsidRDefault="00B728E0" w:rsidP="00AB3D40">
      <w:pPr>
        <w:spacing w:line="240" w:lineRule="auto"/>
        <w:rPr>
          <w:color w:val="000000" w:themeColor="text1"/>
        </w:rPr>
      </w:pPr>
      <w:r>
        <w:rPr>
          <w:color w:val="000000" w:themeColor="text1"/>
        </w:rPr>
        <w:tab/>
      </w:r>
      <w:proofErr w:type="spellStart"/>
      <w:r w:rsidR="001A350B">
        <w:rPr>
          <w:color w:val="000000" w:themeColor="text1"/>
        </w:rPr>
        <w:t>DeepSurv</w:t>
      </w:r>
      <w:proofErr w:type="spellEnd"/>
      <w:r w:rsidR="001A350B">
        <w:rPr>
          <w:color w:val="000000" w:themeColor="text1"/>
        </w:rPr>
        <w:t xml:space="preserve"> (Katzman et al., 2018</w:t>
      </w:r>
      <w:proofErr w:type="gramStart"/>
      <w:r w:rsidR="001A350B">
        <w:rPr>
          <w:color w:val="000000" w:themeColor="text1"/>
        </w:rPr>
        <w:t>)</w:t>
      </w:r>
      <w:r w:rsidRPr="00B728E0">
        <w:rPr>
          <w:color w:val="000000" w:themeColor="text1"/>
        </w:rPr>
        <w:tab/>
      </w:r>
      <w:r w:rsidR="00501E12">
        <w:rPr>
          <w:color w:val="000000" w:themeColor="text1"/>
        </w:rPr>
        <w:t xml:space="preserve"> is</w:t>
      </w:r>
      <w:proofErr w:type="gramEnd"/>
      <w:r w:rsidR="00501E12">
        <w:rPr>
          <w:color w:val="000000" w:themeColor="text1"/>
        </w:rPr>
        <w:t xml:space="preserve"> a deep learning</w:t>
      </w:r>
      <w:r w:rsidR="00FC3910">
        <w:rPr>
          <w:color w:val="000000" w:themeColor="text1"/>
        </w:rPr>
        <w:t xml:space="preserve"> survival model that combines the principles of Cox regression with </w:t>
      </w:r>
      <w:r w:rsidR="0042280D">
        <w:rPr>
          <w:color w:val="000000" w:themeColor="text1"/>
        </w:rPr>
        <w:t>deep neural networks.</w:t>
      </w:r>
      <w:r w:rsidR="00CC5A77">
        <w:rPr>
          <w:color w:val="000000" w:themeColor="text1"/>
        </w:rPr>
        <w:t xml:space="preserve"> By learning complex nonlinear relationships and interactions among predictor var</w:t>
      </w:r>
      <w:r w:rsidR="000A199D">
        <w:rPr>
          <w:color w:val="000000" w:themeColor="text1"/>
        </w:rPr>
        <w:t xml:space="preserve">iables, </w:t>
      </w:r>
      <w:proofErr w:type="spellStart"/>
      <w:r w:rsidR="000A199D">
        <w:rPr>
          <w:color w:val="000000" w:themeColor="text1"/>
        </w:rPr>
        <w:t>DeepSurv</w:t>
      </w:r>
      <w:proofErr w:type="spellEnd"/>
      <w:r w:rsidR="000A199D">
        <w:rPr>
          <w:color w:val="000000" w:themeColor="text1"/>
        </w:rPr>
        <w:t xml:space="preserve"> extends the capabilities of traditional Cox PH models</w:t>
      </w:r>
      <w:r w:rsidR="00B266DE">
        <w:rPr>
          <w:color w:val="000000" w:themeColor="text1"/>
        </w:rPr>
        <w:t xml:space="preserve"> </w:t>
      </w:r>
      <w:r w:rsidR="00D62DBE">
        <w:rPr>
          <w:color w:val="000000" w:themeColor="text1"/>
        </w:rPr>
        <w:t xml:space="preserve">for </w:t>
      </w:r>
      <w:r w:rsidR="003D508B">
        <w:rPr>
          <w:color w:val="000000" w:themeColor="text1"/>
        </w:rPr>
        <w:t xml:space="preserve">personalized survival analysis </w:t>
      </w:r>
      <w:r w:rsidR="00D62DBE">
        <w:rPr>
          <w:color w:val="000000" w:themeColor="text1"/>
        </w:rPr>
        <w:t>and</w:t>
      </w:r>
      <w:r w:rsidR="003D508B">
        <w:rPr>
          <w:color w:val="000000" w:themeColor="text1"/>
        </w:rPr>
        <w:t xml:space="preserve"> treatment recommendations.</w:t>
      </w:r>
      <w:r w:rsidR="00D62DBE">
        <w:rPr>
          <w:color w:val="000000" w:themeColor="text1"/>
        </w:rPr>
        <w:t xml:space="preserve"> </w:t>
      </w:r>
      <w:r w:rsidR="00225D89">
        <w:rPr>
          <w:color w:val="000000" w:themeColor="text1"/>
        </w:rPr>
        <w:t xml:space="preserve">The goal is to model the hazard function for a patient </w:t>
      </w:r>
      <m:oMath>
        <m:r>
          <w:rPr>
            <w:rFonts w:ascii="Cambria Math" w:hAnsi="Cambria Math"/>
            <w:color w:val="000000" w:themeColor="text1"/>
          </w:rPr>
          <m:t>i</m:t>
        </m:r>
      </m:oMath>
      <w:r w:rsidR="00225D89">
        <w:rPr>
          <w:color w:val="000000" w:themeColor="text1"/>
        </w:rPr>
        <w:t xml:space="preserve"> as:</w:t>
      </w:r>
    </w:p>
    <w:p w14:paraId="120C8749" w14:textId="05AEB66B" w:rsidR="00FB2694" w:rsidRDefault="00FB2694" w:rsidP="00AB3D40">
      <w:pPr>
        <w:spacing w:line="240" w:lineRule="auto"/>
        <w:rPr>
          <w:color w:val="000000" w:themeColor="text1"/>
        </w:rPr>
      </w:pPr>
      <m:oMathPara>
        <m:oMath>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t</m:t>
              </m:r>
            </m:e>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d>
            <m:dPr>
              <m:ctrlPr>
                <w:rPr>
                  <w:rFonts w:ascii="Cambria Math" w:hAnsi="Cambria Math"/>
                  <w:i/>
                  <w:color w:val="000000" w:themeColor="text1"/>
                </w:rPr>
              </m:ctrlPr>
            </m:dPr>
            <m:e>
              <m:r>
                <w:rPr>
                  <w:rFonts w:ascii="Cambria Math" w:hAnsi="Cambria Math"/>
                  <w:color w:val="000000" w:themeColor="text1"/>
                </w:rPr>
                <m:t>t</m:t>
              </m:r>
            </m:e>
          </m:d>
          <m:func>
            <m:funcPr>
              <m:ctrlPr>
                <w:rPr>
                  <w:rFonts w:ascii="Cambria Math" w:hAnsi="Cambria Math"/>
                  <w:i/>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f</m:t>
                      </m:r>
                    </m:e>
                  </m:acc>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;θ</m:t>
                      </m:r>
                    </m:e>
                  </m:d>
                </m:e>
              </m:d>
              <m:r>
                <w:rPr>
                  <w:rFonts w:ascii="Cambria Math" w:hAnsi="Cambria Math"/>
                  <w:color w:val="000000" w:themeColor="text1"/>
                </w:rPr>
                <m:t>,</m:t>
              </m:r>
            </m:e>
          </m:func>
        </m:oMath>
      </m:oMathPara>
    </w:p>
    <w:p w14:paraId="7D4F85F2" w14:textId="6EC60BC5" w:rsidR="00BE5ACF" w:rsidRDefault="00BE5ACF" w:rsidP="00AB3D40">
      <w:pPr>
        <w:spacing w:line="240" w:lineRule="auto"/>
        <w:rPr>
          <w:color w:val="000000" w:themeColor="text1"/>
        </w:rPr>
      </w:pPr>
      <w:r>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d>
          <m:dPr>
            <m:ctrlPr>
              <w:rPr>
                <w:rFonts w:ascii="Cambria Math" w:hAnsi="Cambria Math"/>
                <w:i/>
                <w:color w:val="000000" w:themeColor="text1"/>
              </w:rPr>
            </m:ctrlPr>
          </m:dPr>
          <m:e>
            <m:r>
              <w:rPr>
                <w:rFonts w:ascii="Cambria Math" w:hAnsi="Cambria Math"/>
                <w:color w:val="000000" w:themeColor="text1"/>
              </w:rPr>
              <m:t>t</m:t>
            </m:r>
          </m:e>
        </m:d>
      </m:oMath>
      <w:r w:rsidR="00992F92">
        <w:rPr>
          <w:color w:val="000000" w:themeColor="text1"/>
        </w:rPr>
        <w:t xml:space="preserve"> is the baseline hazard, and </w:t>
      </w:r>
      <m:oMath>
        <m:acc>
          <m:accPr>
            <m:ctrlPr>
              <w:rPr>
                <w:rFonts w:ascii="Cambria Math" w:hAnsi="Cambria Math"/>
                <w:i/>
                <w:color w:val="000000" w:themeColor="text1"/>
              </w:rPr>
            </m:ctrlPr>
          </m:accPr>
          <m:e>
            <m:r>
              <w:rPr>
                <w:rFonts w:ascii="Cambria Math" w:hAnsi="Cambria Math"/>
                <w:color w:val="000000" w:themeColor="text1"/>
              </w:rPr>
              <m:t>f</m:t>
            </m:r>
          </m:e>
        </m:acc>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;θ</m:t>
            </m:r>
          </m:e>
        </m:d>
      </m:oMath>
      <w:r w:rsidR="00992F92">
        <w:rPr>
          <w:color w:val="000000" w:themeColor="text1"/>
        </w:rPr>
        <w:t xml:space="preserve"> is </w:t>
      </w:r>
      <w:r w:rsidR="0092088F">
        <w:rPr>
          <w:color w:val="000000" w:themeColor="text1"/>
        </w:rPr>
        <w:t xml:space="preserve">log hazard ratio predicted by the </w:t>
      </w:r>
      <w:r w:rsidR="00992F92">
        <w:rPr>
          <w:color w:val="000000" w:themeColor="text1"/>
        </w:rPr>
        <w:t xml:space="preserve">neural network </w:t>
      </w:r>
      <w:r w:rsidR="00E4648D">
        <w:rPr>
          <w:color w:val="000000" w:themeColor="text1"/>
        </w:rPr>
        <w:t xml:space="preserve">with weight parameters </w:t>
      </w:r>
      <m:oMath>
        <m:r>
          <w:rPr>
            <w:rFonts w:ascii="Cambria Math" w:hAnsi="Cambria Math"/>
            <w:color w:val="000000" w:themeColor="text1"/>
          </w:rPr>
          <m:t>θ</m:t>
        </m:r>
      </m:oMath>
      <w:r w:rsidR="001A2E70">
        <w:rPr>
          <w:color w:val="000000" w:themeColor="text1"/>
        </w:rPr>
        <w:t>.</w:t>
      </w:r>
    </w:p>
    <w:p w14:paraId="7AA05299" w14:textId="23F9618B" w:rsidR="00B94E92" w:rsidRDefault="00B94E92" w:rsidP="00B94E92">
      <w:pPr>
        <w:spacing w:line="240" w:lineRule="auto"/>
        <w:rPr>
          <w:color w:val="000000" w:themeColor="text1"/>
        </w:rPr>
      </w:pPr>
      <w:r>
        <w:rPr>
          <w:color w:val="000000" w:themeColor="text1"/>
        </w:rPr>
        <w:tab/>
      </w:r>
      <w:r w:rsidR="00DB574A">
        <w:rPr>
          <w:color w:val="000000" w:themeColor="text1"/>
        </w:rPr>
        <w:t xml:space="preserve">The </w:t>
      </w:r>
      <w:proofErr w:type="spellStart"/>
      <w:r w:rsidR="00DB574A">
        <w:rPr>
          <w:color w:val="000000" w:themeColor="text1"/>
        </w:rPr>
        <w:t>Dee</w:t>
      </w:r>
      <w:r w:rsidR="000E515E">
        <w:rPr>
          <w:color w:val="000000" w:themeColor="text1"/>
        </w:rPr>
        <w:t>p</w:t>
      </w:r>
      <w:r w:rsidR="00DB574A">
        <w:rPr>
          <w:color w:val="000000" w:themeColor="text1"/>
        </w:rPr>
        <w:t>Surv</w:t>
      </w:r>
      <w:proofErr w:type="spellEnd"/>
      <w:r w:rsidR="00DB574A">
        <w:rPr>
          <w:color w:val="000000" w:themeColor="text1"/>
        </w:rPr>
        <w:t xml:space="preserve"> model utilizes a feedforward neural network (FNN) to predict the log hazard ratio, </w:t>
      </w: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;θ</m:t>
            </m:r>
          </m:e>
        </m:d>
      </m:oMath>
      <w:r w:rsidR="00DB574A">
        <w:rPr>
          <w:color w:val="000000" w:themeColor="text1"/>
        </w:rPr>
        <w:t xml:space="preserve">, </w:t>
      </w:r>
      <w:r w:rsidR="00CD6DE9">
        <w:rPr>
          <w:color w:val="000000" w:themeColor="text1"/>
        </w:rPr>
        <w:t xml:space="preserve">for each patient. The network </w:t>
      </w:r>
      <w:r w:rsidR="009571C2">
        <w:rPr>
          <w:color w:val="000000" w:themeColor="text1"/>
        </w:rPr>
        <w:t xml:space="preserve">architecture consists of an input layer, hidden layers and output </w:t>
      </w:r>
      <w:r w:rsidR="009571C2">
        <w:rPr>
          <w:color w:val="000000" w:themeColor="text1"/>
        </w:rPr>
        <w:lastRenderedPageBreak/>
        <w:t>layer.</w:t>
      </w:r>
      <w:r w:rsidR="005E3BDB">
        <w:rPr>
          <w:color w:val="000000" w:themeColor="text1"/>
        </w:rPr>
        <w:t xml:space="preserve"> Some dropout layers and </w:t>
      </w:r>
      <w:proofErr w:type="gramStart"/>
      <w:r w:rsidR="005E3BDB">
        <w:rPr>
          <w:color w:val="000000" w:themeColor="text1"/>
        </w:rPr>
        <w:t>a regularization</w:t>
      </w:r>
      <w:proofErr w:type="gramEnd"/>
      <w:r w:rsidR="005E3BDB">
        <w:rPr>
          <w:color w:val="000000" w:themeColor="text1"/>
        </w:rPr>
        <w:t xml:space="preserve"> are</w:t>
      </w:r>
      <w:r w:rsidR="00FA7D07">
        <w:rPr>
          <w:color w:val="000000" w:themeColor="text1"/>
        </w:rPr>
        <w:t xml:space="preserve"> employed to prevent overfitting and improve generalization. The input layer takes the </w:t>
      </w:r>
      <w:r w:rsidR="0047348E">
        <w:rPr>
          <w:color w:val="000000" w:themeColor="text1"/>
        </w:rPr>
        <w:t xml:space="preserve">patient-specific </w:t>
      </w:r>
      <w:r w:rsidR="00FA7D07">
        <w:rPr>
          <w:color w:val="000000" w:themeColor="text1"/>
        </w:rPr>
        <w:t xml:space="preserve">covariate vector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oMath>
      <w:r w:rsidR="00FA7D07">
        <w:rPr>
          <w:color w:val="000000" w:themeColor="text1"/>
        </w:rPr>
        <w:t xml:space="preserve"> as input.</w:t>
      </w:r>
      <w:r w:rsidR="006F1387">
        <w:rPr>
          <w:color w:val="000000" w:themeColor="text1"/>
        </w:rPr>
        <w:t xml:space="preserve"> </w:t>
      </w:r>
      <w:r w:rsidR="000564C6">
        <w:rPr>
          <w:color w:val="000000" w:themeColor="text1"/>
        </w:rPr>
        <w:t>One or more</w:t>
      </w:r>
      <w:r w:rsidR="006F1387">
        <w:rPr>
          <w:color w:val="000000" w:themeColor="text1"/>
        </w:rPr>
        <w:t xml:space="preserve"> fully connected hidden layers with nonlinear activation functions </w:t>
      </w:r>
      <w:r w:rsidR="00E965BE">
        <w:rPr>
          <w:color w:val="000000" w:themeColor="text1"/>
        </w:rPr>
        <w:t>are used to capture complex interactions and nonlinear relationships between predictors. A single output node</w:t>
      </w:r>
      <w:r w:rsidR="00CE57FB">
        <w:rPr>
          <w:color w:val="000000" w:themeColor="text1"/>
        </w:rPr>
        <w:t>,</w:t>
      </w:r>
      <w:r w:rsidR="00E965BE">
        <w:rPr>
          <w:color w:val="000000" w:themeColor="text1"/>
        </w:rPr>
        <w:t xml:space="preserve"> without </w:t>
      </w:r>
      <w:r w:rsidR="00086797">
        <w:rPr>
          <w:color w:val="000000" w:themeColor="text1"/>
        </w:rPr>
        <w:t>activation</w:t>
      </w:r>
      <w:r w:rsidR="00CE57FB">
        <w:rPr>
          <w:color w:val="000000" w:themeColor="text1"/>
        </w:rPr>
        <w:t xml:space="preserve"> function,</w:t>
      </w:r>
      <w:r w:rsidR="00DF2014">
        <w:rPr>
          <w:color w:val="000000" w:themeColor="text1"/>
        </w:rPr>
        <w:t xml:space="preserve"> predicts the log hazard ratio.</w:t>
      </w:r>
      <w:r w:rsidR="00831B08">
        <w:rPr>
          <w:color w:val="000000" w:themeColor="text1"/>
        </w:rPr>
        <w:t xml:space="preserve"> Figure 1 shows an example of </w:t>
      </w:r>
      <w:proofErr w:type="spellStart"/>
      <w:r w:rsidR="00831B08">
        <w:rPr>
          <w:color w:val="000000" w:themeColor="text1"/>
        </w:rPr>
        <w:t>DeepSurv</w:t>
      </w:r>
      <w:proofErr w:type="spellEnd"/>
      <w:r w:rsidR="00831B08">
        <w:rPr>
          <w:color w:val="000000" w:themeColor="text1"/>
        </w:rPr>
        <w:t xml:space="preserve"> with 32 input units, 2 hidden layers with 8 and 4 units, respectively, and output layer.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1B08" w14:paraId="39B12096" w14:textId="77777777" w:rsidTr="00284365">
        <w:tc>
          <w:tcPr>
            <w:tcW w:w="9350" w:type="dxa"/>
          </w:tcPr>
          <w:p w14:paraId="24966BC5" w14:textId="38811AEB" w:rsidR="00831B08" w:rsidRDefault="00831B08" w:rsidP="00831B08">
            <w:pPr>
              <w:jc w:val="center"/>
              <w:rPr>
                <w:color w:val="000000" w:themeColor="text1"/>
              </w:rPr>
            </w:pPr>
            <w:r>
              <w:rPr>
                <w:noProof/>
                <w:color w:val="000000" w:themeColor="text1"/>
              </w:rPr>
              <w:drawing>
                <wp:inline distT="0" distB="0" distL="0" distR="0" wp14:anchorId="4BF28E00" wp14:editId="3CDE7DC1">
                  <wp:extent cx="4396387" cy="3270048"/>
                  <wp:effectExtent l="0" t="0" r="4445" b="6985"/>
                  <wp:docPr id="8443696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69627" name="Picture 1" descr="A diagram of a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8486" cy="3279047"/>
                          </a:xfrm>
                          <a:prstGeom prst="rect">
                            <a:avLst/>
                          </a:prstGeom>
                        </pic:spPr>
                      </pic:pic>
                    </a:graphicData>
                  </a:graphic>
                </wp:inline>
              </w:drawing>
            </w:r>
          </w:p>
        </w:tc>
      </w:tr>
      <w:tr w:rsidR="00831B08" w14:paraId="2330B40C" w14:textId="77777777" w:rsidTr="00284365">
        <w:tc>
          <w:tcPr>
            <w:tcW w:w="9350" w:type="dxa"/>
          </w:tcPr>
          <w:p w14:paraId="5B3BE0EC" w14:textId="74AB7450" w:rsidR="00831B08" w:rsidRDefault="00831B08" w:rsidP="00B94E92">
            <w:pPr>
              <w:rPr>
                <w:color w:val="000000" w:themeColor="text1"/>
              </w:rPr>
            </w:pPr>
            <w:r>
              <w:rPr>
                <w:color w:val="000000" w:themeColor="text1"/>
              </w:rPr>
              <w:t xml:space="preserve">Figure 1. </w:t>
            </w:r>
            <w:r w:rsidR="002F5E9E">
              <w:rPr>
                <w:color w:val="000000" w:themeColor="text1"/>
              </w:rPr>
              <w:t xml:space="preserve">An example of </w:t>
            </w:r>
            <w:proofErr w:type="spellStart"/>
            <w:r w:rsidR="002F5E9E">
              <w:rPr>
                <w:color w:val="000000" w:themeColor="text1"/>
              </w:rPr>
              <w:t>DeepSurv</w:t>
            </w:r>
            <w:proofErr w:type="spellEnd"/>
            <w:r w:rsidR="002F5E9E">
              <w:rPr>
                <w:color w:val="000000" w:themeColor="text1"/>
              </w:rPr>
              <w:t xml:space="preserve"> architecture with </w:t>
            </w:r>
            <w:r w:rsidR="00284365">
              <w:rPr>
                <w:color w:val="000000" w:themeColor="text1"/>
              </w:rPr>
              <w:t>two hidden layers.</w:t>
            </w:r>
          </w:p>
        </w:tc>
      </w:tr>
    </w:tbl>
    <w:p w14:paraId="29B0A4BA" w14:textId="77777777" w:rsidR="00831B08" w:rsidRDefault="00831B08" w:rsidP="00B94E92">
      <w:pPr>
        <w:spacing w:line="240" w:lineRule="auto"/>
        <w:rPr>
          <w:color w:val="000000" w:themeColor="text1"/>
        </w:rPr>
      </w:pPr>
    </w:p>
    <w:p w14:paraId="15BB011D" w14:textId="062F12E2" w:rsidR="009327BC" w:rsidRPr="006A22E4" w:rsidRDefault="00DF2014" w:rsidP="00B94E92">
      <w:pPr>
        <w:spacing w:line="240" w:lineRule="auto"/>
        <w:rPr>
          <w:color w:val="000000" w:themeColor="text1"/>
        </w:rPr>
      </w:pPr>
      <w:r>
        <w:rPr>
          <w:color w:val="000000" w:themeColor="text1"/>
        </w:rPr>
        <w:tab/>
      </w:r>
      <w:r w:rsidR="00AE5980">
        <w:rPr>
          <w:color w:val="000000" w:themeColor="text1"/>
        </w:rPr>
        <w:t xml:space="preserve">The loss function </w:t>
      </w:r>
      <w:r w:rsidR="00B15A7E">
        <w:rPr>
          <w:color w:val="000000" w:themeColor="text1"/>
        </w:rPr>
        <w:t xml:space="preserve">in </w:t>
      </w:r>
      <w:proofErr w:type="spellStart"/>
      <w:r w:rsidR="00B15A7E">
        <w:rPr>
          <w:color w:val="000000" w:themeColor="text1"/>
        </w:rPr>
        <w:t>DeepSurv</w:t>
      </w:r>
      <w:proofErr w:type="spellEnd"/>
      <w:r w:rsidR="00B15A7E">
        <w:rPr>
          <w:color w:val="000000" w:themeColor="text1"/>
        </w:rPr>
        <w:t xml:space="preserve"> can be derived from the negative partial likelihood of the Cox regression model as equation (1) in Section 2.2.1</w:t>
      </w:r>
      <w:r w:rsidR="00CE334C">
        <w:rPr>
          <w:color w:val="000000" w:themeColor="text1"/>
        </w:rPr>
        <w:t xml:space="preserve">, which is adapted to </w:t>
      </w:r>
      <w:r w:rsidR="00350C87">
        <w:rPr>
          <w:color w:val="000000" w:themeColor="text1"/>
        </w:rPr>
        <w:t xml:space="preserve">train the deep neural network. </w:t>
      </w:r>
      <w:r w:rsidR="009327BC">
        <w:rPr>
          <w:color w:val="000000" w:themeColor="text1"/>
        </w:rPr>
        <w:t>The partial likelihood focuses on the relative risk among individuals without modeling the baseline hazard function.</w:t>
      </w:r>
      <w:r w:rsidR="00FE409B">
        <w:rPr>
          <w:color w:val="000000" w:themeColor="text1"/>
        </w:rPr>
        <w:t xml:space="preserve"> Taking the </w:t>
      </w:r>
      <w:r w:rsidR="00891C54">
        <w:rPr>
          <w:color w:val="000000" w:themeColor="text1"/>
        </w:rPr>
        <w:t>logarithm gives the partial log-likelihood</w:t>
      </w:r>
      <w:r w:rsidR="006A22E4">
        <w:rPr>
          <w:color w:val="000000" w:themeColor="text1"/>
        </w:rPr>
        <w:t xml:space="preserve"> </w:t>
      </w:r>
      <m:oMath>
        <m:r>
          <m:rPr>
            <m:scr m:val="script"/>
          </m:rP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oMath>
    </w:p>
    <w:p w14:paraId="00717277" w14:textId="7FBEEB73" w:rsidR="006A22E4" w:rsidRPr="00377E31" w:rsidRDefault="006A22E4" w:rsidP="00B94E92">
      <w:pPr>
        <w:spacing w:line="240" w:lineRule="auto"/>
        <w:rPr>
          <w:color w:val="000000" w:themeColor="text1"/>
        </w:rPr>
      </w:pPr>
      <m:oMathPara>
        <m:oMath>
          <m:r>
            <m:rPr>
              <m:scr m:val="script"/>
            </m:rP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i∈D</m:t>
              </m:r>
            </m:sub>
            <m:sup/>
            <m:e>
              <m:d>
                <m:dPr>
                  <m:ctrlPr>
                    <w:rPr>
                      <w:rFonts w:ascii="Cambria Math" w:eastAsia="Malgun Gothic" w:hAnsi="Cambria Math"/>
                      <w:i/>
                      <w:lang w:eastAsia="ko-KR"/>
                    </w:rPr>
                  </m:ctrlPr>
                </m:dPr>
                <m:e>
                  <m:acc>
                    <m:accPr>
                      <m:ctrlPr>
                        <w:rPr>
                          <w:rFonts w:ascii="Cambria Math" w:hAnsi="Cambria Math"/>
                          <w:i/>
                          <w:color w:val="000000" w:themeColor="text1"/>
                        </w:rPr>
                      </m:ctrlPr>
                    </m:accPr>
                    <m:e>
                      <m:r>
                        <w:rPr>
                          <w:rFonts w:ascii="Cambria Math" w:hAnsi="Cambria Math"/>
                          <w:color w:val="000000" w:themeColor="text1"/>
                        </w:rPr>
                        <m:t>f</m:t>
                      </m:r>
                    </m:e>
                  </m:acc>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;θ</m:t>
                      </m:r>
                    </m:e>
                  </m:d>
                  <m:r>
                    <m:rPr>
                      <m:sty m:val="bi"/>
                    </m:rPr>
                    <w:rPr>
                      <w:rFonts w:ascii="Cambria Math" w:eastAsia="Malgun Gothic" w:hAnsi="Cambria Math"/>
                      <w:lang w:eastAsia="ko-KR"/>
                    </w:rPr>
                    <m:t>-</m:t>
                  </m:r>
                  <m:func>
                    <m:funcPr>
                      <m:ctrlPr>
                        <w:rPr>
                          <w:rFonts w:ascii="Cambria Math" w:eastAsia="Malgun Gothic" w:hAnsi="Cambria Math"/>
                          <w:i/>
                          <w:lang w:eastAsia="ko-KR"/>
                        </w:rPr>
                      </m:ctrlPr>
                    </m:funcPr>
                    <m:fName>
                      <m:r>
                        <m:rPr>
                          <m:sty m:val="p"/>
                        </m:rPr>
                        <w:rPr>
                          <w:rFonts w:ascii="Cambria Math" w:eastAsia="Malgun Gothic" w:hAnsi="Cambria Math"/>
                          <w:lang w:eastAsia="ko-KR"/>
                        </w:rPr>
                        <m:t>log</m:t>
                      </m:r>
                      <m:ctrlPr>
                        <w:rPr>
                          <w:rFonts w:ascii="Cambria Math" w:eastAsia="Malgun Gothic" w:hAnsi="Cambria Math"/>
                          <w:b/>
                          <w:bCs/>
                          <w:i/>
                          <w:lang w:eastAsia="ko-KR"/>
                        </w:rPr>
                      </m:ctrlPr>
                    </m:fName>
                    <m:e>
                      <m:nary>
                        <m:naryPr>
                          <m:chr m:val="∑"/>
                          <m:limLoc m:val="undOvr"/>
                          <m:supHide m:val="1"/>
                          <m:ctrlPr>
                            <w:rPr>
                              <w:rFonts w:ascii="Cambria Math" w:eastAsia="Malgun Gothic" w:hAnsi="Cambria Math"/>
                              <w:b/>
                              <w:bCs/>
                              <w:i/>
                              <w:lang w:eastAsia="ko-KR"/>
                            </w:rPr>
                          </m:ctrlPr>
                        </m:naryPr>
                        <m:sub>
                          <m:r>
                            <w:rPr>
                              <w:rFonts w:ascii="Cambria Math" w:eastAsia="Malgun Gothic" w:hAnsi="Cambria Math"/>
                              <w:lang w:eastAsia="ko-KR"/>
                            </w:rPr>
                            <m:t>j∈</m:t>
                          </m:r>
                          <m:sSub>
                            <m:sSubPr>
                              <m:ctrlPr>
                                <w:rPr>
                                  <w:rFonts w:ascii="Cambria Math" w:eastAsia="Malgun Gothic" w:hAnsi="Cambria Math"/>
                                  <w:i/>
                                  <w:lang w:eastAsia="ko-KR"/>
                                </w:rPr>
                              </m:ctrlPr>
                            </m:sSubPr>
                            <m:e>
                              <m:r>
                                <m:rPr>
                                  <m:scr m:val="script"/>
                                </m:rPr>
                                <w:rPr>
                                  <w:rFonts w:ascii="Cambria Math" w:eastAsia="Malgun Gothic" w:hAnsi="Cambria Math"/>
                                  <w:lang w:eastAsia="ko-KR"/>
                                </w:rPr>
                                <m:t>R</m:t>
                              </m:r>
                            </m:e>
                            <m:sub>
                              <m:r>
                                <w:rPr>
                                  <w:rFonts w:ascii="Cambria Math" w:eastAsia="Malgun Gothic" w:hAnsi="Cambria Math"/>
                                  <w:lang w:eastAsia="ko-KR"/>
                                </w:rPr>
                                <m:t>i</m:t>
                              </m:r>
                            </m:sub>
                          </m:sSub>
                        </m:sub>
                        <m:sup/>
                        <m:e>
                          <m:func>
                            <m:funcPr>
                              <m:ctrlPr>
                                <w:rPr>
                                  <w:rFonts w:ascii="Cambria Math" w:eastAsia="Malgun Gothic" w:hAnsi="Cambria Math"/>
                                  <w:i/>
                                  <w:lang w:eastAsia="ko-KR"/>
                                </w:rPr>
                              </m:ctrlPr>
                            </m:funcPr>
                            <m:fName>
                              <m:r>
                                <m:rPr>
                                  <m:sty m:val="p"/>
                                </m:rPr>
                                <w:rPr>
                                  <w:rFonts w:ascii="Cambria Math" w:eastAsia="Malgun Gothic" w:hAnsi="Cambria Math"/>
                                  <w:lang w:eastAsia="ko-KR"/>
                                </w:rPr>
                                <m:t>exp</m:t>
                              </m:r>
                            </m:fName>
                            <m:e>
                              <m:r>
                                <w:rPr>
                                  <w:rFonts w:ascii="Cambria Math" w:eastAsia="Malgun Gothic" w:hAnsi="Cambria Math"/>
                                  <w:lang w:eastAsia="ko-KR"/>
                                </w:rPr>
                                <m:t>(</m:t>
                              </m:r>
                              <m:acc>
                                <m:accPr>
                                  <m:ctrlPr>
                                    <w:rPr>
                                      <w:rFonts w:ascii="Cambria Math" w:hAnsi="Cambria Math"/>
                                      <w:i/>
                                      <w:color w:val="000000" w:themeColor="text1"/>
                                    </w:rPr>
                                  </m:ctrlPr>
                                </m:accPr>
                                <m:e>
                                  <m:r>
                                    <w:rPr>
                                      <w:rFonts w:ascii="Cambria Math" w:hAnsi="Cambria Math"/>
                                      <w:color w:val="000000" w:themeColor="text1"/>
                                    </w:rPr>
                                    <m:t>f</m:t>
                                  </m:r>
                                </m:e>
                              </m:acc>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;θ</m:t>
                                  </m:r>
                                </m:e>
                              </m:d>
                            </m:e>
                          </m:func>
                        </m:e>
                      </m:nary>
                    </m:e>
                  </m:func>
                  <m:r>
                    <w:rPr>
                      <w:rFonts w:ascii="Cambria Math" w:eastAsia="Malgun Gothic" w:hAnsi="Cambria Math"/>
                      <w:lang w:eastAsia="ko-KR"/>
                    </w:rPr>
                    <m:t>)</m:t>
                  </m:r>
                </m:e>
              </m:d>
            </m:e>
          </m:nary>
          <m:r>
            <w:rPr>
              <w:rFonts w:ascii="Cambria Math" w:hAnsi="Cambria Math"/>
              <w:color w:val="000000" w:themeColor="text1"/>
            </w:rPr>
            <m:t>,</m:t>
          </m:r>
        </m:oMath>
      </m:oMathPara>
    </w:p>
    <w:p w14:paraId="66DC5726" w14:textId="1EEDE83F" w:rsidR="00D238DF" w:rsidRPr="00D238DF" w:rsidRDefault="00377E31" w:rsidP="00B94E92">
      <w:pPr>
        <w:spacing w:line="240" w:lineRule="auto"/>
        <w:rPr>
          <w:lang w:eastAsia="ko-KR"/>
        </w:rPr>
      </w:pPr>
      <w:r>
        <w:rPr>
          <w:color w:val="000000" w:themeColor="text1"/>
        </w:rPr>
        <w:t xml:space="preserve">where </w:t>
      </w:r>
      <m:oMath>
        <m:r>
          <w:rPr>
            <w:rFonts w:ascii="Cambria Math" w:hAnsi="Cambria Math"/>
            <w:color w:val="000000" w:themeColor="text1"/>
          </w:rPr>
          <m:t>D</m:t>
        </m:r>
      </m:oMath>
      <w:r>
        <w:rPr>
          <w:color w:val="000000" w:themeColor="text1"/>
        </w:rPr>
        <w:t xml:space="preserve"> is a set of individuals who experienced the event</w:t>
      </w:r>
      <w:r w:rsidR="004D01C4">
        <w:rPr>
          <w:color w:val="000000" w:themeColor="text1"/>
        </w:rPr>
        <w:t xml:space="preserve"> and </w:t>
      </w:r>
      <m:oMath>
        <m:sSub>
          <m:sSubPr>
            <m:ctrlPr>
              <w:rPr>
                <w:rFonts w:ascii="Cambria Math" w:eastAsia="Malgun Gothic" w:hAnsi="Cambria Math"/>
                <w:i/>
                <w:lang w:eastAsia="ko-KR"/>
              </w:rPr>
            </m:ctrlPr>
          </m:sSubPr>
          <m:e>
            <m:r>
              <m:rPr>
                <m:scr m:val="script"/>
              </m:rPr>
              <w:rPr>
                <w:rFonts w:ascii="Cambria Math" w:eastAsia="Malgun Gothic" w:hAnsi="Cambria Math"/>
                <w:lang w:eastAsia="ko-KR"/>
              </w:rPr>
              <m:t>R</m:t>
            </m:r>
          </m:e>
          <m:sub>
            <m:r>
              <w:rPr>
                <w:rFonts w:ascii="Cambria Math" w:eastAsia="Malgun Gothic" w:hAnsi="Cambria Math"/>
                <w:lang w:eastAsia="ko-KR"/>
              </w:rPr>
              <m:t>i</m:t>
            </m:r>
          </m:sub>
        </m:sSub>
      </m:oMath>
      <w:r w:rsidR="004D01C4">
        <w:rPr>
          <w:lang w:eastAsia="ko-KR"/>
        </w:rPr>
        <w:t xml:space="preserve"> is </w:t>
      </w:r>
      <w:r w:rsidR="002D7900">
        <w:rPr>
          <w:lang w:eastAsia="ko-KR"/>
        </w:rPr>
        <w:t xml:space="preserve">individuals still at risk </w:t>
      </w:r>
      <w:r w:rsidR="004D01C4">
        <w:rPr>
          <w:lang w:eastAsia="ko-KR"/>
        </w:rPr>
        <w:t xml:space="preserve">at time </w:t>
      </w:r>
      <m:oMath>
        <m:sSub>
          <m:sSubPr>
            <m:ctrlPr>
              <w:rPr>
                <w:rFonts w:ascii="Cambria Math" w:hAnsi="Cambria Math"/>
                <w:i/>
                <w:lang w:eastAsia="ko-KR"/>
              </w:rPr>
            </m:ctrlPr>
          </m:sSubPr>
          <m:e>
            <m:r>
              <w:rPr>
                <w:rFonts w:ascii="Cambria Math" w:hAnsi="Cambria Math"/>
                <w:lang w:eastAsia="ko-KR"/>
              </w:rPr>
              <m:t>T</m:t>
            </m:r>
          </m:e>
          <m:sub>
            <m:r>
              <w:rPr>
                <w:rFonts w:ascii="Cambria Math" w:hAnsi="Cambria Math"/>
                <w:lang w:eastAsia="ko-KR"/>
              </w:rPr>
              <m:t>i</m:t>
            </m:r>
          </m:sub>
        </m:sSub>
      </m:oMath>
      <w:r w:rsidR="002D7900">
        <w:rPr>
          <w:lang w:eastAsia="ko-KR"/>
        </w:rPr>
        <w:t>.</w:t>
      </w:r>
      <w:r w:rsidR="00D238DF">
        <w:rPr>
          <w:lang w:eastAsia="ko-KR"/>
        </w:rPr>
        <w:t xml:space="preserve"> </w:t>
      </w:r>
      <w:r w:rsidR="004317BB">
        <w:rPr>
          <w:lang w:eastAsia="ko-KR"/>
        </w:rPr>
        <w:t>To define a loss function for optimization, we minimize the negative partial log-likelihood</w:t>
      </w:r>
      <w:r w:rsidR="00672F61">
        <w:rPr>
          <w:lang w:eastAsia="ko-KR"/>
        </w:rPr>
        <w:t>,</w:t>
      </w:r>
      <w:r w:rsidR="008D3FC5">
        <w:rPr>
          <w:lang w:eastAsia="ko-KR"/>
        </w:rPr>
        <w:t xml:space="preserve"> </w:t>
      </w:r>
      <m:oMath>
        <m:r>
          <w:rPr>
            <w:rFonts w:ascii="Cambria Math" w:hAnsi="Cambria Math"/>
            <w:lang w:eastAsia="ko-KR"/>
          </w:rPr>
          <m:t>L</m:t>
        </m:r>
        <m:d>
          <m:dPr>
            <m:ctrlPr>
              <w:rPr>
                <w:rFonts w:ascii="Cambria Math" w:hAnsi="Cambria Math"/>
                <w:i/>
                <w:lang w:eastAsia="ko-KR"/>
              </w:rPr>
            </m:ctrlPr>
          </m:dPr>
          <m:e>
            <m:r>
              <w:rPr>
                <w:rFonts w:ascii="Cambria Math" w:hAnsi="Cambria Math"/>
                <w:lang w:eastAsia="ko-KR"/>
              </w:rPr>
              <m:t>θ</m:t>
            </m:r>
          </m:e>
        </m:d>
        <m:r>
          <m:rPr>
            <m:scr m:val="script"/>
          </m:rPr>
          <w:rPr>
            <w:rFonts w:ascii="Cambria Math" w:hAnsi="Cambria Math"/>
            <w:lang w:eastAsia="ko-KR"/>
          </w:rPr>
          <m:t>=-l</m:t>
        </m:r>
        <m:d>
          <m:dPr>
            <m:ctrlPr>
              <w:rPr>
                <w:rFonts w:ascii="Cambria Math" w:hAnsi="Cambria Math"/>
                <w:i/>
                <w:lang w:eastAsia="ko-KR"/>
              </w:rPr>
            </m:ctrlPr>
          </m:dPr>
          <m:e>
            <m:r>
              <w:rPr>
                <w:rFonts w:ascii="Cambria Math" w:hAnsi="Cambria Math"/>
                <w:lang w:eastAsia="ko-KR"/>
              </w:rPr>
              <m:t>θ</m:t>
            </m:r>
          </m:e>
        </m:d>
      </m:oMath>
      <w:r w:rsidR="00D238DF">
        <w:rPr>
          <w:lang w:eastAsia="ko-KR"/>
        </w:rPr>
        <w:t>.</w:t>
      </w:r>
    </w:p>
    <w:p w14:paraId="76A9E01E" w14:textId="4CE204A3" w:rsidR="00101441" w:rsidRDefault="00350C87" w:rsidP="00101441">
      <w:pPr>
        <w:spacing w:line="240" w:lineRule="auto"/>
        <w:ind w:firstLine="720"/>
        <w:rPr>
          <w:color w:val="000000" w:themeColor="text1"/>
        </w:rPr>
      </w:pPr>
      <w:r>
        <w:rPr>
          <w:color w:val="000000" w:themeColor="text1"/>
        </w:rPr>
        <w:t xml:space="preserve">To improve the generalization and stability of the model, elastic net </w:t>
      </w:r>
      <w:r w:rsidR="00EC7C8B">
        <w:rPr>
          <w:color w:val="000000" w:themeColor="text1"/>
        </w:rPr>
        <w:t>regularization</w:t>
      </w:r>
      <w:r w:rsidR="00C5768B">
        <w:rPr>
          <w:color w:val="000000" w:themeColor="text1"/>
        </w:rPr>
        <w:t xml:space="preserve"> </w:t>
      </w:r>
      <m:oMath>
        <m:r>
          <w:rPr>
            <w:rFonts w:ascii="Cambria Math" w:hAnsi="Cambria Math"/>
            <w:color w:val="000000" w:themeColor="text1"/>
          </w:rPr>
          <m:t>R(θ)</m:t>
        </m:r>
      </m:oMath>
      <w:r w:rsidR="00EC7C8B">
        <w:rPr>
          <w:color w:val="000000" w:themeColor="text1"/>
        </w:rPr>
        <w:t xml:space="preserve"> is incorporated into the loss function</w:t>
      </w:r>
      <w:r w:rsidR="00C5768B">
        <w:rPr>
          <w:color w:val="000000" w:themeColor="text1"/>
        </w:rPr>
        <w:t xml:space="preserve">, where </w:t>
      </w:r>
      <m:oMath>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1</m:t>
            </m:r>
          </m:sub>
        </m:sSub>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r>
                  <w:rPr>
                    <w:rFonts w:ascii="Cambria Math" w:hAnsi="Cambria Math"/>
                    <w:color w:val="000000" w:themeColor="text1"/>
                  </w:rPr>
                  <m:t>θ</m:t>
                </m:r>
              </m:e>
            </m:d>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2</m:t>
            </m:r>
          </m:sub>
        </m:sSub>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r>
                  <w:rPr>
                    <w:rFonts w:ascii="Cambria Math" w:hAnsi="Cambria Math"/>
                    <w:color w:val="000000" w:themeColor="text1"/>
                  </w:rPr>
                  <m:t>θ</m:t>
                </m:r>
              </m:e>
            </m:d>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m:t>
        </m:r>
      </m:oMath>
      <w:r w:rsidR="0067521B">
        <w:rPr>
          <w:color w:val="000000" w:themeColor="text1"/>
        </w:rPr>
        <w:t xml:space="preserve"> where </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1</m:t>
            </m:r>
          </m:sub>
        </m:sSub>
      </m:oMath>
      <w:r w:rsidR="0067521B">
        <w:rPr>
          <w:color w:val="000000" w:themeColor="text1"/>
        </w:rPr>
        <w:t xml:space="preserve"> controls the sparsity of the model</w:t>
      </w:r>
      <w:r w:rsidR="00101441">
        <w:rPr>
          <w:color w:val="000000" w:themeColor="text1"/>
        </w:rPr>
        <w:t xml:space="preserve"> by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sidR="00101441">
        <w:rPr>
          <w:color w:val="000000" w:themeColor="text1"/>
        </w:rPr>
        <w:t xml:space="preserve"> regularization, and </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2</m:t>
            </m:r>
          </m:sub>
        </m:sSub>
      </m:oMath>
      <w:r w:rsidR="00101441">
        <w:rPr>
          <w:color w:val="000000" w:themeColor="text1"/>
        </w:rPr>
        <w:t xml:space="preserve"> penalizes large weights to prevent overfitting by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w:r w:rsidR="00101441">
        <w:rPr>
          <w:color w:val="000000" w:themeColor="text1"/>
        </w:rPr>
        <w:t xml:space="preserve"> regularization. Thus, the final loss function</w:t>
      </w:r>
      <w:r w:rsidR="00A272E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f</m:t>
            </m:r>
          </m:sub>
        </m:sSub>
        <m:d>
          <m:dPr>
            <m:ctrlPr>
              <w:rPr>
                <w:rFonts w:ascii="Cambria Math" w:hAnsi="Cambria Math"/>
                <w:i/>
                <w:color w:val="000000" w:themeColor="text1"/>
              </w:rPr>
            </m:ctrlPr>
          </m:dPr>
          <m:e>
            <m:r>
              <w:rPr>
                <w:rFonts w:ascii="Cambria Math" w:hAnsi="Cambria Math"/>
                <w:color w:val="000000" w:themeColor="text1"/>
              </w:rPr>
              <m:t>θ</m:t>
            </m:r>
          </m:e>
        </m:d>
      </m:oMath>
      <w:r w:rsidR="00101441">
        <w:rPr>
          <w:color w:val="000000" w:themeColor="text1"/>
        </w:rPr>
        <w:t xml:space="preserve"> would be:</w:t>
      </w:r>
    </w:p>
    <w:p w14:paraId="71571730" w14:textId="464A7F51" w:rsidR="00101441" w:rsidRDefault="00000000" w:rsidP="00AE48F7">
      <w:pPr>
        <w:spacing w:line="24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f</m:t>
              </m:r>
            </m:sub>
          </m:sSub>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r>
            <m:rPr>
              <m:scr m:val="script"/>
            </m:rPr>
            <w:rPr>
              <w:rFonts w:ascii="Cambria Math" w:hAnsi="Cambria Math"/>
              <w:lang w:eastAsia="ko-KR"/>
            </w:rPr>
            <m:t>-l</m:t>
          </m:r>
          <m:d>
            <m:dPr>
              <m:ctrlPr>
                <w:rPr>
                  <w:rFonts w:ascii="Cambria Math" w:hAnsi="Cambria Math"/>
                  <w:i/>
                  <w:lang w:eastAsia="ko-KR"/>
                </w:rPr>
              </m:ctrlPr>
            </m:dPr>
            <m:e>
              <m:r>
                <w:rPr>
                  <w:rFonts w:ascii="Cambria Math" w:hAnsi="Cambria Math"/>
                  <w:lang w:eastAsia="ko-KR"/>
                </w:rPr>
                <m:t>θ</m:t>
              </m:r>
            </m:e>
          </m:d>
          <m:r>
            <w:rPr>
              <w:rFonts w:ascii="Cambria Math" w:hAnsi="Cambria Math"/>
              <w:lang w:eastAsia="ko-KR"/>
            </w:rPr>
            <m:t>+</m:t>
          </m:r>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oMath>
      </m:oMathPara>
    </w:p>
    <w:p w14:paraId="5872E1CD" w14:textId="5803FBB5" w:rsidR="005E4E3F" w:rsidRDefault="0046677A" w:rsidP="00B94E92">
      <w:pPr>
        <w:spacing w:line="240" w:lineRule="auto"/>
        <w:rPr>
          <w:color w:val="000000" w:themeColor="text1"/>
        </w:rPr>
      </w:pPr>
      <w:r w:rsidRPr="005E4E3F">
        <w:lastRenderedPageBreak/>
        <w:tab/>
      </w:r>
      <w:r w:rsidR="000C3DE1">
        <w:t xml:space="preserve">The loss function is minimized using an optimization algorithm such as </w:t>
      </w:r>
      <w:r w:rsidR="000C3DE1" w:rsidRPr="00FF244E">
        <w:t xml:space="preserve">stochastic gradient descent (SGD) </w:t>
      </w:r>
      <w:r w:rsidR="007D080D" w:rsidRPr="00FF244E">
        <w:t xml:space="preserve">algorithm. </w:t>
      </w:r>
      <w:r w:rsidR="0079110E">
        <w:t xml:space="preserve">Gradients </w:t>
      </w:r>
      <w:r w:rsidR="00CA5BA6">
        <w:t xml:space="preserve">of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f</m:t>
            </m:r>
          </m:sub>
        </m:sSub>
        <m:d>
          <m:dPr>
            <m:ctrlPr>
              <w:rPr>
                <w:rFonts w:ascii="Cambria Math" w:hAnsi="Cambria Math"/>
                <w:i/>
                <w:color w:val="000000" w:themeColor="text1"/>
              </w:rPr>
            </m:ctrlPr>
          </m:dPr>
          <m:e>
            <m:r>
              <w:rPr>
                <w:rFonts w:ascii="Cambria Math" w:hAnsi="Cambria Math"/>
                <w:color w:val="000000" w:themeColor="text1"/>
              </w:rPr>
              <m:t>θ</m:t>
            </m:r>
          </m:e>
        </m:d>
      </m:oMath>
      <w:r w:rsidR="00CA5BA6">
        <w:rPr>
          <w:color w:val="000000" w:themeColor="text1"/>
        </w:rPr>
        <w:t xml:space="preserve"> with respect to </w:t>
      </w:r>
      <m:oMath>
        <m:r>
          <w:rPr>
            <w:rFonts w:ascii="Cambria Math" w:hAnsi="Cambria Math"/>
            <w:color w:val="000000" w:themeColor="text1"/>
          </w:rPr>
          <m:t>θ</m:t>
        </m:r>
      </m:oMath>
      <w:r w:rsidR="00634364">
        <w:rPr>
          <w:color w:val="000000" w:themeColor="text1"/>
        </w:rPr>
        <w:t xml:space="preserve"> </w:t>
      </w:r>
      <w:r w:rsidR="002A40BD">
        <w:rPr>
          <w:color w:val="000000" w:themeColor="text1"/>
        </w:rPr>
        <w:t xml:space="preserve">is used to update the weights </w:t>
      </w:r>
      <m:oMath>
        <m:r>
          <w:rPr>
            <w:rFonts w:ascii="Cambria Math" w:hAnsi="Cambria Math"/>
            <w:color w:val="000000" w:themeColor="text1"/>
          </w:rPr>
          <m:t>θ</m:t>
        </m:r>
      </m:oMath>
      <w:r w:rsidR="002A40BD">
        <w:rPr>
          <w:color w:val="000000" w:themeColor="text1"/>
        </w:rPr>
        <w:t xml:space="preserve"> via backpropagation </w:t>
      </w:r>
      <w:r w:rsidR="00046B98">
        <w:rPr>
          <w:color w:val="000000" w:themeColor="text1"/>
        </w:rPr>
        <w:t>to propagate errors through the network as follows:</w:t>
      </w:r>
    </w:p>
    <w:p w14:paraId="39A36EA8" w14:textId="1F08BB44" w:rsidR="00046B98" w:rsidRPr="009941C4" w:rsidRDefault="00000000" w:rsidP="00B94E92">
      <w:pPr>
        <w:spacing w:line="240" w:lineRule="auto"/>
      </w:pPr>
      <m:oMathPara>
        <m:oMath>
          <m:sSub>
            <m:sSubPr>
              <m:ctrlPr>
                <w:rPr>
                  <w:rFonts w:ascii="Cambria Math" w:hAnsi="Cambria Math"/>
                  <w:i/>
                </w:rPr>
              </m:ctrlPr>
            </m:sSubPr>
            <m:e>
              <m:r>
                <w:rPr>
                  <w:rFonts w:ascii="Cambria Math" w:hAnsi="Cambria Math"/>
                </w:rPr>
                <m:t>θ</m:t>
              </m:r>
            </m:e>
            <m:sub>
              <m:r>
                <w:rPr>
                  <w:rFonts w:ascii="Cambria Math" w:hAnsi="Cambria Math"/>
                </w:rPr>
                <m:t>updated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old</m:t>
              </m:r>
            </m:sub>
          </m:sSub>
          <m:r>
            <w:rPr>
              <w:rFonts w:ascii="Cambria Math" w:hAnsi="Cambria Math"/>
            </w:rPr>
            <m:t>-η</m:t>
          </m:r>
          <m:f>
            <m:fPr>
              <m:ctrlPr>
                <w:rPr>
                  <w:rFonts w:ascii="Cambria Math" w:hAnsi="Cambria Math"/>
                  <w:i/>
                </w:rPr>
              </m:ctrlPr>
            </m:fPr>
            <m:num>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f</m:t>
                  </m:r>
                </m:sub>
              </m:sSub>
              <m:d>
                <m:dPr>
                  <m:ctrlPr>
                    <w:rPr>
                      <w:rFonts w:ascii="Cambria Math" w:hAnsi="Cambria Math"/>
                      <w:i/>
                      <w:color w:val="000000" w:themeColor="text1"/>
                    </w:rPr>
                  </m:ctrlPr>
                </m:dPr>
                <m:e>
                  <m:r>
                    <w:rPr>
                      <w:rFonts w:ascii="Cambria Math" w:hAnsi="Cambria Math"/>
                      <w:color w:val="000000" w:themeColor="text1"/>
                    </w:rPr>
                    <m:t>θ</m:t>
                  </m:r>
                </m:e>
              </m:d>
            </m:num>
            <m:den>
              <m:r>
                <w:rPr>
                  <w:rFonts w:ascii="Cambria Math" w:hAnsi="Cambria Math"/>
                </w:rPr>
                <m:t>∂θ</m:t>
              </m:r>
            </m:den>
          </m:f>
          <m:r>
            <w:rPr>
              <w:rFonts w:ascii="Cambria Math" w:hAnsi="Cambria Math"/>
            </w:rPr>
            <m:t>,</m:t>
          </m:r>
        </m:oMath>
      </m:oMathPara>
    </w:p>
    <w:p w14:paraId="4E2F7EED" w14:textId="670055F6" w:rsidR="009941C4" w:rsidRDefault="009941C4" w:rsidP="00B94E92">
      <w:pPr>
        <w:spacing w:line="240" w:lineRule="auto"/>
      </w:pPr>
      <w:r>
        <w:t xml:space="preserve">where </w:t>
      </w:r>
      <m:oMath>
        <m:r>
          <w:rPr>
            <w:rFonts w:ascii="Cambria Math" w:hAnsi="Cambria Math"/>
          </w:rPr>
          <m:t>η</m:t>
        </m:r>
      </m:oMath>
      <w:r>
        <w:t xml:space="preserve"> is the learning rate.</w:t>
      </w:r>
      <w:r w:rsidR="001C2FD4">
        <w:t xml:space="preserve"> </w:t>
      </w:r>
      <w:r w:rsidR="00462039">
        <w:t>Model is trained on the training dataset</w:t>
      </w:r>
      <w:r w:rsidR="00C60110">
        <w:t>, and hyperparameters (e.g., learning rate</w:t>
      </w:r>
      <w:r w:rsidR="009B2BC9">
        <w:t>,</w:t>
      </w:r>
      <w:r w:rsidR="00C60110">
        <w:t xml:space="preserve"> regularization terms, </w:t>
      </w:r>
      <w:r w:rsidR="009B2BC9">
        <w:t>batch normal, hidden layers</w:t>
      </w:r>
      <w:r w:rsidR="00C20B9D">
        <w:t xml:space="preserve">, </w:t>
      </w:r>
      <w:r w:rsidR="00C60110">
        <w:t>dropout rates</w:t>
      </w:r>
      <w:r w:rsidR="00C20B9D">
        <w:t>, and activation</w:t>
      </w:r>
      <w:r w:rsidR="00C60110">
        <w:t>)</w:t>
      </w:r>
      <w:r w:rsidR="00860748">
        <w:t xml:space="preserve"> are tuned based on performance of the validation set.</w:t>
      </w:r>
    </w:p>
    <w:p w14:paraId="7644654E" w14:textId="279F5D15" w:rsidR="009B2BC9" w:rsidRPr="007625A2" w:rsidRDefault="00414FEA" w:rsidP="00B94E92">
      <w:pPr>
        <w:spacing w:line="240" w:lineRule="auto"/>
        <w:rPr>
          <w:rFonts w:eastAsiaTheme="minorHAnsi"/>
          <w:color w:val="000000" w:themeColor="text1"/>
        </w:rPr>
      </w:pPr>
      <w:r>
        <w:tab/>
      </w:r>
      <w:r w:rsidR="009B2BC9" w:rsidRPr="001D21FD">
        <w:rPr>
          <w:rFonts w:eastAsiaTheme="minorHAnsi"/>
          <w:color w:val="000000" w:themeColor="text1"/>
        </w:rPr>
        <w:t xml:space="preserve">Bayesian </w:t>
      </w:r>
      <w:r w:rsidR="00932664">
        <w:rPr>
          <w:rFonts w:eastAsiaTheme="minorHAnsi"/>
          <w:color w:val="000000" w:themeColor="text1"/>
        </w:rPr>
        <w:t>h</w:t>
      </w:r>
      <w:r w:rsidR="009B2BC9" w:rsidRPr="001D21FD">
        <w:rPr>
          <w:rFonts w:eastAsiaTheme="minorHAnsi"/>
          <w:color w:val="000000" w:themeColor="text1"/>
        </w:rPr>
        <w:t xml:space="preserve">yperparameter </w:t>
      </w:r>
      <w:r w:rsidR="00932664">
        <w:rPr>
          <w:rFonts w:eastAsiaTheme="minorHAnsi"/>
          <w:color w:val="000000" w:themeColor="text1"/>
        </w:rPr>
        <w:t>o</w:t>
      </w:r>
      <w:r w:rsidR="009B2BC9" w:rsidRPr="001D21FD">
        <w:rPr>
          <w:rFonts w:eastAsiaTheme="minorHAnsi"/>
          <w:color w:val="000000" w:themeColor="text1"/>
        </w:rPr>
        <w:t>ptimization</w:t>
      </w:r>
      <w:r w:rsidR="00343361">
        <w:rPr>
          <w:rFonts w:eastAsiaTheme="minorHAnsi"/>
          <w:color w:val="000000" w:themeColor="text1"/>
        </w:rPr>
        <w:t xml:space="preserve"> (BHO)</w:t>
      </w:r>
      <w:r w:rsidR="00932664">
        <w:rPr>
          <w:rFonts w:eastAsiaTheme="minorHAnsi"/>
          <w:color w:val="000000" w:themeColor="text1"/>
        </w:rPr>
        <w:t xml:space="preserve"> (</w:t>
      </w:r>
      <w:proofErr w:type="spellStart"/>
      <w:r w:rsidR="00552484">
        <w:rPr>
          <w:rFonts w:eastAsiaTheme="minorHAnsi"/>
          <w:color w:val="000000" w:themeColor="text1"/>
        </w:rPr>
        <w:t>Sneok</w:t>
      </w:r>
      <w:proofErr w:type="spellEnd"/>
      <w:r w:rsidR="00552484">
        <w:rPr>
          <w:rFonts w:eastAsiaTheme="minorHAnsi"/>
          <w:color w:val="000000" w:themeColor="text1"/>
        </w:rPr>
        <w:t xml:space="preserve"> et al., 2012)</w:t>
      </w:r>
      <w:r w:rsidR="009B2BC9" w:rsidRPr="001D21FD">
        <w:rPr>
          <w:rFonts w:eastAsiaTheme="minorHAnsi"/>
          <w:color w:val="000000" w:themeColor="text1"/>
        </w:rPr>
        <w:t xml:space="preserve"> was utilized to initiate the parameter search process. </w:t>
      </w:r>
      <w:r w:rsidR="00343361">
        <w:rPr>
          <w:rFonts w:eastAsiaTheme="minorHAnsi"/>
          <w:color w:val="000000" w:themeColor="text1"/>
        </w:rPr>
        <w:t>BHO</w:t>
      </w:r>
      <w:r w:rsidR="009B2BC9" w:rsidRPr="00BE2D2C">
        <w:rPr>
          <w:rFonts w:eastAsiaTheme="minorHAnsi"/>
          <w:color w:val="000000" w:themeColor="text1"/>
        </w:rPr>
        <w:t xml:space="preserve"> is an efficient approach as it provides a scientific and efficient method for hyperparameter tuning. It handles high-dimensional spaces effectively</w:t>
      </w:r>
      <w:r w:rsidR="009B2BC9">
        <w:rPr>
          <w:rFonts w:eastAsiaTheme="minorHAnsi"/>
          <w:color w:val="000000" w:themeColor="text1"/>
        </w:rPr>
        <w:t xml:space="preserve"> and</w:t>
      </w:r>
      <w:r w:rsidR="009B2BC9" w:rsidRPr="00BE2D2C">
        <w:rPr>
          <w:rFonts w:eastAsiaTheme="minorHAnsi"/>
          <w:color w:val="000000" w:themeColor="text1"/>
        </w:rPr>
        <w:t xml:space="preserve"> is also widely adopted in machine learning and deep learning hyperparameter tuning.</w:t>
      </w:r>
      <w:r w:rsidR="009B2BC9">
        <w:rPr>
          <w:rFonts w:eastAsiaTheme="minorHAnsi"/>
          <w:color w:val="000000" w:themeColor="text1"/>
        </w:rPr>
        <w:t xml:space="preserve"> </w:t>
      </w:r>
      <w:r w:rsidR="008D4D9A">
        <w:rPr>
          <w:rFonts w:eastAsiaTheme="minorHAnsi"/>
          <w:color w:val="000000" w:themeColor="text1"/>
        </w:rPr>
        <w:t>While grid search or random search evaluate hyperparameters in a brute-force or random manner</w:t>
      </w:r>
      <w:r w:rsidR="00343361">
        <w:rPr>
          <w:rFonts w:eastAsiaTheme="minorHAnsi"/>
          <w:color w:val="000000" w:themeColor="text1"/>
        </w:rPr>
        <w:t>, BH</w:t>
      </w:r>
      <w:r w:rsidR="008214AB">
        <w:rPr>
          <w:rFonts w:eastAsiaTheme="minorHAnsi"/>
          <w:color w:val="000000" w:themeColor="text1"/>
        </w:rPr>
        <w:t>O</w:t>
      </w:r>
      <w:r w:rsidR="00343361">
        <w:rPr>
          <w:rFonts w:eastAsiaTheme="minorHAnsi"/>
          <w:color w:val="000000" w:themeColor="text1"/>
        </w:rPr>
        <w:t xml:space="preserve"> uses probabilistic models </w:t>
      </w:r>
      <w:r w:rsidR="00207FD6">
        <w:rPr>
          <w:rFonts w:eastAsiaTheme="minorHAnsi"/>
          <w:color w:val="000000" w:themeColor="text1"/>
        </w:rPr>
        <w:t>to efficiently explore the hyperparameter space. It is particularly useful when evaluating each combination of hyperparameters is computationally expensive.</w:t>
      </w:r>
      <w:r w:rsidR="007625A2">
        <w:rPr>
          <w:rFonts w:eastAsiaTheme="minorHAnsi"/>
          <w:color w:val="000000" w:themeColor="text1"/>
        </w:rPr>
        <w:t xml:space="preserve"> </w:t>
      </w:r>
    </w:p>
    <w:p w14:paraId="6F46E374" w14:textId="41E630C1" w:rsidR="008214AB" w:rsidRDefault="008214AB" w:rsidP="004E4605">
      <w:pPr>
        <w:spacing w:line="240" w:lineRule="auto"/>
      </w:pPr>
      <w:r>
        <w:tab/>
        <w:t xml:space="preserve">Jepkoech et al. (2021) </w:t>
      </w:r>
      <w:r w:rsidR="00277F27">
        <w:t xml:space="preserve">emphasized that improper selection of learning rates can significantly impact model training. High learning rates may result in unpredictable model behavior and hinder training accuracy, while excessively low learning rates can slow training progress due to minimal </w:t>
      </w:r>
      <w:r w:rsidR="00BD720D">
        <w:t>weight updates. Thus, determining an optimal learning rate is critical and often achieved</w:t>
      </w:r>
      <w:r w:rsidR="00B32179">
        <w:t xml:space="preserve"> by testing and evaluating different values.</w:t>
      </w:r>
    </w:p>
    <w:p w14:paraId="1689B817" w14:textId="0C09ED00" w:rsidR="0029487F" w:rsidRDefault="0029487F" w:rsidP="004E4605">
      <w:pPr>
        <w:spacing w:line="240" w:lineRule="auto"/>
      </w:pPr>
      <w:r>
        <w:tab/>
        <w:t>The structure of a neural network is primarily defined by its hidden layers, including both the number of layers and the number of nodes in each layer. Dropout</w:t>
      </w:r>
      <w:r w:rsidR="00063541">
        <w:t xml:space="preserve"> is a regularization technique used during training to mitigate overfitting by randomly removing</w:t>
      </w:r>
      <w:r w:rsidR="00972664">
        <w:t xml:space="preserve"> certain nodes, effectively reducing redundant or excessive connections between neurons.</w:t>
      </w:r>
    </w:p>
    <w:p w14:paraId="2CA674A3" w14:textId="763E7953" w:rsidR="009F3B04" w:rsidRDefault="005E4E3F" w:rsidP="00C26216">
      <w:pPr>
        <w:spacing w:line="240" w:lineRule="auto"/>
        <w:rPr>
          <w:rFonts w:ascii="Calibri" w:eastAsia="Malgun Gothic" w:hAnsi="Calibri" w:cs="Calibri"/>
          <w:iCs/>
          <w:color w:val="FF0000"/>
          <w:lang w:eastAsia="ko-KR"/>
        </w:rPr>
      </w:pPr>
      <w:r w:rsidRPr="00514750">
        <w:tab/>
      </w:r>
      <w:r w:rsidR="007B44F9">
        <w:t>B</w:t>
      </w:r>
      <w:r w:rsidR="00514750" w:rsidRPr="00514750">
        <w:t>atch normalization (BN)</w:t>
      </w:r>
      <w:r w:rsidR="007B44F9">
        <w:t xml:space="preserve"> is</w:t>
      </w:r>
      <w:r w:rsidR="00A65860" w:rsidRPr="00514750">
        <w:t xml:space="preserve"> a</w:t>
      </w:r>
      <w:r w:rsidR="007B44F9">
        <w:t>nother key</w:t>
      </w:r>
      <w:r w:rsidR="00B70B28">
        <w:t xml:space="preserve"> technique </w:t>
      </w:r>
      <w:r w:rsidR="00CD3366">
        <w:t xml:space="preserve">that </w:t>
      </w:r>
      <w:r w:rsidR="00A65860" w:rsidRPr="00514750">
        <w:t>standardize</w:t>
      </w:r>
      <w:r w:rsidR="005923CA">
        <w:t>s</w:t>
      </w:r>
      <w:r w:rsidR="00A65860" w:rsidRPr="00514750">
        <w:t xml:space="preserve"> activations across intermediate layers of </w:t>
      </w:r>
      <w:r w:rsidR="00CD3366">
        <w:t xml:space="preserve">the </w:t>
      </w:r>
      <w:r w:rsidR="00A65860" w:rsidRPr="00514750">
        <w:t>network</w:t>
      </w:r>
      <w:r w:rsidR="00CD3366">
        <w:t>,</w:t>
      </w:r>
      <w:r w:rsidR="00A65860" w:rsidRPr="00514750">
        <w:t xml:space="preserve"> </w:t>
      </w:r>
      <w:r w:rsidR="00B03D42">
        <w:t>improving</w:t>
      </w:r>
      <w:r w:rsidR="00A65860" w:rsidRPr="00514750">
        <w:t xml:space="preserve"> accuracy and </w:t>
      </w:r>
      <w:r w:rsidR="005923CA">
        <w:t>accelerating</w:t>
      </w:r>
      <w:r w:rsidR="00A65860" w:rsidRPr="00514750">
        <w:t xml:space="preserve"> training (</w:t>
      </w:r>
      <w:proofErr w:type="spellStart"/>
      <w:r w:rsidR="00A65860" w:rsidRPr="00514750">
        <w:t>Bjorck</w:t>
      </w:r>
      <w:proofErr w:type="spellEnd"/>
      <w:r w:rsidR="00A65860" w:rsidRPr="00514750">
        <w:t xml:space="preserve"> et al., 2019). </w:t>
      </w:r>
      <w:r w:rsidR="00BA5660">
        <w:t xml:space="preserve">Additionally, </w:t>
      </w:r>
      <w:r w:rsidR="00A65860" w:rsidRPr="00514750">
        <w:t>scaled exponential linear units (SELU)</w:t>
      </w:r>
      <w:r w:rsidR="005923CA">
        <w:t xml:space="preserve"> serve</w:t>
      </w:r>
      <w:r w:rsidR="0014211B">
        <w:t xml:space="preserve"> as activation functions that </w:t>
      </w:r>
      <w:r w:rsidR="009901D2">
        <w:t xml:space="preserve">enable </w:t>
      </w:r>
      <w:r w:rsidR="00A65860" w:rsidRPr="00514750">
        <w:t>automatic normalization of network activations, enhanc</w:t>
      </w:r>
      <w:r w:rsidR="00955164">
        <w:t>ing</w:t>
      </w:r>
      <w:r w:rsidR="00A65860" w:rsidRPr="00514750">
        <w:t xml:space="preserve"> training stability and</w:t>
      </w:r>
      <w:r w:rsidR="007B6C94">
        <w:t xml:space="preserve"> improving</w:t>
      </w:r>
      <w:r w:rsidR="00A65860" w:rsidRPr="00514750">
        <w:t xml:space="preserve"> convergence </w:t>
      </w:r>
      <w:r w:rsidR="00A65860" w:rsidRPr="00331182">
        <w:t>(</w:t>
      </w:r>
      <w:proofErr w:type="spellStart"/>
      <w:r w:rsidR="00A65860" w:rsidRPr="00331182">
        <w:t>Klambauer</w:t>
      </w:r>
      <w:proofErr w:type="spellEnd"/>
      <w:r w:rsidR="00A65860" w:rsidRPr="00331182">
        <w:t xml:space="preserve"> et al., 2017).</w:t>
      </w:r>
      <w:r w:rsidR="00C26216" w:rsidRPr="00331182">
        <w:rPr>
          <w:b/>
          <w:bCs/>
        </w:rPr>
        <w:t xml:space="preserve"> </w:t>
      </w:r>
      <w:r w:rsidR="009F3B04" w:rsidRPr="00331182">
        <w:rPr>
          <w:rFonts w:ascii="Calibri" w:eastAsia="Malgun Gothic" w:hAnsi="Calibri" w:cs="Calibri"/>
          <w:iCs/>
          <w:lang w:eastAsia="ko-KR"/>
        </w:rPr>
        <w:t xml:space="preserve">The model was implemented </w:t>
      </w:r>
      <w:r w:rsidR="008C3967" w:rsidRPr="00331182">
        <w:rPr>
          <w:rFonts w:ascii="Calibri" w:eastAsia="Malgun Gothic" w:hAnsi="Calibri" w:cs="Calibri"/>
          <w:iCs/>
          <w:lang w:eastAsia="ko-KR"/>
        </w:rPr>
        <w:t>in</w:t>
      </w:r>
      <w:r w:rsidR="009F3B04" w:rsidRPr="00331182">
        <w:rPr>
          <w:rFonts w:ascii="Calibri" w:eastAsia="Malgun Gothic" w:hAnsi="Calibri" w:cs="Calibri"/>
          <w:iCs/>
          <w:lang w:eastAsia="ko-KR"/>
        </w:rPr>
        <w:t xml:space="preserve"> </w:t>
      </w:r>
      <w:r w:rsidR="00AD1808" w:rsidRPr="00331182">
        <w:rPr>
          <w:rFonts w:ascii="Calibri" w:eastAsia="Malgun Gothic" w:hAnsi="Calibri" w:cs="Calibri"/>
          <w:iCs/>
          <w:lang w:eastAsia="ko-KR"/>
        </w:rPr>
        <w:t xml:space="preserve">Python </w:t>
      </w:r>
      <w:r w:rsidR="008C3967" w:rsidRPr="00331182">
        <w:rPr>
          <w:rFonts w:ascii="Calibri" w:eastAsia="Malgun Gothic" w:hAnsi="Calibri" w:cs="Calibri"/>
          <w:iCs/>
          <w:lang w:eastAsia="ko-KR"/>
        </w:rPr>
        <w:t xml:space="preserve">using </w:t>
      </w:r>
      <w:proofErr w:type="spellStart"/>
      <w:r w:rsidR="008C3967" w:rsidRPr="00331182">
        <w:rPr>
          <w:rFonts w:ascii="Calibri" w:eastAsia="Malgun Gothic" w:hAnsi="Calibri" w:cs="Calibri"/>
          <w:iCs/>
          <w:lang w:eastAsia="ko-KR"/>
        </w:rPr>
        <w:t>deep_surv</w:t>
      </w:r>
      <w:proofErr w:type="spellEnd"/>
      <w:r w:rsidR="008C3967" w:rsidRPr="00331182">
        <w:rPr>
          <w:rFonts w:ascii="Calibri" w:eastAsia="Malgun Gothic" w:hAnsi="Calibri" w:cs="Calibri"/>
          <w:iCs/>
          <w:lang w:eastAsia="ko-KR"/>
        </w:rPr>
        <w:t xml:space="preserve"> </w:t>
      </w:r>
      <w:r w:rsidR="00AD1808" w:rsidRPr="00331182">
        <w:rPr>
          <w:rFonts w:ascii="Calibri" w:eastAsia="Malgun Gothic" w:hAnsi="Calibri" w:cs="Calibri"/>
          <w:iCs/>
          <w:lang w:eastAsia="ko-KR"/>
        </w:rPr>
        <w:t>package</w:t>
      </w:r>
      <w:r w:rsidR="009F3B04" w:rsidRPr="00331182">
        <w:rPr>
          <w:rFonts w:ascii="Calibri" w:eastAsia="Malgun Gothic" w:hAnsi="Calibri" w:cs="Calibri"/>
          <w:iCs/>
          <w:lang w:eastAsia="ko-KR"/>
        </w:rPr>
        <w:t xml:space="preserve"> </w:t>
      </w:r>
      <w:r w:rsidR="008C3967" w:rsidRPr="00331182">
        <w:t xml:space="preserve">(Katzman et </w:t>
      </w:r>
      <w:r w:rsidR="008C3967">
        <w:rPr>
          <w:color w:val="000000" w:themeColor="text1"/>
        </w:rPr>
        <w:t>al., 2018)</w:t>
      </w:r>
      <w:r w:rsidR="004923C5">
        <w:rPr>
          <w:rFonts w:ascii="Calibri" w:eastAsia="Malgun Gothic" w:hAnsi="Calibri" w:cs="Calibri"/>
          <w:iCs/>
          <w:color w:val="FF0000"/>
          <w:lang w:eastAsia="ko-KR"/>
        </w:rPr>
        <w:t>.</w:t>
      </w:r>
    </w:p>
    <w:p w14:paraId="6FFFFEB6" w14:textId="76486E21" w:rsidR="006F171B" w:rsidRDefault="006F171B" w:rsidP="00046E5E">
      <w:pPr>
        <w:spacing w:line="240" w:lineRule="auto"/>
        <w:rPr>
          <w:rFonts w:eastAsiaTheme="minorHAnsi"/>
          <w:color w:val="000000" w:themeColor="text1"/>
        </w:rPr>
      </w:pPr>
      <w:r w:rsidRPr="00C57C8C">
        <w:rPr>
          <w:rFonts w:ascii="Calibri" w:eastAsia="Malgun Gothic" w:hAnsi="Calibri" w:cs="Calibri"/>
          <w:iCs/>
          <w:lang w:eastAsia="ko-KR"/>
        </w:rPr>
        <w:tab/>
      </w:r>
      <w:r w:rsidR="00EB5089" w:rsidRPr="00EB5089">
        <w:rPr>
          <w:rFonts w:ascii="Calibri" w:eastAsia="Malgun Gothic" w:hAnsi="Calibri" w:cs="Calibri"/>
          <w:iCs/>
          <w:lang w:eastAsia="ko-KR"/>
        </w:rPr>
        <w:t>Using this model, treatment recommendations are based on the logarithmic transformation of the hazard ratio defined in Equation (2). For each patient, the algorithm estimates the risk level associated with a specific treatment. Assuming a common baseline level of risk, the relative risks of different treatments are compared by calculating the logarithm of the hazard ratio. This calculation yields the "recommender function," denoted as</w:t>
      </w:r>
      <w:r w:rsidR="00EB5089">
        <w:rPr>
          <w:rFonts w:ascii="Calibri" w:eastAsia="Malgun Gothic" w:hAnsi="Calibri" w:cs="Calibri"/>
          <w:iCs/>
          <w:lang w:eastAsia="ko-KR"/>
        </w:rPr>
        <w:t xml:space="preserve"> </w:t>
      </w:r>
      <m:oMath>
        <m:sSub>
          <m:sSubPr>
            <m:ctrlPr>
              <w:rPr>
                <w:rFonts w:ascii="Cambria Math" w:eastAsiaTheme="minorHAnsi" w:hAnsi="Cambria Math"/>
                <w:i/>
                <w:color w:val="000000" w:themeColor="text1"/>
              </w:rPr>
            </m:ctrlPr>
          </m:sSubPr>
          <m:e>
            <m:r>
              <w:rPr>
                <w:rFonts w:ascii="Cambria Math" w:eastAsiaTheme="minorHAnsi" w:hAnsi="Cambria Math"/>
                <w:color w:val="000000" w:themeColor="text1"/>
              </w:rPr>
              <m:t>rec</m:t>
            </m:r>
          </m:e>
          <m:sub>
            <m:r>
              <w:rPr>
                <w:rFonts w:ascii="Cambria Math" w:eastAsiaTheme="minorHAnsi" w:hAnsi="Cambria Math"/>
                <w:color w:val="000000" w:themeColor="text1"/>
              </w:rPr>
              <m:t>ij</m:t>
            </m:r>
          </m:sub>
        </m:sSub>
        <m:d>
          <m:dPr>
            <m:ctrlPr>
              <w:rPr>
                <w:rFonts w:ascii="Cambria Math" w:eastAsiaTheme="minorHAnsi" w:hAnsi="Cambria Math"/>
                <w:i/>
                <w:color w:val="000000" w:themeColor="text1"/>
              </w:rPr>
            </m:ctrlPr>
          </m:dPr>
          <m:e>
            <m:r>
              <w:rPr>
                <w:rFonts w:ascii="Cambria Math" w:eastAsiaTheme="minorHAnsi" w:hAnsi="Cambria Math"/>
                <w:color w:val="000000" w:themeColor="text1"/>
              </w:rPr>
              <m:t>x</m:t>
            </m:r>
          </m:e>
        </m:d>
      </m:oMath>
      <w:r w:rsidR="00E34E0E" w:rsidRPr="00E34E0E">
        <w:t xml:space="preserve"> </w:t>
      </w:r>
      <w:r w:rsidR="00E34E0E" w:rsidRPr="00E34E0E">
        <w:rPr>
          <w:rFonts w:eastAsiaTheme="minorHAnsi"/>
          <w:color w:val="000000" w:themeColor="text1"/>
        </w:rPr>
        <w:t>, which quantifies the difference in log hazards between two treatment options for an individual</w:t>
      </w:r>
      <w:r w:rsidRPr="001D21FD">
        <w:rPr>
          <w:rFonts w:eastAsiaTheme="minorHAnsi"/>
          <w:color w:val="000000" w:themeColor="text1"/>
        </w:rPr>
        <w:t xml:space="preserve">: </w:t>
      </w:r>
    </w:p>
    <w:p w14:paraId="39940C2F" w14:textId="7FA44A47" w:rsidR="00E34E0E" w:rsidRPr="00046E5E" w:rsidRDefault="00000000" w:rsidP="00046E5E">
      <w:pPr>
        <w:spacing w:line="240" w:lineRule="auto"/>
        <w:rPr>
          <w:b/>
          <w:bCs/>
        </w:rPr>
      </w:pPr>
      <m:oMathPara>
        <m:oMath>
          <m:sSub>
            <m:sSubPr>
              <m:ctrlPr>
                <w:rPr>
                  <w:rFonts w:ascii="Cambria Math" w:eastAsiaTheme="minorHAnsi" w:hAnsi="Cambria Math"/>
                  <w:i/>
                  <w:iCs/>
                  <w:color w:val="000000" w:themeColor="text1"/>
                </w:rPr>
              </m:ctrlPr>
            </m:sSubPr>
            <m:e>
              <m:r>
                <w:rPr>
                  <w:rFonts w:ascii="Cambria Math" w:eastAsiaTheme="minorHAnsi" w:hAnsi="Cambria Math"/>
                  <w:color w:val="000000" w:themeColor="text1"/>
                </w:rPr>
                <m:t>rec</m:t>
              </m:r>
            </m:e>
            <m:sub>
              <m:r>
                <w:rPr>
                  <w:rFonts w:ascii="Cambria Math" w:eastAsiaTheme="minorHAnsi" w:hAnsi="Cambria Math"/>
                  <w:color w:val="000000" w:themeColor="text1"/>
                </w:rPr>
                <m:t>ij</m:t>
              </m:r>
            </m:sub>
          </m:sSub>
          <m:d>
            <m:dPr>
              <m:ctrlPr>
                <w:rPr>
                  <w:rFonts w:ascii="Cambria Math" w:eastAsiaTheme="minorHAnsi" w:hAnsi="Cambria Math"/>
                  <w:i/>
                  <w:color w:val="000000" w:themeColor="text1"/>
                  <w:kern w:val="0"/>
                  <w:sz w:val="24"/>
                  <w:szCs w:val="24"/>
                  <w:lang w:eastAsia="en-US"/>
                  <w14:ligatures w14:val="none"/>
                </w:rPr>
              </m:ctrlPr>
            </m:dPr>
            <m:e>
              <m:r>
                <w:rPr>
                  <w:rFonts w:ascii="Cambria Math" w:eastAsiaTheme="minorHAnsi" w:hAnsi="Cambria Math"/>
                  <w:color w:val="000000" w:themeColor="text1"/>
                </w:rPr>
                <m:t>x</m:t>
              </m:r>
            </m:e>
          </m:d>
          <m:r>
            <w:rPr>
              <w:rFonts w:ascii="Cambria Math" w:eastAsiaTheme="minorHAnsi" w:hAnsi="Cambria Math"/>
              <w:color w:val="000000" w:themeColor="text1"/>
            </w:rPr>
            <m:t>=</m:t>
          </m:r>
          <m:func>
            <m:funcPr>
              <m:ctrlPr>
                <w:rPr>
                  <w:rFonts w:ascii="Cambria Math" w:eastAsiaTheme="minorHAnsi" w:hAnsi="Cambria Math"/>
                  <w:i/>
                  <w:iCs/>
                  <w:color w:val="000000" w:themeColor="text1"/>
                </w:rPr>
              </m:ctrlPr>
            </m:funcPr>
            <m:fName>
              <m:r>
                <w:rPr>
                  <w:rFonts w:ascii="Cambria Math" w:eastAsiaTheme="minorHAnsi" w:hAnsi="Cambria Math"/>
                  <w:color w:val="000000" w:themeColor="text1"/>
                </w:rPr>
                <m:t>log</m:t>
              </m:r>
            </m:fName>
            <m:e>
              <m:d>
                <m:dPr>
                  <m:ctrlPr>
                    <w:rPr>
                      <w:rFonts w:ascii="Cambria Math" w:eastAsiaTheme="minorHAnsi" w:hAnsi="Cambria Math"/>
                      <w:i/>
                      <w:iCs/>
                      <w:color w:val="000000" w:themeColor="text1"/>
                    </w:rPr>
                  </m:ctrlPr>
                </m:dPr>
                <m:e>
                  <m:r>
                    <w:rPr>
                      <w:rFonts w:ascii="Cambria Math" w:hAnsi="Cambria Math"/>
                      <w:color w:val="000000" w:themeColor="text1"/>
                    </w:rPr>
                    <m:t>HR</m:t>
                  </m:r>
                </m:e>
              </m:d>
            </m:e>
          </m:func>
          <m:r>
            <w:rPr>
              <w:rFonts w:ascii="Cambria Math" w:eastAsiaTheme="minorHAnsi" w:hAnsi="Cambria Math"/>
              <w:color w:val="000000" w:themeColor="text1"/>
            </w:rPr>
            <m:t>=</m:t>
          </m:r>
          <m:sSub>
            <m:sSubPr>
              <m:ctrlPr>
                <w:rPr>
                  <w:rFonts w:ascii="Cambria Math" w:eastAsiaTheme="minorHAnsi" w:hAnsi="Cambria Math"/>
                  <w:i/>
                  <w:iCs/>
                  <w:color w:val="000000" w:themeColor="text1"/>
                </w:rPr>
              </m:ctrlPr>
            </m:sSubPr>
            <m:e>
              <m:acc>
                <m:accPr>
                  <m:ctrlPr>
                    <w:rPr>
                      <w:rFonts w:ascii="Cambria Math" w:eastAsiaTheme="minorHAnsi" w:hAnsi="Cambria Math"/>
                      <w:i/>
                      <w:iCs/>
                      <w:color w:val="000000" w:themeColor="text1"/>
                    </w:rPr>
                  </m:ctrlPr>
                </m:accPr>
                <m:e>
                  <m:r>
                    <w:rPr>
                      <w:rFonts w:ascii="Cambria Math" w:eastAsiaTheme="minorHAnsi" w:hAnsi="Cambria Math"/>
                      <w:color w:val="000000" w:themeColor="text1"/>
                    </w:rPr>
                    <m:t>h</m:t>
                  </m:r>
                </m:e>
              </m:acc>
            </m:e>
            <m:sub>
              <m:r>
                <w:rPr>
                  <w:rFonts w:ascii="Cambria Math" w:eastAsiaTheme="minorHAnsi" w:hAnsi="Cambria Math"/>
                  <w:color w:val="000000" w:themeColor="text1"/>
                </w:rPr>
                <m:t>i</m:t>
              </m:r>
            </m:sub>
          </m:sSub>
          <m:d>
            <m:dPr>
              <m:ctrlPr>
                <w:rPr>
                  <w:rFonts w:ascii="Cambria Math" w:eastAsiaTheme="minorHAnsi" w:hAnsi="Cambria Math"/>
                  <w:i/>
                  <w:color w:val="000000" w:themeColor="text1"/>
                  <w:kern w:val="0"/>
                  <w:sz w:val="24"/>
                  <w:szCs w:val="24"/>
                  <w:lang w:eastAsia="en-US"/>
                  <w14:ligatures w14:val="none"/>
                </w:rPr>
              </m:ctrlPr>
            </m:dPr>
            <m:e>
              <m:r>
                <w:rPr>
                  <w:rFonts w:ascii="Cambria Math" w:eastAsiaTheme="minorHAnsi" w:hAnsi="Cambria Math"/>
                  <w:color w:val="000000" w:themeColor="text1"/>
                </w:rPr>
                <m:t>x</m:t>
              </m:r>
            </m:e>
          </m:d>
          <m:r>
            <w:rPr>
              <w:rFonts w:ascii="Cambria Math" w:eastAsiaTheme="minorHAnsi" w:hAnsi="Cambria Math"/>
              <w:color w:val="000000" w:themeColor="text1"/>
            </w:rPr>
            <m:t>-</m:t>
          </m:r>
          <m:sSub>
            <m:sSubPr>
              <m:ctrlPr>
                <w:rPr>
                  <w:rFonts w:ascii="Cambria Math" w:eastAsiaTheme="minorHAnsi" w:hAnsi="Cambria Math"/>
                  <w:i/>
                  <w:iCs/>
                  <w:color w:val="000000" w:themeColor="text1"/>
                </w:rPr>
              </m:ctrlPr>
            </m:sSubPr>
            <m:e>
              <m:acc>
                <m:accPr>
                  <m:ctrlPr>
                    <w:rPr>
                      <w:rFonts w:ascii="Cambria Math" w:eastAsiaTheme="minorHAnsi" w:hAnsi="Cambria Math"/>
                      <w:i/>
                      <w:iCs/>
                      <w:color w:val="000000" w:themeColor="text1"/>
                    </w:rPr>
                  </m:ctrlPr>
                </m:accPr>
                <m:e>
                  <m:r>
                    <w:rPr>
                      <w:rFonts w:ascii="Cambria Math" w:eastAsiaTheme="minorHAnsi" w:hAnsi="Cambria Math"/>
                      <w:color w:val="000000" w:themeColor="text1"/>
                    </w:rPr>
                    <m:t>h</m:t>
                  </m:r>
                </m:e>
              </m:acc>
            </m:e>
            <m:sub>
              <m:r>
                <w:rPr>
                  <w:rFonts w:ascii="Cambria Math" w:eastAsiaTheme="minorHAnsi" w:hAnsi="Cambria Math"/>
                  <w:color w:val="000000" w:themeColor="text1"/>
                </w:rPr>
                <m:t>j</m:t>
              </m:r>
            </m:sub>
          </m:sSub>
          <m:d>
            <m:dPr>
              <m:ctrlPr>
                <w:rPr>
                  <w:rFonts w:ascii="Cambria Math" w:eastAsiaTheme="minorHAnsi" w:hAnsi="Cambria Math"/>
                  <w:i/>
                  <w:color w:val="000000" w:themeColor="text1"/>
                  <w:kern w:val="0"/>
                  <w:sz w:val="24"/>
                  <w:szCs w:val="24"/>
                  <w:lang w:eastAsia="en-US"/>
                  <w14:ligatures w14:val="none"/>
                </w:rPr>
              </m:ctrlPr>
            </m:dPr>
            <m:e>
              <m:r>
                <w:rPr>
                  <w:rFonts w:ascii="Cambria Math" w:eastAsiaTheme="minorHAnsi" w:hAnsi="Cambria Math"/>
                  <w:color w:val="000000" w:themeColor="text1"/>
                </w:rPr>
                <m:t>x</m:t>
              </m:r>
            </m:e>
          </m:d>
          <m:r>
            <w:rPr>
              <w:rFonts w:ascii="Cambria Math" w:hAnsi="Cambria Math"/>
              <w:color w:val="000000" w:themeColor="text1"/>
            </w:rPr>
            <m:t>,</m:t>
          </m:r>
        </m:oMath>
      </m:oMathPara>
    </w:p>
    <w:p w14:paraId="050839B8" w14:textId="77777777" w:rsidR="00EA5BE1" w:rsidRDefault="00E34E0E" w:rsidP="00534587">
      <w:pPr>
        <w:spacing w:line="240" w:lineRule="auto"/>
        <w:rPr>
          <w:rFonts w:eastAsiaTheme="minorHAnsi"/>
          <w:color w:val="000000" w:themeColor="text1"/>
        </w:rPr>
      </w:pPr>
      <w:r>
        <w:rPr>
          <w:rFonts w:eastAsiaTheme="minorHAnsi"/>
          <w:color w:val="000000" w:themeColor="text1"/>
        </w:rPr>
        <w:t xml:space="preserve">where </w:t>
      </w:r>
      <m:oMath>
        <m:sSub>
          <m:sSubPr>
            <m:ctrlPr>
              <w:rPr>
                <w:rFonts w:ascii="Cambria Math" w:eastAsiaTheme="minorHAnsi" w:hAnsi="Cambria Math"/>
                <w:i/>
                <w:iCs/>
                <w:color w:val="000000" w:themeColor="text1"/>
              </w:rPr>
            </m:ctrlPr>
          </m:sSubPr>
          <m:e>
            <m:acc>
              <m:accPr>
                <m:ctrlPr>
                  <w:rPr>
                    <w:rFonts w:ascii="Cambria Math" w:eastAsiaTheme="minorHAnsi" w:hAnsi="Cambria Math"/>
                    <w:i/>
                    <w:iCs/>
                    <w:color w:val="000000" w:themeColor="text1"/>
                  </w:rPr>
                </m:ctrlPr>
              </m:accPr>
              <m:e>
                <m:r>
                  <w:rPr>
                    <w:rFonts w:ascii="Cambria Math" w:eastAsiaTheme="minorHAnsi" w:hAnsi="Cambria Math"/>
                    <w:color w:val="000000" w:themeColor="text1"/>
                  </w:rPr>
                  <m:t>h</m:t>
                </m:r>
              </m:e>
            </m:acc>
          </m:e>
          <m:sub>
            <m:r>
              <w:rPr>
                <w:rFonts w:ascii="Cambria Math" w:eastAsiaTheme="minorHAnsi" w:hAnsi="Cambria Math"/>
                <w:color w:val="000000" w:themeColor="text1"/>
              </w:rPr>
              <m:t>i</m:t>
            </m:r>
          </m:sub>
        </m:sSub>
        <m:d>
          <m:dPr>
            <m:ctrlPr>
              <w:rPr>
                <w:rFonts w:ascii="Cambria Math" w:eastAsiaTheme="minorHAnsi" w:hAnsi="Cambria Math"/>
                <w:i/>
                <w:color w:val="000000" w:themeColor="text1"/>
                <w:kern w:val="0"/>
                <w:sz w:val="24"/>
                <w:szCs w:val="24"/>
                <w:lang w:eastAsia="en-US"/>
                <w14:ligatures w14:val="none"/>
              </w:rPr>
            </m:ctrlPr>
          </m:dPr>
          <m:e>
            <m:r>
              <w:rPr>
                <w:rFonts w:ascii="Cambria Math" w:eastAsiaTheme="minorHAnsi" w:hAnsi="Cambria Math"/>
                <w:color w:val="000000" w:themeColor="text1"/>
              </w:rPr>
              <m:t>x</m:t>
            </m:r>
          </m:e>
        </m:d>
      </m:oMath>
      <w:r>
        <w:rPr>
          <w:color w:val="000000" w:themeColor="text1"/>
          <w:kern w:val="0"/>
          <w:sz w:val="24"/>
          <w:szCs w:val="24"/>
          <w:lang w:eastAsia="en-US"/>
          <w14:ligatures w14:val="none"/>
        </w:rPr>
        <w:t xml:space="preserve"> and </w:t>
      </w:r>
      <m:oMath>
        <m:sSub>
          <m:sSubPr>
            <m:ctrlPr>
              <w:rPr>
                <w:rFonts w:ascii="Cambria Math" w:eastAsiaTheme="minorHAnsi" w:hAnsi="Cambria Math"/>
                <w:i/>
                <w:iCs/>
                <w:color w:val="000000" w:themeColor="text1"/>
              </w:rPr>
            </m:ctrlPr>
          </m:sSubPr>
          <m:e>
            <m:acc>
              <m:accPr>
                <m:ctrlPr>
                  <w:rPr>
                    <w:rFonts w:ascii="Cambria Math" w:eastAsiaTheme="minorHAnsi" w:hAnsi="Cambria Math"/>
                    <w:i/>
                    <w:iCs/>
                    <w:color w:val="000000" w:themeColor="text1"/>
                  </w:rPr>
                </m:ctrlPr>
              </m:accPr>
              <m:e>
                <m:r>
                  <w:rPr>
                    <w:rFonts w:ascii="Cambria Math" w:eastAsiaTheme="minorHAnsi" w:hAnsi="Cambria Math"/>
                    <w:color w:val="000000" w:themeColor="text1"/>
                  </w:rPr>
                  <m:t>h</m:t>
                </m:r>
              </m:e>
            </m:acc>
          </m:e>
          <m:sub>
            <m:r>
              <w:rPr>
                <w:rFonts w:ascii="Cambria Math" w:eastAsiaTheme="minorHAnsi" w:hAnsi="Cambria Math"/>
                <w:color w:val="000000" w:themeColor="text1"/>
              </w:rPr>
              <m:t>j</m:t>
            </m:r>
          </m:sub>
        </m:sSub>
        <m:d>
          <m:dPr>
            <m:ctrlPr>
              <w:rPr>
                <w:rFonts w:ascii="Cambria Math" w:eastAsiaTheme="minorHAnsi" w:hAnsi="Cambria Math"/>
                <w:i/>
                <w:color w:val="000000" w:themeColor="text1"/>
                <w:kern w:val="0"/>
                <w:sz w:val="24"/>
                <w:szCs w:val="24"/>
                <w:lang w:eastAsia="en-US"/>
                <w14:ligatures w14:val="none"/>
              </w:rPr>
            </m:ctrlPr>
          </m:dPr>
          <m:e>
            <m:r>
              <w:rPr>
                <w:rFonts w:ascii="Cambria Math" w:eastAsiaTheme="minorHAnsi" w:hAnsi="Cambria Math"/>
                <w:color w:val="000000" w:themeColor="text1"/>
              </w:rPr>
              <m:t>x</m:t>
            </m:r>
          </m:e>
        </m:d>
      </m:oMath>
      <w:r>
        <w:rPr>
          <w:color w:val="000000" w:themeColor="text1"/>
          <w:kern w:val="0"/>
          <w:sz w:val="24"/>
          <w:szCs w:val="24"/>
          <w:lang w:eastAsia="en-US"/>
          <w14:ligatures w14:val="none"/>
        </w:rPr>
        <w:t xml:space="preserve"> are </w:t>
      </w:r>
      <w:r w:rsidR="009A30A9" w:rsidRPr="009A30A9">
        <w:rPr>
          <w:color w:val="000000" w:themeColor="text1"/>
          <w:kern w:val="0"/>
          <w:sz w:val="24"/>
          <w:szCs w:val="24"/>
          <w:lang w:eastAsia="en-US"/>
          <w14:ligatures w14:val="none"/>
        </w:rPr>
        <w:t>the estimated log hazards for treatments</w:t>
      </w:r>
      <w:r w:rsidR="009A30A9">
        <w:rPr>
          <w:color w:val="000000" w:themeColor="text1"/>
          <w:kern w:val="0"/>
          <w:sz w:val="24"/>
          <w:szCs w:val="24"/>
          <w:lang w:eastAsia="en-US"/>
          <w14:ligatures w14:val="none"/>
        </w:rPr>
        <w:t xml:space="preserve"> </w:t>
      </w:r>
      <m:oMath>
        <m:r>
          <w:rPr>
            <w:rFonts w:ascii="Cambria Math" w:eastAsiaTheme="minorHAnsi" w:hAnsi="Cambria Math"/>
            <w:color w:val="000000" w:themeColor="text1"/>
          </w:rPr>
          <m:t>i</m:t>
        </m:r>
      </m:oMath>
      <w:r w:rsidR="00534587">
        <w:rPr>
          <w:rFonts w:eastAsiaTheme="minorHAnsi"/>
          <w:i/>
          <w:iCs/>
          <w:color w:val="000000" w:themeColor="text1"/>
        </w:rPr>
        <w:t xml:space="preserve"> </w:t>
      </w:r>
      <w:r w:rsidR="00534587">
        <w:rPr>
          <w:rFonts w:eastAsiaTheme="minorHAnsi"/>
          <w:color w:val="000000" w:themeColor="text1"/>
        </w:rPr>
        <w:t>(</w:t>
      </w:r>
      <w:r w:rsidR="009A30A9">
        <w:rPr>
          <w:rFonts w:eastAsiaTheme="minorHAnsi"/>
          <w:color w:val="000000" w:themeColor="text1"/>
        </w:rPr>
        <w:t xml:space="preserve">e.g., </w:t>
      </w:r>
      <w:r w:rsidR="00534587">
        <w:rPr>
          <w:rFonts w:eastAsiaTheme="minorHAnsi"/>
          <w:color w:val="000000" w:themeColor="text1"/>
        </w:rPr>
        <w:t>OBS)</w:t>
      </w:r>
      <w:r w:rsidR="006F171B" w:rsidRPr="00AA151A">
        <w:rPr>
          <w:rFonts w:eastAsiaTheme="minorHAnsi"/>
          <w:i/>
          <w:iCs/>
          <w:color w:val="000000" w:themeColor="text1"/>
        </w:rPr>
        <w:t xml:space="preserve"> </w:t>
      </w:r>
      <w:r w:rsidR="006F171B" w:rsidRPr="001D21FD">
        <w:rPr>
          <w:rFonts w:eastAsiaTheme="minorHAnsi"/>
          <w:color w:val="000000" w:themeColor="text1"/>
        </w:rPr>
        <w:t xml:space="preserve">and </w:t>
      </w:r>
      <m:oMath>
        <m:r>
          <w:rPr>
            <w:rFonts w:ascii="Cambria Math" w:eastAsiaTheme="minorHAnsi" w:hAnsi="Cambria Math"/>
            <w:color w:val="000000" w:themeColor="text1"/>
          </w:rPr>
          <m:t>j</m:t>
        </m:r>
      </m:oMath>
      <w:r w:rsidR="00534587">
        <w:rPr>
          <w:iCs/>
          <w:color w:val="000000" w:themeColor="text1"/>
        </w:rPr>
        <w:t xml:space="preserve"> (</w:t>
      </w:r>
      <w:r w:rsidR="009A30A9">
        <w:rPr>
          <w:iCs/>
          <w:color w:val="000000" w:themeColor="text1"/>
        </w:rPr>
        <w:t xml:space="preserve">e.g., </w:t>
      </w:r>
      <w:r w:rsidR="00534587">
        <w:rPr>
          <w:iCs/>
          <w:color w:val="000000" w:themeColor="text1"/>
        </w:rPr>
        <w:t>ACT)</w:t>
      </w:r>
      <w:r w:rsidR="006F171B" w:rsidRPr="001D21FD">
        <w:rPr>
          <w:rFonts w:eastAsiaTheme="minorHAnsi"/>
          <w:color w:val="000000" w:themeColor="text1"/>
        </w:rPr>
        <w:t>,</w:t>
      </w:r>
      <w:r w:rsidR="00EA5BE1">
        <w:rPr>
          <w:rFonts w:eastAsiaTheme="minorHAnsi"/>
          <w:color w:val="000000" w:themeColor="text1"/>
        </w:rPr>
        <w:t xml:space="preserve"> respectively.</w:t>
      </w:r>
    </w:p>
    <w:p w14:paraId="2C61824B" w14:textId="00A9FE82" w:rsidR="00FE3DF7" w:rsidRPr="006B0A3E" w:rsidRDefault="00EA5BE1" w:rsidP="006B0A3E">
      <w:pPr>
        <w:spacing w:line="240" w:lineRule="auto"/>
        <w:rPr>
          <w:rFonts w:eastAsiaTheme="minorHAnsi"/>
          <w:color w:val="000000" w:themeColor="text1"/>
          <w:sz w:val="18"/>
          <w:szCs w:val="18"/>
        </w:rPr>
      </w:pPr>
      <w:r w:rsidRPr="00EA5BE1">
        <w:rPr>
          <w:rFonts w:eastAsiaTheme="minorHAnsi"/>
          <w:color w:val="000000" w:themeColor="text1"/>
        </w:rPr>
        <w:t>To generate the recommendation, the algorithm evaluates the patient's data under both treatment groups</w:t>
      </w:r>
      <w:r w:rsidR="00F13052" w:rsidRPr="00F13052">
        <w:rPr>
          <w:rFonts w:ascii="Cambria Math" w:eastAsiaTheme="minorHAnsi" w:hAnsi="Cambria Math"/>
          <w:i/>
          <w:iCs/>
          <w:color w:val="000000" w:themeColor="text1"/>
        </w:rPr>
        <w:t xml:space="preserve"> </w:t>
      </w:r>
      <m:oMath>
        <m:r>
          <w:rPr>
            <w:rFonts w:ascii="Cambria Math" w:eastAsiaTheme="minorHAnsi" w:hAnsi="Cambria Math"/>
            <w:color w:val="000000" w:themeColor="text1"/>
          </w:rPr>
          <m:t>i</m:t>
        </m:r>
      </m:oMath>
      <w:r w:rsidR="00F13052">
        <w:rPr>
          <w:rFonts w:eastAsiaTheme="minorHAnsi"/>
          <w:i/>
          <w:iCs/>
          <w:color w:val="000000" w:themeColor="text1"/>
        </w:rPr>
        <w:t xml:space="preserve"> </w:t>
      </w:r>
      <w:r w:rsidR="00F13052">
        <w:rPr>
          <w:rFonts w:eastAsiaTheme="minorHAnsi"/>
          <w:color w:val="000000" w:themeColor="text1"/>
        </w:rPr>
        <w:t>(OBS)</w:t>
      </w:r>
      <w:r w:rsidR="00F13052" w:rsidRPr="00AA151A">
        <w:rPr>
          <w:rFonts w:eastAsiaTheme="minorHAnsi"/>
          <w:i/>
          <w:iCs/>
          <w:color w:val="000000" w:themeColor="text1"/>
        </w:rPr>
        <w:t xml:space="preserve"> </w:t>
      </w:r>
      <w:r w:rsidR="00F13052" w:rsidRPr="001D21FD">
        <w:rPr>
          <w:rFonts w:eastAsiaTheme="minorHAnsi"/>
          <w:color w:val="000000" w:themeColor="text1"/>
        </w:rPr>
        <w:t xml:space="preserve">and </w:t>
      </w:r>
      <m:oMath>
        <m:r>
          <w:rPr>
            <w:rFonts w:ascii="Cambria Math" w:eastAsiaTheme="minorHAnsi" w:hAnsi="Cambria Math"/>
            <w:color w:val="000000" w:themeColor="text1"/>
          </w:rPr>
          <m:t>j</m:t>
        </m:r>
      </m:oMath>
      <w:r w:rsidR="00F13052">
        <w:rPr>
          <w:iCs/>
          <w:color w:val="000000" w:themeColor="text1"/>
        </w:rPr>
        <w:t xml:space="preserve"> (ACT)</w:t>
      </w:r>
      <w:r w:rsidR="00F13052">
        <w:rPr>
          <w:rFonts w:eastAsiaTheme="minorHAnsi"/>
          <w:color w:val="000000" w:themeColor="text1"/>
        </w:rPr>
        <w:t xml:space="preserve"> </w:t>
      </w:r>
      <w:r w:rsidR="0087068D" w:rsidRPr="0087068D">
        <w:rPr>
          <w:rFonts w:eastAsiaTheme="minorHAnsi"/>
          <w:color w:val="000000" w:themeColor="text1"/>
        </w:rPr>
        <w:t>and compares the results. A positive value of</w:t>
      </w:r>
      <w:r w:rsidR="0087068D">
        <w:rPr>
          <w:rFonts w:eastAsiaTheme="minorHAnsi"/>
          <w:color w:val="000000" w:themeColor="text1"/>
        </w:rPr>
        <w:t xml:space="preserve"> </w:t>
      </w:r>
      <m:oMath>
        <m:sSub>
          <m:sSubPr>
            <m:ctrlPr>
              <w:rPr>
                <w:rFonts w:ascii="Cambria Math" w:eastAsiaTheme="minorHAnsi" w:hAnsi="Cambria Math"/>
                <w:i/>
                <w:iCs/>
                <w:color w:val="000000" w:themeColor="text1"/>
              </w:rPr>
            </m:ctrlPr>
          </m:sSubPr>
          <m:e>
            <m:r>
              <w:rPr>
                <w:rFonts w:ascii="Cambria Math" w:eastAsiaTheme="minorHAnsi" w:hAnsi="Cambria Math"/>
                <w:color w:val="000000" w:themeColor="text1"/>
              </w:rPr>
              <m:t>rec</m:t>
            </m:r>
          </m:e>
          <m:sub>
            <m:r>
              <w:rPr>
                <w:rFonts w:ascii="Cambria Math" w:eastAsiaTheme="minorHAnsi" w:hAnsi="Cambria Math"/>
                <w:color w:val="000000" w:themeColor="text1"/>
              </w:rPr>
              <m:t>ij</m:t>
            </m:r>
          </m:sub>
        </m:sSub>
        <m:d>
          <m:dPr>
            <m:ctrlPr>
              <w:rPr>
                <w:rFonts w:ascii="Cambria Math" w:eastAsiaTheme="minorHAnsi" w:hAnsi="Cambria Math"/>
                <w:i/>
                <w:color w:val="000000" w:themeColor="text1"/>
                <w:kern w:val="0"/>
                <w:sz w:val="24"/>
                <w:szCs w:val="24"/>
                <w:lang w:eastAsia="en-US"/>
                <w14:ligatures w14:val="none"/>
              </w:rPr>
            </m:ctrlPr>
          </m:dPr>
          <m:e>
            <m:r>
              <w:rPr>
                <w:rFonts w:ascii="Cambria Math" w:eastAsiaTheme="minorHAnsi" w:hAnsi="Cambria Math"/>
                <w:color w:val="000000" w:themeColor="text1"/>
              </w:rPr>
              <m:t>x</m:t>
            </m:r>
          </m:e>
        </m:d>
      </m:oMath>
      <w:r w:rsidR="0087068D">
        <w:rPr>
          <w:color w:val="000000" w:themeColor="text1"/>
          <w:kern w:val="0"/>
          <w:sz w:val="24"/>
          <w:szCs w:val="24"/>
          <w:lang w:eastAsia="en-US"/>
          <w14:ligatures w14:val="none"/>
        </w:rPr>
        <w:t xml:space="preserve"> </w:t>
      </w:r>
      <w:r w:rsidR="0087068D" w:rsidRPr="0087068D">
        <w:rPr>
          <w:color w:val="000000" w:themeColor="text1"/>
          <w:kern w:val="0"/>
          <w:lang w:eastAsia="en-US"/>
          <w14:ligatures w14:val="none"/>
        </w:rPr>
        <w:t xml:space="preserve">indicates that </w:t>
      </w:r>
      <w:r w:rsidR="0087068D" w:rsidRPr="0087068D">
        <w:rPr>
          <w:color w:val="000000" w:themeColor="text1"/>
          <w:kern w:val="0"/>
          <w:lang w:eastAsia="en-US"/>
          <w14:ligatures w14:val="none"/>
        </w:rPr>
        <w:lastRenderedPageBreak/>
        <w:t>treatment</w:t>
      </w:r>
      <w:r w:rsidR="0087068D">
        <w:rPr>
          <w:color w:val="000000" w:themeColor="text1"/>
          <w:kern w:val="0"/>
          <w:lang w:eastAsia="en-US"/>
          <w14:ligatures w14:val="none"/>
        </w:rPr>
        <w:t xml:space="preserve"> </w:t>
      </w:r>
      <m:oMath>
        <m:r>
          <w:rPr>
            <w:rFonts w:ascii="Cambria Math" w:eastAsiaTheme="minorHAnsi" w:hAnsi="Cambria Math"/>
            <w:color w:val="000000" w:themeColor="text1"/>
          </w:rPr>
          <m:t>i</m:t>
        </m:r>
      </m:oMath>
      <w:r w:rsidR="0074706A">
        <w:rPr>
          <w:rFonts w:eastAsiaTheme="minorHAnsi"/>
          <w:i/>
          <w:iCs/>
          <w:color w:val="000000" w:themeColor="text1"/>
        </w:rPr>
        <w:t xml:space="preserve"> </w:t>
      </w:r>
      <w:r w:rsidR="0074706A">
        <w:rPr>
          <w:rFonts w:eastAsiaTheme="minorHAnsi"/>
          <w:color w:val="000000" w:themeColor="text1"/>
        </w:rPr>
        <w:t xml:space="preserve">(OBS) </w:t>
      </w:r>
      <w:r w:rsidR="00296041" w:rsidRPr="00296041">
        <w:rPr>
          <w:rFonts w:eastAsiaTheme="minorHAnsi"/>
          <w:color w:val="000000" w:themeColor="text1"/>
        </w:rPr>
        <w:t>is associated with a higher risk of an adverse outcome compared to treatment</w:t>
      </w:r>
      <w:r w:rsidR="00296041">
        <w:rPr>
          <w:rFonts w:eastAsiaTheme="minorHAnsi"/>
          <w:color w:val="000000" w:themeColor="text1"/>
        </w:rPr>
        <w:t xml:space="preserve"> </w:t>
      </w:r>
      <m:oMath>
        <m:r>
          <w:rPr>
            <w:rFonts w:ascii="Cambria Math" w:eastAsiaTheme="minorHAnsi" w:hAnsi="Cambria Math"/>
            <w:color w:val="000000" w:themeColor="text1"/>
          </w:rPr>
          <m:t>j</m:t>
        </m:r>
      </m:oMath>
      <w:r w:rsidR="00296041">
        <w:rPr>
          <w:iCs/>
          <w:color w:val="000000" w:themeColor="text1"/>
        </w:rPr>
        <w:t xml:space="preserve"> (ACT), </w:t>
      </w:r>
      <w:r w:rsidR="00296041" w:rsidRPr="00296041">
        <w:rPr>
          <w:iCs/>
          <w:color w:val="000000" w:themeColor="text1"/>
        </w:rPr>
        <w:t>leading to a recommendation for ACT. Conversely, a negative value of</w:t>
      </w:r>
      <w:r w:rsidR="00296041">
        <w:rPr>
          <w:iCs/>
          <w:color w:val="000000" w:themeColor="text1"/>
        </w:rPr>
        <w:t xml:space="preserve"> </w:t>
      </w:r>
      <m:oMath>
        <m:sSub>
          <m:sSubPr>
            <m:ctrlPr>
              <w:rPr>
                <w:rFonts w:ascii="Cambria Math" w:eastAsiaTheme="minorHAnsi" w:hAnsi="Cambria Math"/>
                <w:i/>
                <w:iCs/>
                <w:color w:val="000000" w:themeColor="text1"/>
              </w:rPr>
            </m:ctrlPr>
          </m:sSubPr>
          <m:e>
            <m:r>
              <w:rPr>
                <w:rFonts w:ascii="Cambria Math" w:eastAsiaTheme="minorHAnsi" w:hAnsi="Cambria Math"/>
                <w:color w:val="000000" w:themeColor="text1"/>
              </w:rPr>
              <m:t>rec</m:t>
            </m:r>
          </m:e>
          <m:sub>
            <m:r>
              <w:rPr>
                <w:rFonts w:ascii="Cambria Math" w:eastAsiaTheme="minorHAnsi" w:hAnsi="Cambria Math"/>
                <w:color w:val="000000" w:themeColor="text1"/>
              </w:rPr>
              <m:t>ij</m:t>
            </m:r>
          </m:sub>
        </m:sSub>
        <m:d>
          <m:dPr>
            <m:ctrlPr>
              <w:rPr>
                <w:rFonts w:ascii="Cambria Math" w:eastAsiaTheme="minorHAnsi" w:hAnsi="Cambria Math"/>
                <w:i/>
                <w:color w:val="000000" w:themeColor="text1"/>
                <w:kern w:val="0"/>
                <w:sz w:val="24"/>
                <w:szCs w:val="24"/>
                <w:lang w:eastAsia="en-US"/>
                <w14:ligatures w14:val="none"/>
              </w:rPr>
            </m:ctrlPr>
          </m:dPr>
          <m:e>
            <m:r>
              <w:rPr>
                <w:rFonts w:ascii="Cambria Math" w:eastAsiaTheme="minorHAnsi" w:hAnsi="Cambria Math"/>
                <w:color w:val="000000" w:themeColor="text1"/>
              </w:rPr>
              <m:t>x</m:t>
            </m:r>
          </m:e>
        </m:d>
      </m:oMath>
      <w:r w:rsidR="00296041">
        <w:rPr>
          <w:color w:val="000000" w:themeColor="text1"/>
          <w:kern w:val="0"/>
          <w:sz w:val="24"/>
          <w:szCs w:val="24"/>
          <w:lang w:eastAsia="en-US"/>
          <w14:ligatures w14:val="none"/>
        </w:rPr>
        <w:t xml:space="preserve"> </w:t>
      </w:r>
      <w:r w:rsidR="00044F90" w:rsidRPr="00044F90">
        <w:rPr>
          <w:color w:val="000000" w:themeColor="text1"/>
          <w:kern w:val="0"/>
          <w:lang w:eastAsia="en-US"/>
          <w14:ligatures w14:val="none"/>
        </w:rPr>
        <w:t>suggests that treatment</w:t>
      </w:r>
      <w:r w:rsidR="00044F90">
        <w:rPr>
          <w:color w:val="000000" w:themeColor="text1"/>
          <w:kern w:val="0"/>
          <w:lang w:eastAsia="en-US"/>
          <w14:ligatures w14:val="none"/>
        </w:rPr>
        <w:t xml:space="preserve"> </w:t>
      </w:r>
      <m:oMath>
        <m:r>
          <w:rPr>
            <w:rFonts w:ascii="Cambria Math" w:eastAsiaTheme="minorHAnsi" w:hAnsi="Cambria Math"/>
            <w:color w:val="000000" w:themeColor="text1"/>
          </w:rPr>
          <m:t>i</m:t>
        </m:r>
      </m:oMath>
      <w:r w:rsidR="00044F90">
        <w:rPr>
          <w:rFonts w:eastAsiaTheme="minorHAnsi"/>
          <w:i/>
          <w:iCs/>
          <w:color w:val="000000" w:themeColor="text1"/>
        </w:rPr>
        <w:t xml:space="preserve"> </w:t>
      </w:r>
      <w:r w:rsidR="00044F90">
        <w:rPr>
          <w:rFonts w:eastAsiaTheme="minorHAnsi"/>
          <w:color w:val="000000" w:themeColor="text1"/>
        </w:rPr>
        <w:t xml:space="preserve">(OBS) </w:t>
      </w:r>
      <w:r w:rsidR="0000307E" w:rsidRPr="0000307E">
        <w:rPr>
          <w:rFonts w:eastAsiaTheme="minorHAnsi"/>
          <w:color w:val="000000" w:themeColor="text1"/>
        </w:rPr>
        <w:t>is more effective, as it is associated with a lower risk of an adverse outcome than treatment</w:t>
      </w:r>
      <w:r w:rsidR="0000307E">
        <w:rPr>
          <w:rFonts w:eastAsiaTheme="minorHAnsi"/>
          <w:color w:val="000000" w:themeColor="text1"/>
        </w:rPr>
        <w:t xml:space="preserve"> </w:t>
      </w:r>
      <m:oMath>
        <m:r>
          <w:rPr>
            <w:rFonts w:ascii="Cambria Math" w:eastAsiaTheme="minorHAnsi" w:hAnsi="Cambria Math"/>
            <w:color w:val="000000" w:themeColor="text1"/>
          </w:rPr>
          <m:t>j</m:t>
        </m:r>
      </m:oMath>
      <w:r w:rsidR="0000307E">
        <w:rPr>
          <w:iCs/>
          <w:color w:val="000000" w:themeColor="text1"/>
        </w:rPr>
        <w:t xml:space="preserve"> (ACT). </w:t>
      </w:r>
    </w:p>
    <w:p w14:paraId="5F475FFF" w14:textId="19C2EB5E" w:rsidR="006E10B7" w:rsidRDefault="006E10B7" w:rsidP="00740B83">
      <w:pPr>
        <w:rPr>
          <w:rFonts w:eastAsia="Malgun Gothic"/>
          <w:lang w:eastAsia="ko-KR"/>
        </w:rPr>
      </w:pPr>
    </w:p>
    <w:p w14:paraId="10B75346" w14:textId="0E9CCD44" w:rsidR="00DC2630" w:rsidRPr="00424FD8" w:rsidRDefault="00DC2630" w:rsidP="00DC2630">
      <w:pPr>
        <w:rPr>
          <w:rFonts w:eastAsia="Malgun Gothic"/>
          <w:b/>
          <w:bCs/>
          <w:lang w:eastAsia="ko-KR"/>
        </w:rPr>
      </w:pPr>
      <w:r w:rsidRPr="00424FD8">
        <w:rPr>
          <w:rFonts w:eastAsia="Malgun Gothic"/>
          <w:b/>
          <w:bCs/>
          <w:lang w:eastAsia="ko-KR"/>
        </w:rPr>
        <w:t>2.</w:t>
      </w:r>
      <w:r>
        <w:rPr>
          <w:rFonts w:eastAsia="Malgun Gothic" w:hint="eastAsia"/>
          <w:b/>
          <w:bCs/>
          <w:lang w:eastAsia="ko-KR"/>
        </w:rPr>
        <w:t>2.</w:t>
      </w:r>
      <w:r>
        <w:rPr>
          <w:rFonts w:eastAsia="Malgun Gothic"/>
          <w:b/>
          <w:bCs/>
          <w:lang w:eastAsia="ko-KR"/>
        </w:rPr>
        <w:t>4</w:t>
      </w:r>
      <w:r w:rsidRPr="00424FD8">
        <w:rPr>
          <w:rFonts w:eastAsia="Malgun Gothic"/>
          <w:b/>
          <w:bCs/>
          <w:lang w:eastAsia="ko-KR"/>
        </w:rPr>
        <w:t xml:space="preserve"> </w:t>
      </w:r>
      <w:r>
        <w:rPr>
          <w:rFonts w:eastAsia="Malgun Gothic"/>
          <w:b/>
          <w:bCs/>
          <w:lang w:eastAsia="ko-KR"/>
        </w:rPr>
        <w:t>Performance measure: Concordance Index</w:t>
      </w:r>
    </w:p>
    <w:p w14:paraId="22B72379" w14:textId="62B2D29A" w:rsidR="00C36D6E" w:rsidRDefault="00C36D6E" w:rsidP="00C36D6E">
      <w:pPr>
        <w:rPr>
          <w:rFonts w:ascii="Calibri" w:eastAsia="Malgun Gothic" w:hAnsi="Calibri" w:cs="Calibri"/>
          <w:iCs/>
          <w:lang w:eastAsia="ko-KR"/>
        </w:rPr>
      </w:pPr>
      <w:r w:rsidRPr="00C36D6E">
        <w:rPr>
          <w:rFonts w:ascii="Calibri" w:eastAsia="Malgun Gothic" w:hAnsi="Calibri" w:cs="Calibri"/>
          <w:iCs/>
          <w:lang w:eastAsia="ko-KR"/>
        </w:rPr>
        <w:t>The Concordance index (C-index) was used to quantify the model’s performance (Harrell, et al., 1982).</w:t>
      </w:r>
      <w:r>
        <w:rPr>
          <w:rFonts w:ascii="Calibri" w:eastAsia="Malgun Gothic" w:hAnsi="Calibri" w:cs="Calibri"/>
          <w:iCs/>
          <w:lang w:eastAsia="ko-KR"/>
        </w:rPr>
        <w:t xml:space="preserve"> The C-index is a widely used performance </w:t>
      </w:r>
      <w:proofErr w:type="gramStart"/>
      <w:r>
        <w:rPr>
          <w:rFonts w:ascii="Calibri" w:eastAsia="Malgun Gothic" w:hAnsi="Calibri" w:cs="Calibri"/>
          <w:iCs/>
          <w:lang w:eastAsia="ko-KR"/>
        </w:rPr>
        <w:t>matric</w:t>
      </w:r>
      <w:proofErr w:type="gramEnd"/>
      <w:r>
        <w:rPr>
          <w:rFonts w:ascii="Calibri" w:eastAsia="Malgun Gothic" w:hAnsi="Calibri" w:cs="Calibri"/>
          <w:iCs/>
          <w:lang w:eastAsia="ko-KR"/>
        </w:rPr>
        <w:t xml:space="preserve"> in survival analysis that quantifies the discriminative ability of a predictive model. It evaluates the extent to which a model correctly ranks survival times, determining whether</w:t>
      </w:r>
      <w:r w:rsidR="007E20E8">
        <w:rPr>
          <w:rFonts w:ascii="Calibri" w:eastAsia="Malgun Gothic" w:hAnsi="Calibri" w:cs="Calibri"/>
          <w:iCs/>
          <w:lang w:eastAsia="ko-KR"/>
        </w:rPr>
        <w:t xml:space="preserve"> patients with higher predicted risks experience </w:t>
      </w:r>
      <w:r w:rsidR="004C31FB">
        <w:rPr>
          <w:rFonts w:ascii="Calibri" w:eastAsia="Malgun Gothic" w:hAnsi="Calibri" w:cs="Calibri"/>
          <w:iCs/>
          <w:lang w:eastAsia="ko-KR"/>
        </w:rPr>
        <w:t>event</w:t>
      </w:r>
      <w:r w:rsidR="00230415">
        <w:rPr>
          <w:rFonts w:ascii="Calibri" w:eastAsia="Malgun Gothic" w:hAnsi="Calibri" w:cs="Calibri"/>
          <w:iCs/>
          <w:lang w:eastAsia="ko-KR"/>
        </w:rPr>
        <w:t xml:space="preserve">s (e.g., death) earlier than those with lower predictive risks. The C-index </w:t>
      </w:r>
      <w:r w:rsidR="00FD2E7C">
        <w:rPr>
          <w:rFonts w:ascii="Calibri" w:eastAsia="Malgun Gothic" w:hAnsi="Calibri" w:cs="Calibri"/>
          <w:iCs/>
          <w:lang w:eastAsia="ko-KR"/>
        </w:rPr>
        <w:t>provides an objective assessment of prognostic models used for individualized treatment recommendations</w:t>
      </w:r>
      <w:r w:rsidR="0068154E">
        <w:rPr>
          <w:rFonts w:ascii="Calibri" w:eastAsia="Malgun Gothic" w:hAnsi="Calibri" w:cs="Calibri"/>
          <w:iCs/>
          <w:lang w:eastAsia="ko-KR"/>
        </w:rPr>
        <w:t xml:space="preserve"> (Uno et al., 2011)</w:t>
      </w:r>
      <w:r w:rsidR="00FD2E7C">
        <w:rPr>
          <w:rFonts w:ascii="Calibri" w:eastAsia="Malgun Gothic" w:hAnsi="Calibri" w:cs="Calibri"/>
          <w:iCs/>
          <w:lang w:eastAsia="ko-KR"/>
        </w:rPr>
        <w:t>.</w:t>
      </w:r>
    </w:p>
    <w:p w14:paraId="7B17A2E8" w14:textId="026C6F14" w:rsidR="00AA5C27" w:rsidRDefault="00AA5C27" w:rsidP="00C36D6E">
      <w:pPr>
        <w:rPr>
          <w:rFonts w:ascii="Calibri" w:eastAsia="Malgun Gothic" w:hAnsi="Calibri" w:cs="Calibri"/>
          <w:iCs/>
          <w:lang w:eastAsia="ko-KR"/>
        </w:rPr>
      </w:pPr>
      <w:r>
        <w:rPr>
          <w:rFonts w:ascii="Calibri" w:eastAsia="Malgun Gothic" w:hAnsi="Calibri" w:cs="Calibri"/>
          <w:iCs/>
          <w:lang w:eastAsia="ko-KR"/>
        </w:rPr>
        <w:t>The C-</w:t>
      </w:r>
      <w:r w:rsidR="008B78B5">
        <w:rPr>
          <w:rFonts w:ascii="Calibri" w:eastAsia="Malgun Gothic" w:hAnsi="Calibri" w:cs="Calibri"/>
          <w:iCs/>
          <w:lang w:eastAsia="ko-KR"/>
        </w:rPr>
        <w:t>index is defined as:</w:t>
      </w:r>
    </w:p>
    <w:p w14:paraId="0C7B8363" w14:textId="37DAA38D" w:rsidR="008B78B5" w:rsidRPr="00BC70FB" w:rsidRDefault="008B78B5" w:rsidP="00C36D6E">
      <w:pPr>
        <w:rPr>
          <w:rFonts w:ascii="Calibri" w:eastAsia="Malgun Gothic" w:hAnsi="Calibri" w:cs="Calibri"/>
          <w:lang w:eastAsia="ko-KR"/>
        </w:rPr>
      </w:pPr>
      <m:oMathPara>
        <m:oMath>
          <m:r>
            <w:rPr>
              <w:rFonts w:ascii="Cambria Math" w:eastAsia="Malgun Gothic" w:hAnsi="Cambria Math"/>
              <w:lang w:eastAsia="ko-KR"/>
            </w:rPr>
            <m:t>C=</m:t>
          </m:r>
          <m:f>
            <m:fPr>
              <m:ctrlPr>
                <w:rPr>
                  <w:rFonts w:ascii="Cambria Math" w:eastAsia="Malgun Gothic" w:hAnsi="Cambria Math"/>
                  <w:i/>
                  <w:lang w:eastAsia="ko-KR"/>
                </w:rPr>
              </m:ctrlPr>
            </m:fPr>
            <m:num>
              <m:nary>
                <m:naryPr>
                  <m:chr m:val="∑"/>
                  <m:limLoc m:val="subSup"/>
                  <m:supHide m:val="1"/>
                  <m:ctrlPr>
                    <w:rPr>
                      <w:rFonts w:ascii="Cambria Math" w:eastAsia="Malgun Gothic" w:hAnsi="Cambria Math"/>
                      <w:i/>
                      <w:lang w:eastAsia="ko-KR"/>
                    </w:rPr>
                  </m:ctrlPr>
                </m:naryPr>
                <m:sub>
                  <m:d>
                    <m:dPr>
                      <m:begChr m:val="{"/>
                      <m:endChr m:val="}"/>
                      <m:ctrlPr>
                        <w:rPr>
                          <w:rFonts w:ascii="Cambria Math" w:eastAsia="Malgun Gothic" w:hAnsi="Cambria Math"/>
                          <w:i/>
                          <w:lang w:eastAsia="ko-KR"/>
                        </w:rPr>
                      </m:ctrlPr>
                    </m:dPr>
                    <m:e>
                      <m:r>
                        <w:rPr>
                          <w:rFonts w:ascii="Cambria Math" w:eastAsia="Malgun Gothic" w:hAnsi="Cambria Math"/>
                          <w:lang w:eastAsia="ko-KR"/>
                        </w:rPr>
                        <m:t>i,j</m:t>
                      </m:r>
                    </m:e>
                  </m:d>
                  <m:r>
                    <m:rPr>
                      <m:scr m:val="script"/>
                    </m:rPr>
                    <w:rPr>
                      <w:rFonts w:ascii="Cambria Math" w:eastAsia="Malgun Gothic" w:hAnsi="Cambria Math"/>
                      <w:lang w:eastAsia="ko-KR"/>
                    </w:rPr>
                    <m:t>∈C</m:t>
                  </m:r>
                </m:sub>
                <m:sup/>
                <m:e>
                  <m:r>
                    <w:rPr>
                      <w:rFonts w:ascii="Cambria Math" w:eastAsia="Malgun Gothic" w:hAnsi="Cambria Math"/>
                      <w:lang w:eastAsia="ko-KR"/>
                    </w:rPr>
                    <m:t>I</m:t>
                  </m:r>
                  <m:d>
                    <m:dPr>
                      <m:ctrlPr>
                        <w:rPr>
                          <w:rFonts w:ascii="Cambria Math" w:eastAsia="Malgun Gothic" w:hAnsi="Cambria Math"/>
                          <w:i/>
                          <w:lang w:eastAsia="ko-KR"/>
                        </w:rPr>
                      </m:ctrlPr>
                    </m:dPr>
                    <m:e>
                      <m:r>
                        <w:rPr>
                          <w:rFonts w:ascii="Cambria Math" w:eastAsia="Malgun Gothic" w:hAnsi="Cambria Math"/>
                          <w:lang w:eastAsia="ko-KR"/>
                        </w:rPr>
                        <m:t>h</m:t>
                      </m:r>
                      <m:d>
                        <m:dPr>
                          <m:ctrlPr>
                            <w:rPr>
                              <w:rFonts w:ascii="Cambria Math" w:eastAsia="Malgun Gothic" w:hAnsi="Cambria Math"/>
                              <w:i/>
                              <w:lang w:eastAsia="ko-KR"/>
                            </w:rPr>
                          </m:ctrlPr>
                        </m:dPr>
                        <m:e>
                          <m:sSub>
                            <m:sSubPr>
                              <m:ctrlPr>
                                <w:rPr>
                                  <w:rFonts w:ascii="Cambria Math" w:eastAsia="Malgun Gothic" w:hAnsi="Cambria Math"/>
                                  <w:i/>
                                  <w:lang w:eastAsia="ko-KR"/>
                                </w:rPr>
                              </m:ctrlPr>
                            </m:sSubPr>
                            <m:e>
                              <m:r>
                                <w:rPr>
                                  <w:rFonts w:ascii="Cambria Math" w:eastAsia="Malgun Gothic" w:hAnsi="Cambria Math"/>
                                  <w:lang w:eastAsia="ko-KR"/>
                                </w:rPr>
                                <m:t>X</m:t>
                              </m:r>
                            </m:e>
                            <m:sub>
                              <m:r>
                                <w:rPr>
                                  <w:rFonts w:ascii="Cambria Math" w:eastAsia="Malgun Gothic" w:hAnsi="Cambria Math"/>
                                  <w:lang w:eastAsia="ko-KR"/>
                                </w:rPr>
                                <m:t>i</m:t>
                              </m:r>
                            </m:sub>
                          </m:sSub>
                        </m:e>
                      </m:d>
                      <m:r>
                        <w:rPr>
                          <w:rFonts w:ascii="Cambria Math" w:eastAsia="Malgun Gothic" w:hAnsi="Cambria Math"/>
                          <w:lang w:eastAsia="ko-KR"/>
                        </w:rPr>
                        <m:t>&gt;h</m:t>
                      </m:r>
                      <m:d>
                        <m:dPr>
                          <m:ctrlPr>
                            <w:rPr>
                              <w:rFonts w:ascii="Cambria Math" w:eastAsia="Malgun Gothic" w:hAnsi="Cambria Math"/>
                              <w:i/>
                              <w:lang w:eastAsia="ko-KR"/>
                            </w:rPr>
                          </m:ctrlPr>
                        </m:dPr>
                        <m:e>
                          <m:sSub>
                            <m:sSubPr>
                              <m:ctrlPr>
                                <w:rPr>
                                  <w:rFonts w:ascii="Cambria Math" w:eastAsia="Malgun Gothic" w:hAnsi="Cambria Math"/>
                                  <w:i/>
                                  <w:lang w:eastAsia="ko-KR"/>
                                </w:rPr>
                              </m:ctrlPr>
                            </m:sSubPr>
                            <m:e>
                              <m:r>
                                <w:rPr>
                                  <w:rFonts w:ascii="Cambria Math" w:eastAsia="Malgun Gothic" w:hAnsi="Cambria Math"/>
                                  <w:lang w:eastAsia="ko-KR"/>
                                </w:rPr>
                                <m:t>X</m:t>
                              </m:r>
                            </m:e>
                            <m:sub>
                              <m:r>
                                <w:rPr>
                                  <w:rFonts w:ascii="Cambria Math" w:eastAsia="Malgun Gothic" w:hAnsi="Cambria Math"/>
                                  <w:lang w:eastAsia="ko-KR"/>
                                </w:rPr>
                                <m:t>j</m:t>
                              </m:r>
                            </m:sub>
                          </m:sSub>
                        </m:e>
                      </m:d>
                    </m:e>
                  </m:d>
                </m:e>
              </m:nary>
            </m:num>
            <m:den>
              <m:d>
                <m:dPr>
                  <m:begChr m:val="|"/>
                  <m:endChr m:val="|"/>
                  <m:ctrlPr>
                    <w:rPr>
                      <w:rFonts w:ascii="Cambria Math" w:eastAsia="Malgun Gothic" w:hAnsi="Cambria Math"/>
                      <w:i/>
                      <w:lang w:eastAsia="ko-KR"/>
                    </w:rPr>
                  </m:ctrlPr>
                </m:dPr>
                <m:e>
                  <m:r>
                    <m:rPr>
                      <m:scr m:val="script"/>
                    </m:rPr>
                    <w:rPr>
                      <w:rFonts w:ascii="Cambria Math" w:eastAsia="Malgun Gothic" w:hAnsi="Cambria Math"/>
                      <w:lang w:eastAsia="ko-KR"/>
                    </w:rPr>
                    <m:t>C</m:t>
                  </m:r>
                </m:e>
              </m:d>
            </m:den>
          </m:f>
          <m:r>
            <w:rPr>
              <w:rFonts w:ascii="Cambria Math" w:eastAsia="Malgun Gothic" w:hAnsi="Cambria Math"/>
              <w:lang w:eastAsia="ko-KR"/>
            </w:rPr>
            <m:t>.</m:t>
          </m:r>
        </m:oMath>
      </m:oMathPara>
    </w:p>
    <w:p w14:paraId="2EA2ACB0" w14:textId="3B579536" w:rsidR="00BC70FB" w:rsidRDefault="005D3620" w:rsidP="00C36D6E">
      <w:pPr>
        <w:rPr>
          <w:rFonts w:ascii="Calibri" w:eastAsia="Malgun Gothic" w:hAnsi="Calibri" w:cs="Calibri"/>
          <w:lang w:eastAsia="ko-KR"/>
        </w:rPr>
      </w:pPr>
      <w:r>
        <w:rPr>
          <w:rFonts w:ascii="Calibri" w:eastAsia="Malgun Gothic" w:hAnsi="Calibri" w:cs="Calibri"/>
          <w:lang w:eastAsia="ko-KR"/>
        </w:rPr>
        <w:t xml:space="preserve">Here, </w:t>
      </w:r>
      <m:oMath>
        <m:r>
          <m:rPr>
            <m:scr m:val="script"/>
          </m:rPr>
          <w:rPr>
            <w:rFonts w:ascii="Cambria Math" w:eastAsia="Malgun Gothic" w:hAnsi="Cambria Math"/>
            <w:lang w:eastAsia="ko-KR"/>
          </w:rPr>
          <m:t>C</m:t>
        </m:r>
      </m:oMath>
      <w:r w:rsidR="00BC70FB">
        <w:rPr>
          <w:rFonts w:ascii="Calibri" w:eastAsia="Malgun Gothic" w:hAnsi="Calibri" w:cs="Calibri"/>
          <w:lang w:eastAsia="ko-KR"/>
        </w:rPr>
        <w:t xml:space="preserve"> </w:t>
      </w:r>
      <w:r w:rsidR="009B12B5">
        <w:rPr>
          <w:rFonts w:ascii="Calibri" w:eastAsia="Malgun Gothic" w:hAnsi="Calibri" w:cs="Calibri"/>
          <w:lang w:eastAsia="ko-KR"/>
        </w:rPr>
        <w:t>represents the set of all permissible (comparable) patient pairs</w:t>
      </w:r>
      <w:r w:rsidR="00BC70FB">
        <w:rPr>
          <w:rFonts w:ascii="Calibri" w:eastAsia="Malgun Gothic" w:hAnsi="Calibri" w:cs="Calibri"/>
          <w:lang w:eastAsia="ko-KR"/>
        </w:rPr>
        <w:t xml:space="preserve"> </w:t>
      </w:r>
      <m:oMath>
        <m:d>
          <m:dPr>
            <m:begChr m:val="{"/>
            <m:endChr m:val="}"/>
            <m:ctrlPr>
              <w:rPr>
                <w:rFonts w:ascii="Cambria Math" w:eastAsia="Malgun Gothic" w:hAnsi="Cambria Math"/>
                <w:i/>
                <w:lang w:eastAsia="ko-KR"/>
              </w:rPr>
            </m:ctrlPr>
          </m:dPr>
          <m:e>
            <m:r>
              <w:rPr>
                <w:rFonts w:ascii="Cambria Math" w:eastAsia="Malgun Gothic" w:hAnsi="Cambria Math"/>
                <w:lang w:eastAsia="ko-KR"/>
              </w:rPr>
              <m:t>i,j</m:t>
            </m:r>
          </m:e>
        </m:d>
      </m:oMath>
      <w:r w:rsidR="009B12B5">
        <w:rPr>
          <w:rFonts w:ascii="Calibri" w:eastAsia="Malgun Gothic" w:hAnsi="Calibri" w:cs="Calibri"/>
          <w:lang w:eastAsia="ko-KR"/>
        </w:rPr>
        <w:t xml:space="preserve">, </w:t>
      </w:r>
      <w:r>
        <w:rPr>
          <w:rFonts w:ascii="Calibri" w:eastAsia="Malgun Gothic" w:hAnsi="Calibri" w:cs="Calibri"/>
          <w:lang w:eastAsia="ko-KR"/>
        </w:rPr>
        <w:t xml:space="preserve">where </w:t>
      </w:r>
      <m:oMath>
        <m:sSub>
          <m:sSubPr>
            <m:ctrlPr>
              <w:rPr>
                <w:rFonts w:ascii="Cambria Math" w:eastAsia="Malgun Gothic" w:hAnsi="Cambria Math" w:cs="Calibri"/>
                <w:i/>
                <w:lang w:eastAsia="ko-KR"/>
              </w:rPr>
            </m:ctrlPr>
          </m:sSubPr>
          <m:e>
            <m:r>
              <w:rPr>
                <w:rFonts w:ascii="Cambria Math" w:eastAsia="Malgun Gothic" w:hAnsi="Cambria Math" w:cs="Calibri"/>
                <w:lang w:eastAsia="ko-KR"/>
              </w:rPr>
              <m:t>T</m:t>
            </m:r>
          </m:e>
          <m:sub>
            <m:r>
              <w:rPr>
                <w:rFonts w:ascii="Cambria Math" w:eastAsia="Malgun Gothic" w:hAnsi="Cambria Math" w:cs="Calibri"/>
                <w:lang w:eastAsia="ko-KR"/>
              </w:rPr>
              <m:t>i</m:t>
            </m:r>
          </m:sub>
        </m:sSub>
        <m:r>
          <w:rPr>
            <w:rFonts w:ascii="Cambria Math" w:eastAsia="Malgun Gothic" w:hAnsi="Cambria Math" w:cs="Calibri"/>
            <w:lang w:eastAsia="ko-KR"/>
          </w:rPr>
          <m:t>&lt;</m:t>
        </m:r>
        <m:sSub>
          <m:sSubPr>
            <m:ctrlPr>
              <w:rPr>
                <w:rFonts w:ascii="Cambria Math" w:eastAsia="Malgun Gothic" w:hAnsi="Cambria Math" w:cs="Calibri"/>
                <w:i/>
                <w:lang w:eastAsia="ko-KR"/>
              </w:rPr>
            </m:ctrlPr>
          </m:sSubPr>
          <m:e>
            <m:r>
              <w:rPr>
                <w:rFonts w:ascii="Cambria Math" w:eastAsia="Malgun Gothic" w:hAnsi="Cambria Math" w:cs="Calibri"/>
                <w:lang w:eastAsia="ko-KR"/>
              </w:rPr>
              <m:t>T</m:t>
            </m:r>
          </m:e>
          <m:sub>
            <m:r>
              <w:rPr>
                <w:rFonts w:ascii="Cambria Math" w:eastAsia="Malgun Gothic" w:hAnsi="Cambria Math" w:cs="Calibri"/>
                <w:lang w:eastAsia="ko-KR"/>
              </w:rPr>
              <m:t>j</m:t>
            </m:r>
          </m:sub>
        </m:sSub>
      </m:oMath>
      <w:r w:rsidR="004862D7">
        <w:rPr>
          <w:rFonts w:ascii="Calibri" w:eastAsia="Malgun Gothic" w:hAnsi="Calibri" w:cs="Calibri"/>
          <w:lang w:eastAsia="ko-KR"/>
        </w:rPr>
        <w:t xml:space="preserve"> (i.e., patient </w:t>
      </w:r>
      <m:oMath>
        <m:r>
          <w:rPr>
            <w:rFonts w:ascii="Cambria Math" w:eastAsia="Malgun Gothic" w:hAnsi="Cambria Math"/>
            <w:lang w:eastAsia="ko-KR"/>
          </w:rPr>
          <m:t>i</m:t>
        </m:r>
      </m:oMath>
      <w:r w:rsidR="004862D7">
        <w:rPr>
          <w:rFonts w:ascii="Calibri" w:eastAsia="Malgun Gothic" w:hAnsi="Calibri" w:cs="Calibri"/>
          <w:lang w:eastAsia="ko-KR"/>
        </w:rPr>
        <w:t xml:space="preserve"> experiences an event before patient </w:t>
      </w:r>
      <m:oMath>
        <m:r>
          <w:rPr>
            <w:rFonts w:ascii="Cambria Math" w:eastAsia="Malgun Gothic" w:hAnsi="Cambria Math"/>
            <w:lang w:eastAsia="ko-KR"/>
          </w:rPr>
          <m:t>j</m:t>
        </m:r>
      </m:oMath>
      <w:r w:rsidR="004862D7">
        <w:rPr>
          <w:rFonts w:ascii="Calibri" w:eastAsia="Malgun Gothic" w:hAnsi="Calibri" w:cs="Calibri"/>
          <w:lang w:eastAsia="ko-KR"/>
        </w:rPr>
        <w:t>)</w:t>
      </w:r>
      <w:r w:rsidR="0018194C">
        <w:rPr>
          <w:rFonts w:ascii="Calibri" w:eastAsia="Malgun Gothic" w:hAnsi="Calibri" w:cs="Calibri"/>
          <w:lang w:eastAsia="ko-KR"/>
        </w:rPr>
        <w:t xml:space="preserve">. The </w:t>
      </w:r>
      <m:oMath>
        <m:r>
          <w:rPr>
            <w:rFonts w:ascii="Cambria Math" w:eastAsia="Malgun Gothic" w:hAnsi="Cambria Math"/>
            <w:lang w:eastAsia="ko-KR"/>
          </w:rPr>
          <m:t>h</m:t>
        </m:r>
        <m:d>
          <m:dPr>
            <m:ctrlPr>
              <w:rPr>
                <w:rFonts w:ascii="Cambria Math" w:eastAsia="Malgun Gothic" w:hAnsi="Cambria Math"/>
                <w:i/>
                <w:lang w:eastAsia="ko-KR"/>
              </w:rPr>
            </m:ctrlPr>
          </m:dPr>
          <m:e>
            <m:r>
              <w:rPr>
                <w:rFonts w:ascii="Cambria Math" w:eastAsia="Malgun Gothic" w:hAnsi="Cambria Math"/>
                <w:lang w:eastAsia="ko-KR"/>
              </w:rPr>
              <m:t>X</m:t>
            </m:r>
          </m:e>
        </m:d>
      </m:oMath>
      <w:r w:rsidR="0018194C">
        <w:rPr>
          <w:rFonts w:ascii="Calibri" w:eastAsia="Malgun Gothic" w:hAnsi="Calibri" w:cs="Calibri"/>
          <w:lang w:eastAsia="ko-KR"/>
        </w:rPr>
        <w:t xml:space="preserve"> denotes the predicted risk score or hazard function derived from the survival model</w:t>
      </w:r>
      <w:r w:rsidR="00313102">
        <w:rPr>
          <w:rFonts w:ascii="Calibri" w:eastAsia="Malgun Gothic" w:hAnsi="Calibri" w:cs="Calibri"/>
          <w:lang w:eastAsia="ko-KR"/>
        </w:rPr>
        <w:t xml:space="preserve">. The </w:t>
      </w:r>
      <m:oMath>
        <m:r>
          <w:rPr>
            <w:rFonts w:ascii="Cambria Math" w:eastAsia="Malgun Gothic" w:hAnsi="Cambria Math"/>
            <w:lang w:eastAsia="ko-KR"/>
          </w:rPr>
          <m:t>I(∙)</m:t>
        </m:r>
      </m:oMath>
      <w:r w:rsidR="00313102">
        <w:rPr>
          <w:rFonts w:ascii="Calibri" w:eastAsia="Malgun Gothic" w:hAnsi="Calibri" w:cs="Calibri"/>
          <w:lang w:eastAsia="ko-KR"/>
        </w:rPr>
        <w:t xml:space="preserve"> is the indicator function, which takes a value of 1 if the predictive risk score satisfies </w:t>
      </w:r>
      <m:oMath>
        <m:r>
          <w:rPr>
            <w:rFonts w:ascii="Cambria Math" w:eastAsia="Malgun Gothic" w:hAnsi="Cambria Math"/>
            <w:lang w:eastAsia="ko-KR"/>
          </w:rPr>
          <m:t>h</m:t>
        </m:r>
        <m:d>
          <m:dPr>
            <m:ctrlPr>
              <w:rPr>
                <w:rFonts w:ascii="Cambria Math" w:eastAsia="Malgun Gothic" w:hAnsi="Cambria Math"/>
                <w:i/>
                <w:lang w:eastAsia="ko-KR"/>
              </w:rPr>
            </m:ctrlPr>
          </m:dPr>
          <m:e>
            <m:sSub>
              <m:sSubPr>
                <m:ctrlPr>
                  <w:rPr>
                    <w:rFonts w:ascii="Cambria Math" w:eastAsia="Malgun Gothic" w:hAnsi="Cambria Math"/>
                    <w:i/>
                    <w:lang w:eastAsia="ko-KR"/>
                  </w:rPr>
                </m:ctrlPr>
              </m:sSubPr>
              <m:e>
                <m:r>
                  <w:rPr>
                    <w:rFonts w:ascii="Cambria Math" w:eastAsia="Malgun Gothic" w:hAnsi="Cambria Math"/>
                    <w:lang w:eastAsia="ko-KR"/>
                  </w:rPr>
                  <m:t>X</m:t>
                </m:r>
              </m:e>
              <m:sub>
                <m:r>
                  <w:rPr>
                    <w:rFonts w:ascii="Cambria Math" w:eastAsia="Malgun Gothic" w:hAnsi="Cambria Math"/>
                    <w:lang w:eastAsia="ko-KR"/>
                  </w:rPr>
                  <m:t>i</m:t>
                </m:r>
              </m:sub>
            </m:sSub>
          </m:e>
        </m:d>
        <m:r>
          <w:rPr>
            <w:rFonts w:ascii="Cambria Math" w:eastAsia="Malgun Gothic" w:hAnsi="Cambria Math"/>
            <w:lang w:eastAsia="ko-KR"/>
          </w:rPr>
          <m:t>&gt;h</m:t>
        </m:r>
        <m:d>
          <m:dPr>
            <m:ctrlPr>
              <w:rPr>
                <w:rFonts w:ascii="Cambria Math" w:eastAsia="Malgun Gothic" w:hAnsi="Cambria Math"/>
                <w:i/>
                <w:lang w:eastAsia="ko-KR"/>
              </w:rPr>
            </m:ctrlPr>
          </m:dPr>
          <m:e>
            <m:sSub>
              <m:sSubPr>
                <m:ctrlPr>
                  <w:rPr>
                    <w:rFonts w:ascii="Cambria Math" w:eastAsia="Malgun Gothic" w:hAnsi="Cambria Math"/>
                    <w:i/>
                    <w:lang w:eastAsia="ko-KR"/>
                  </w:rPr>
                </m:ctrlPr>
              </m:sSubPr>
              <m:e>
                <m:r>
                  <w:rPr>
                    <w:rFonts w:ascii="Cambria Math" w:eastAsia="Malgun Gothic" w:hAnsi="Cambria Math"/>
                    <w:lang w:eastAsia="ko-KR"/>
                  </w:rPr>
                  <m:t>X</m:t>
                </m:r>
              </m:e>
              <m:sub>
                <m:r>
                  <w:rPr>
                    <w:rFonts w:ascii="Cambria Math" w:eastAsia="Malgun Gothic" w:hAnsi="Cambria Math"/>
                    <w:lang w:eastAsia="ko-KR"/>
                  </w:rPr>
                  <m:t>j</m:t>
                </m:r>
              </m:sub>
            </m:sSub>
          </m:e>
        </m:d>
      </m:oMath>
      <w:r w:rsidR="00313102">
        <w:rPr>
          <w:rFonts w:ascii="Calibri" w:eastAsia="Malgun Gothic" w:hAnsi="Calibri" w:cs="Calibri"/>
          <w:lang w:eastAsia="ko-KR"/>
        </w:rPr>
        <w:t>, and 0 otherwise.</w:t>
      </w:r>
      <w:r w:rsidR="00C77252">
        <w:rPr>
          <w:rFonts w:ascii="Calibri" w:eastAsia="Malgun Gothic" w:hAnsi="Calibri" w:cs="Calibri"/>
          <w:lang w:eastAsia="ko-KR"/>
        </w:rPr>
        <w:t xml:space="preserve"> The </w:t>
      </w:r>
      <m:oMath>
        <m:d>
          <m:dPr>
            <m:begChr m:val="|"/>
            <m:endChr m:val="|"/>
            <m:ctrlPr>
              <w:rPr>
                <w:rFonts w:ascii="Cambria Math" w:eastAsia="Malgun Gothic" w:hAnsi="Cambria Math"/>
                <w:i/>
                <w:lang w:eastAsia="ko-KR"/>
              </w:rPr>
            </m:ctrlPr>
          </m:dPr>
          <m:e>
            <m:r>
              <m:rPr>
                <m:scr m:val="script"/>
              </m:rPr>
              <w:rPr>
                <w:rFonts w:ascii="Cambria Math" w:eastAsia="Malgun Gothic" w:hAnsi="Cambria Math"/>
                <w:lang w:eastAsia="ko-KR"/>
              </w:rPr>
              <m:t>C</m:t>
            </m:r>
          </m:e>
        </m:d>
      </m:oMath>
      <w:r w:rsidR="00C77252">
        <w:rPr>
          <w:rFonts w:ascii="Calibri" w:eastAsia="Malgun Gothic" w:hAnsi="Calibri" w:cs="Calibri"/>
          <w:lang w:eastAsia="ko-KR"/>
        </w:rPr>
        <w:t xml:space="preserve"> is the total number of comparable patient pairs.</w:t>
      </w:r>
    </w:p>
    <w:p w14:paraId="2D384D60" w14:textId="7F3E63B2" w:rsidR="00935145" w:rsidRDefault="00935145" w:rsidP="00C36D6E">
      <w:pPr>
        <w:rPr>
          <w:rFonts w:ascii="Calibri" w:eastAsia="Malgun Gothic" w:hAnsi="Calibri" w:cs="Calibri"/>
          <w:lang w:eastAsia="ko-KR"/>
        </w:rPr>
      </w:pPr>
      <w:r>
        <w:rPr>
          <w:rFonts w:ascii="Calibri" w:eastAsia="Malgun Gothic" w:hAnsi="Calibri" w:cs="Calibri"/>
          <w:lang w:eastAsia="ko-KR"/>
        </w:rPr>
        <w:t>A C-index of .5 indicates that the model’s predictions are equivalent to random choice, while a C-index of 1.0 represents perfect concordance, mea</w:t>
      </w:r>
      <w:r w:rsidR="00D74512">
        <w:rPr>
          <w:rFonts w:ascii="Calibri" w:eastAsia="Malgun Gothic" w:hAnsi="Calibri" w:cs="Calibri"/>
          <w:lang w:eastAsia="ko-KR"/>
        </w:rPr>
        <w:t>ning that the model correctly ranks all patient survival times (</w:t>
      </w:r>
      <w:r w:rsidR="00524DF8">
        <w:rPr>
          <w:rFonts w:ascii="Calibri" w:eastAsia="Malgun Gothic" w:hAnsi="Calibri" w:cs="Calibri"/>
          <w:lang w:eastAsia="ko-KR"/>
        </w:rPr>
        <w:t>Har</w:t>
      </w:r>
      <w:r w:rsidR="009D680B">
        <w:rPr>
          <w:rFonts w:ascii="Calibri" w:eastAsia="Malgun Gothic" w:hAnsi="Calibri" w:cs="Calibri"/>
          <w:lang w:eastAsia="ko-KR"/>
        </w:rPr>
        <w:t>rell et al., 1996).</w:t>
      </w:r>
      <w:r w:rsidR="0036538E">
        <w:rPr>
          <w:rFonts w:ascii="Calibri" w:eastAsia="Malgun Gothic" w:hAnsi="Calibri" w:cs="Calibri"/>
          <w:lang w:eastAsia="ko-KR"/>
        </w:rPr>
        <w:t xml:space="preserve"> In practice, a C-index above .7 is generally considered indicative of a model with good discriminative ability</w:t>
      </w:r>
      <w:r w:rsidR="00BA5DE4">
        <w:rPr>
          <w:rFonts w:ascii="Calibri" w:eastAsia="Malgun Gothic" w:hAnsi="Calibri" w:cs="Calibri"/>
          <w:lang w:eastAsia="ko-KR"/>
        </w:rPr>
        <w:t xml:space="preserve"> (</w:t>
      </w:r>
      <w:proofErr w:type="spellStart"/>
      <w:r w:rsidR="0054267E" w:rsidRPr="004F5AF1">
        <w:rPr>
          <w:rFonts w:eastAsia="Malgun Gothic"/>
          <w:lang w:eastAsia="ko-KR"/>
        </w:rPr>
        <w:t>Pencina</w:t>
      </w:r>
      <w:proofErr w:type="spellEnd"/>
      <w:r w:rsidR="0054267E">
        <w:rPr>
          <w:rFonts w:eastAsia="Malgun Gothic"/>
          <w:lang w:eastAsia="ko-KR"/>
        </w:rPr>
        <w:t xml:space="preserve"> and</w:t>
      </w:r>
      <w:r w:rsidR="0054267E" w:rsidRPr="004F5AF1">
        <w:rPr>
          <w:rFonts w:eastAsia="Malgun Gothic"/>
          <w:lang w:eastAsia="ko-KR"/>
        </w:rPr>
        <w:t xml:space="preserve"> D’Agostino</w:t>
      </w:r>
      <w:r w:rsidR="0054267E">
        <w:rPr>
          <w:rFonts w:eastAsia="Malgun Gothic"/>
          <w:lang w:eastAsia="ko-KR"/>
        </w:rPr>
        <w:t>, 2004)</w:t>
      </w:r>
      <w:r w:rsidR="0036538E">
        <w:rPr>
          <w:rFonts w:ascii="Calibri" w:eastAsia="Malgun Gothic" w:hAnsi="Calibri" w:cs="Calibri"/>
          <w:lang w:eastAsia="ko-KR"/>
        </w:rPr>
        <w:t>, even though .8 and above are desirable</w:t>
      </w:r>
      <w:r w:rsidR="00BA5DE4">
        <w:rPr>
          <w:rFonts w:ascii="Calibri" w:eastAsia="Malgun Gothic" w:hAnsi="Calibri" w:cs="Calibri"/>
          <w:lang w:eastAsia="ko-KR"/>
        </w:rPr>
        <w:t>.</w:t>
      </w:r>
      <w:r w:rsidR="0054267E">
        <w:rPr>
          <w:rFonts w:ascii="Calibri" w:eastAsia="Malgun Gothic" w:hAnsi="Calibri" w:cs="Calibri"/>
          <w:lang w:eastAsia="ko-KR"/>
        </w:rPr>
        <w:t xml:space="preserve"> </w:t>
      </w:r>
    </w:p>
    <w:p w14:paraId="32741354" w14:textId="76288BE7" w:rsidR="0054267E" w:rsidRDefault="00C202AE" w:rsidP="00C36D6E">
      <w:pPr>
        <w:rPr>
          <w:rFonts w:ascii="Calibri" w:eastAsia="Malgun Gothic" w:hAnsi="Calibri" w:cs="Calibri"/>
          <w:lang w:eastAsia="ko-KR"/>
        </w:rPr>
      </w:pPr>
      <w:r>
        <w:rPr>
          <w:rFonts w:ascii="Calibri" w:eastAsia="Malgun Gothic" w:hAnsi="Calibri" w:cs="Calibri"/>
          <w:lang w:eastAsia="ko-KR"/>
        </w:rPr>
        <w:t>For survival data with right-censored observations, Harrell’s C-index is commonly used, as it accounts for censored patients by excluding non-informative pairs where the event time is not observed</w:t>
      </w:r>
      <w:r w:rsidR="007E4341">
        <w:rPr>
          <w:rFonts w:ascii="Calibri" w:eastAsia="Malgun Gothic" w:hAnsi="Calibri" w:cs="Calibri"/>
          <w:lang w:eastAsia="ko-KR"/>
        </w:rPr>
        <w:t xml:space="preserve"> (</w:t>
      </w:r>
      <w:proofErr w:type="spellStart"/>
      <w:r w:rsidR="007E4341">
        <w:rPr>
          <w:rFonts w:ascii="Calibri" w:eastAsia="Malgun Gothic" w:hAnsi="Calibri" w:cs="Calibri"/>
          <w:lang w:eastAsia="ko-KR"/>
        </w:rPr>
        <w:t>Steyerberg</w:t>
      </w:r>
      <w:proofErr w:type="spellEnd"/>
      <w:r w:rsidR="007E4341">
        <w:rPr>
          <w:rFonts w:ascii="Calibri" w:eastAsia="Malgun Gothic" w:hAnsi="Calibri" w:cs="Calibri"/>
          <w:lang w:eastAsia="ko-KR"/>
        </w:rPr>
        <w:t xml:space="preserve"> et al., </w:t>
      </w:r>
      <w:r w:rsidR="00204EB8">
        <w:rPr>
          <w:rFonts w:ascii="Calibri" w:eastAsia="Malgun Gothic" w:hAnsi="Calibri" w:cs="Calibri"/>
          <w:lang w:eastAsia="ko-KR"/>
        </w:rPr>
        <w:t>2018).</w:t>
      </w:r>
      <w:r w:rsidR="00561D74">
        <w:rPr>
          <w:rFonts w:ascii="Calibri" w:eastAsia="Malgun Gothic" w:hAnsi="Calibri" w:cs="Calibri"/>
          <w:lang w:eastAsia="ko-KR"/>
        </w:rPr>
        <w:t xml:space="preserve"> This adaptation ensures robustness when evaluating survival models on clinical datasets where censoring is prevalent.</w:t>
      </w:r>
    </w:p>
    <w:p w14:paraId="798A800B" w14:textId="43B4037B" w:rsidR="002A1D23" w:rsidRPr="00BC70FB" w:rsidRDefault="00E81CD3" w:rsidP="00C36D6E">
      <w:pPr>
        <w:rPr>
          <w:rFonts w:ascii="Calibri" w:eastAsia="Malgun Gothic" w:hAnsi="Calibri" w:cs="Calibri"/>
          <w:lang w:eastAsia="ko-KR"/>
        </w:rPr>
      </w:pPr>
      <w:r>
        <w:rPr>
          <w:rFonts w:ascii="Calibri" w:eastAsia="Malgun Gothic" w:hAnsi="Calibri" w:cs="Calibri"/>
          <w:lang w:eastAsia="ko-KR"/>
        </w:rPr>
        <w:t>In the context of personalized medicine for NSCLC, the C-index serves as a crucial performance metric, ensuring that survival predictions used in clinical decision making are reliable and can guide evidence-based, individualized treatment strategies (</w:t>
      </w:r>
      <w:r w:rsidRPr="00913175">
        <w:rPr>
          <w:rFonts w:eastAsia="Malgun Gothic"/>
          <w:lang w:eastAsia="ko-KR"/>
        </w:rPr>
        <w:t>Ishwaran</w:t>
      </w:r>
      <w:r>
        <w:rPr>
          <w:rFonts w:eastAsia="Malgun Gothic"/>
          <w:lang w:eastAsia="ko-KR"/>
        </w:rPr>
        <w:t xml:space="preserve"> et al., 2008).</w:t>
      </w:r>
    </w:p>
    <w:p w14:paraId="5AA6DF57" w14:textId="77777777" w:rsidR="00E047D8" w:rsidRDefault="00E047D8" w:rsidP="00740B83">
      <w:pPr>
        <w:rPr>
          <w:rFonts w:eastAsia="Malgun Gothic"/>
          <w:lang w:eastAsia="ko-KR"/>
        </w:rPr>
      </w:pPr>
    </w:p>
    <w:p w14:paraId="22A22687" w14:textId="399BC94F" w:rsidR="002E72AE" w:rsidRPr="006B0A3E" w:rsidRDefault="002E72AE" w:rsidP="0045709E">
      <w:pPr>
        <w:pStyle w:val="ListParagraph"/>
        <w:numPr>
          <w:ilvl w:val="0"/>
          <w:numId w:val="2"/>
        </w:numPr>
        <w:ind w:left="270" w:hanging="270"/>
        <w:rPr>
          <w:rFonts w:eastAsia="Malgun Gothic"/>
          <w:b/>
          <w:bCs/>
          <w:lang w:eastAsia="ko-KR"/>
        </w:rPr>
      </w:pPr>
      <w:r w:rsidRPr="006B0A3E">
        <w:rPr>
          <w:rFonts w:eastAsia="Malgun Gothic" w:hint="eastAsia"/>
          <w:b/>
          <w:bCs/>
          <w:lang w:eastAsia="ko-KR"/>
        </w:rPr>
        <w:t>Re</w:t>
      </w:r>
      <w:r w:rsidRPr="006B0A3E">
        <w:rPr>
          <w:rFonts w:eastAsia="Malgun Gothic"/>
          <w:b/>
          <w:bCs/>
          <w:lang w:eastAsia="ko-KR"/>
        </w:rPr>
        <w:t>sults</w:t>
      </w:r>
    </w:p>
    <w:p w14:paraId="7E77AD29" w14:textId="3611B276" w:rsidR="00E81CD3" w:rsidRDefault="00E81CD3" w:rsidP="00E81CD3">
      <w:pPr>
        <w:rPr>
          <w:rFonts w:ascii="Calibri" w:eastAsia="Malgun Gothic" w:hAnsi="Calibri" w:cs="Calibri"/>
          <w:lang w:eastAsia="ko-KR"/>
        </w:rPr>
      </w:pPr>
      <w:r w:rsidRPr="00E81CD3">
        <w:rPr>
          <w:rFonts w:ascii="Calibri" w:eastAsia="Malgun Gothic" w:hAnsi="Calibri" w:cs="Calibri"/>
          <w:lang w:eastAsia="ko-KR"/>
        </w:rPr>
        <w:t xml:space="preserve">To </w:t>
      </w:r>
      <w:r w:rsidR="00B673D0">
        <w:rPr>
          <w:rFonts w:ascii="Calibri" w:eastAsia="Malgun Gothic" w:hAnsi="Calibri" w:cs="Calibri"/>
          <w:lang w:eastAsia="ko-KR"/>
        </w:rPr>
        <w:t>assess</w:t>
      </w:r>
      <w:r w:rsidRPr="00E81CD3">
        <w:rPr>
          <w:rFonts w:ascii="Calibri" w:eastAsia="Malgun Gothic" w:hAnsi="Calibri" w:cs="Calibri"/>
          <w:lang w:eastAsia="ko-KR"/>
        </w:rPr>
        <w:t xml:space="preserve"> the predictive performance of our survival models, we computed the C-index on the test dataset </w:t>
      </w:r>
      <w:r w:rsidR="002B6F87">
        <w:rPr>
          <w:rFonts w:ascii="Calibri" w:eastAsia="Malgun Gothic" w:hAnsi="Calibri" w:cs="Calibri"/>
          <w:lang w:eastAsia="ko-KR"/>
        </w:rPr>
        <w:t>for</w:t>
      </w:r>
      <w:r w:rsidRPr="00E81CD3">
        <w:rPr>
          <w:rFonts w:ascii="Calibri" w:eastAsia="Malgun Gothic" w:hAnsi="Calibri" w:cs="Calibri"/>
          <w:lang w:eastAsia="ko-KR"/>
        </w:rPr>
        <w:t xml:space="preserve"> three proposed models</w:t>
      </w:r>
      <w:r w:rsidR="002B6F87">
        <w:rPr>
          <w:rFonts w:ascii="Calibri" w:eastAsia="Malgun Gothic" w:hAnsi="Calibri" w:cs="Calibri"/>
          <w:lang w:eastAsia="ko-KR"/>
        </w:rPr>
        <w:t>:</w:t>
      </w:r>
      <w:r w:rsidRPr="00E81CD3">
        <w:rPr>
          <w:rFonts w:ascii="Calibri" w:eastAsia="Malgun Gothic" w:hAnsi="Calibri" w:cs="Calibri"/>
          <w:lang w:eastAsia="ko-KR"/>
        </w:rPr>
        <w:t xml:space="preserve"> </w:t>
      </w:r>
      <w:r w:rsidR="006E5BB9">
        <w:rPr>
          <w:rFonts w:ascii="Calibri" w:eastAsia="Malgun Gothic" w:hAnsi="Calibri" w:cs="Calibri"/>
          <w:lang w:eastAsia="ko-KR"/>
        </w:rPr>
        <w:t xml:space="preserve">a </w:t>
      </w:r>
      <w:r w:rsidRPr="00E81CD3">
        <w:rPr>
          <w:rFonts w:ascii="Calibri" w:eastAsia="Malgun Gothic" w:hAnsi="Calibri" w:cs="Calibri"/>
          <w:lang w:eastAsia="ko-KR"/>
        </w:rPr>
        <w:t xml:space="preserve">bagging with regularized Cox regression, </w:t>
      </w:r>
      <w:r w:rsidR="002B6F87">
        <w:rPr>
          <w:rFonts w:ascii="Calibri" w:eastAsia="Malgun Gothic" w:hAnsi="Calibri" w:cs="Calibri"/>
          <w:lang w:eastAsia="ko-KR"/>
        </w:rPr>
        <w:t>RSF</w:t>
      </w:r>
      <w:r w:rsidRPr="00E81CD3">
        <w:rPr>
          <w:rFonts w:ascii="Calibri" w:eastAsia="Malgun Gothic" w:hAnsi="Calibri" w:cs="Calibri"/>
          <w:lang w:eastAsia="ko-KR"/>
        </w:rPr>
        <w:t xml:space="preserve">, and </w:t>
      </w:r>
      <w:proofErr w:type="spellStart"/>
      <w:r w:rsidR="002B6F87">
        <w:rPr>
          <w:rFonts w:ascii="Calibri" w:eastAsia="Malgun Gothic" w:hAnsi="Calibri" w:cs="Calibri"/>
          <w:lang w:eastAsia="ko-KR"/>
        </w:rPr>
        <w:t>DeepSurv</w:t>
      </w:r>
      <w:proofErr w:type="spellEnd"/>
      <w:r w:rsidR="004813E6">
        <w:rPr>
          <w:rFonts w:ascii="Calibri" w:eastAsia="Malgun Gothic" w:hAnsi="Calibri" w:cs="Calibri"/>
          <w:lang w:eastAsia="ko-KR"/>
        </w:rPr>
        <w:t>.</w:t>
      </w:r>
      <w:r w:rsidR="002B6F87">
        <w:rPr>
          <w:rFonts w:ascii="Calibri" w:eastAsia="Malgun Gothic" w:hAnsi="Calibri" w:cs="Calibri"/>
          <w:lang w:eastAsia="ko-KR"/>
        </w:rPr>
        <w:t xml:space="preserve"> </w:t>
      </w:r>
      <w:r w:rsidR="00003A2A">
        <w:rPr>
          <w:rFonts w:ascii="Calibri" w:eastAsia="Malgun Gothic" w:hAnsi="Calibri" w:cs="Calibri"/>
          <w:lang w:eastAsia="ko-KR"/>
        </w:rPr>
        <w:t>This section evaluates</w:t>
      </w:r>
      <w:r w:rsidR="004813E6">
        <w:rPr>
          <w:rFonts w:ascii="Calibri" w:eastAsia="Malgun Gothic" w:hAnsi="Calibri" w:cs="Calibri"/>
          <w:lang w:eastAsia="ko-KR"/>
        </w:rPr>
        <w:t xml:space="preserve"> </w:t>
      </w:r>
      <w:r w:rsidR="005A1743">
        <w:rPr>
          <w:rFonts w:ascii="Calibri" w:eastAsia="Malgun Gothic" w:hAnsi="Calibri" w:cs="Calibri"/>
          <w:lang w:eastAsia="ko-KR"/>
        </w:rPr>
        <w:t xml:space="preserve">their effectiveness in optimizing </w:t>
      </w:r>
      <w:r w:rsidRPr="00E81CD3">
        <w:rPr>
          <w:rFonts w:ascii="Calibri" w:eastAsia="Malgun Gothic" w:hAnsi="Calibri" w:cs="Calibri"/>
          <w:lang w:eastAsia="ko-KR"/>
        </w:rPr>
        <w:t>patient-specific survival predictions and treatment recommendations</w:t>
      </w:r>
      <w:r w:rsidR="00EF749C">
        <w:rPr>
          <w:rFonts w:ascii="Calibri" w:eastAsia="Malgun Gothic" w:hAnsi="Calibri" w:cs="Calibri"/>
          <w:lang w:eastAsia="ko-KR"/>
        </w:rPr>
        <w:t>.</w:t>
      </w:r>
    </w:p>
    <w:p w14:paraId="04DB5FE0" w14:textId="7236EAE1" w:rsidR="00034B02" w:rsidRDefault="00556541" w:rsidP="00E81CD3">
      <w:pPr>
        <w:rPr>
          <w:rFonts w:ascii="Calibri" w:eastAsia="Malgun Gothic" w:hAnsi="Calibri" w:cs="Calibri"/>
          <w:lang w:eastAsia="ko-KR"/>
        </w:rPr>
      </w:pPr>
      <w:r>
        <w:rPr>
          <w:rFonts w:ascii="Calibri" w:eastAsia="Malgun Gothic" w:hAnsi="Calibri" w:cs="Calibri"/>
          <w:lang w:eastAsia="ko-KR"/>
        </w:rPr>
        <w:lastRenderedPageBreak/>
        <w:t xml:space="preserve">For feature screening, we </w:t>
      </w:r>
      <w:r w:rsidR="00741D60">
        <w:rPr>
          <w:rFonts w:ascii="Calibri" w:eastAsia="Malgun Gothic" w:hAnsi="Calibri" w:cs="Calibri"/>
          <w:lang w:eastAsia="ko-KR"/>
        </w:rPr>
        <w:t>applied</w:t>
      </w:r>
      <w:r>
        <w:rPr>
          <w:rFonts w:ascii="Calibri" w:eastAsia="Malgun Gothic" w:hAnsi="Calibri" w:cs="Calibri"/>
          <w:lang w:eastAsia="ko-KR"/>
        </w:rPr>
        <w:t xml:space="preserve"> a treatment interaction </w:t>
      </w:r>
      <w:r w:rsidR="00217504">
        <w:rPr>
          <w:rFonts w:ascii="Calibri" w:eastAsia="Malgun Gothic" w:hAnsi="Calibri" w:cs="Calibri"/>
          <w:lang w:eastAsia="ko-KR"/>
        </w:rPr>
        <w:t xml:space="preserve">Cox regression model to </w:t>
      </w:r>
      <w:r w:rsidR="006F2F73">
        <w:rPr>
          <w:rFonts w:ascii="Calibri" w:eastAsia="Malgun Gothic" w:hAnsi="Calibri" w:cs="Calibri"/>
          <w:lang w:eastAsia="ko-KR"/>
        </w:rPr>
        <w:t xml:space="preserve">identify </w:t>
      </w:r>
      <w:r w:rsidR="00217504">
        <w:rPr>
          <w:rFonts w:ascii="Calibri" w:eastAsia="Malgun Gothic" w:hAnsi="Calibri" w:cs="Calibri"/>
          <w:lang w:eastAsia="ko-KR"/>
        </w:rPr>
        <w:t xml:space="preserve">relevant </w:t>
      </w:r>
      <w:r w:rsidR="00B56278">
        <w:rPr>
          <w:rFonts w:ascii="Calibri" w:eastAsia="Malgun Gothic" w:hAnsi="Calibri" w:cs="Calibri"/>
          <w:lang w:eastAsia="ko-KR"/>
        </w:rPr>
        <w:t xml:space="preserve">predictors of </w:t>
      </w:r>
      <w:r w:rsidR="00E82AC8">
        <w:rPr>
          <w:rFonts w:ascii="Calibri" w:eastAsia="Malgun Gothic" w:hAnsi="Calibri" w:cs="Calibri"/>
          <w:lang w:eastAsia="ko-KR"/>
        </w:rPr>
        <w:t xml:space="preserve">patient treatment outcomes. </w:t>
      </w:r>
      <w:r w:rsidR="00AA4F2A">
        <w:rPr>
          <w:rFonts w:ascii="Calibri" w:eastAsia="Malgun Gothic" w:hAnsi="Calibri" w:cs="Calibri"/>
          <w:lang w:eastAsia="ko-KR"/>
        </w:rPr>
        <w:t xml:space="preserve">Using </w:t>
      </w:r>
      <w:r w:rsidR="00C148CD">
        <w:rPr>
          <w:rFonts w:ascii="Calibri" w:eastAsia="Malgun Gothic" w:hAnsi="Calibri" w:cs="Calibri"/>
          <w:lang w:eastAsia="ko-KR"/>
        </w:rPr>
        <w:t xml:space="preserve">LOOCV </w:t>
      </w:r>
      <w:r w:rsidR="007E3173">
        <w:rPr>
          <w:rFonts w:ascii="Calibri" w:eastAsia="Malgun Gothic" w:hAnsi="Calibri" w:cs="Calibri"/>
          <w:lang w:eastAsia="ko-KR"/>
        </w:rPr>
        <w:t>on</w:t>
      </w:r>
      <w:r w:rsidR="00815B48">
        <w:rPr>
          <w:rFonts w:ascii="Calibri" w:eastAsia="Malgun Gothic" w:hAnsi="Calibri" w:cs="Calibri"/>
          <w:lang w:eastAsia="ko-KR"/>
        </w:rPr>
        <w:t xml:space="preserve"> the</w:t>
      </w:r>
      <w:r w:rsidR="00AA4F2A">
        <w:rPr>
          <w:rFonts w:ascii="Calibri" w:eastAsia="Malgun Gothic" w:hAnsi="Calibri" w:cs="Calibri"/>
          <w:lang w:eastAsia="ko-KR"/>
        </w:rPr>
        <w:t xml:space="preserve"> training dataset </w:t>
      </w:r>
      <w:r w:rsidR="007E3173">
        <w:rPr>
          <w:rFonts w:ascii="Calibri" w:eastAsia="Malgun Gothic" w:hAnsi="Calibri" w:cs="Calibri"/>
          <w:lang w:eastAsia="ko-KR"/>
        </w:rPr>
        <w:t>(</w:t>
      </w:r>
      <w:r w:rsidR="0010111B">
        <w:rPr>
          <w:rFonts w:ascii="Calibri" w:eastAsia="Malgun Gothic" w:hAnsi="Calibri" w:cs="Calibri"/>
          <w:lang w:eastAsia="ko-KR"/>
        </w:rPr>
        <w:t xml:space="preserve">described in Table </w:t>
      </w:r>
      <w:r w:rsidR="00B62A27">
        <w:rPr>
          <w:rFonts w:ascii="Calibri" w:eastAsia="Malgun Gothic" w:hAnsi="Calibri" w:cs="Calibri"/>
          <w:lang w:eastAsia="ko-KR"/>
        </w:rPr>
        <w:t>1</w:t>
      </w:r>
      <w:r w:rsidR="007E3173">
        <w:rPr>
          <w:rFonts w:ascii="Calibri" w:eastAsia="Malgun Gothic" w:hAnsi="Calibri" w:cs="Calibri"/>
          <w:lang w:eastAsia="ko-KR"/>
        </w:rPr>
        <w:t>)</w:t>
      </w:r>
      <w:r w:rsidR="00F86DE4">
        <w:rPr>
          <w:rFonts w:ascii="Calibri" w:eastAsia="Malgun Gothic" w:hAnsi="Calibri" w:cs="Calibri"/>
          <w:lang w:eastAsia="ko-KR"/>
        </w:rPr>
        <w:t>,</w:t>
      </w:r>
      <w:r w:rsidR="00FB45C9">
        <w:rPr>
          <w:rFonts w:ascii="Calibri" w:eastAsia="Malgun Gothic" w:hAnsi="Calibri" w:cs="Calibri"/>
          <w:lang w:eastAsia="ko-KR"/>
        </w:rPr>
        <w:t xml:space="preserve"> </w:t>
      </w:r>
      <w:r w:rsidR="00DC6736">
        <w:rPr>
          <w:rFonts w:ascii="Calibri" w:eastAsia="Malgun Gothic" w:hAnsi="Calibri" w:cs="Calibri"/>
          <w:lang w:eastAsia="ko-KR"/>
        </w:rPr>
        <w:t xml:space="preserve">we initially excluded </w:t>
      </w:r>
      <w:r w:rsidR="00D11539">
        <w:rPr>
          <w:rFonts w:ascii="Calibri" w:eastAsia="Malgun Gothic" w:hAnsi="Calibri" w:cs="Calibri"/>
          <w:lang w:eastAsia="ko-KR"/>
        </w:rPr>
        <w:t>probe sets</w:t>
      </w:r>
      <w:r w:rsidR="00C067A3">
        <w:rPr>
          <w:rFonts w:ascii="Calibri" w:eastAsia="Malgun Gothic" w:hAnsi="Calibri" w:cs="Calibri"/>
          <w:lang w:eastAsia="ko-KR"/>
        </w:rPr>
        <w:t xml:space="preserve"> with </w:t>
      </w:r>
      <m:oMath>
        <m:r>
          <w:rPr>
            <w:rFonts w:ascii="Cambria Math" w:eastAsia="Malgun Gothic" w:hAnsi="Cambria Math" w:cs="Calibri"/>
            <w:lang w:eastAsia="ko-KR"/>
          </w:rPr>
          <m:t>p&gt;.05</m:t>
        </m:r>
      </m:oMath>
      <w:r w:rsidR="002C0E8C">
        <w:rPr>
          <w:rFonts w:ascii="Calibri" w:eastAsia="Malgun Gothic" w:hAnsi="Calibri" w:cs="Calibri"/>
          <w:lang w:eastAsia="ko-KR"/>
        </w:rPr>
        <w:t xml:space="preserve"> out of the 54,675 probe sets</w:t>
      </w:r>
      <w:r w:rsidR="00D476A3">
        <w:rPr>
          <w:rFonts w:ascii="Calibri" w:eastAsia="Malgun Gothic" w:hAnsi="Calibri" w:cs="Calibri"/>
          <w:lang w:eastAsia="ko-KR"/>
        </w:rPr>
        <w:t xml:space="preserve"> </w:t>
      </w:r>
      <w:r w:rsidR="00182204">
        <w:rPr>
          <w:rFonts w:ascii="Calibri" w:eastAsia="Malgun Gothic" w:hAnsi="Calibri" w:cs="Calibri"/>
          <w:lang w:eastAsia="ko-KR"/>
        </w:rPr>
        <w:t>from further analysis</w:t>
      </w:r>
      <m:oMath>
        <m:r>
          <w:rPr>
            <w:rFonts w:ascii="Cambria Math" w:eastAsia="Malgun Gothic" w:hAnsi="Cambria Math" w:cs="Calibri"/>
            <w:lang w:eastAsia="ko-KR"/>
          </w:rPr>
          <m:t>.</m:t>
        </m:r>
      </m:oMath>
      <w:r w:rsidR="00321083">
        <w:rPr>
          <w:rFonts w:ascii="Calibri" w:eastAsia="Malgun Gothic" w:hAnsi="Calibri" w:cs="Calibri"/>
          <w:lang w:eastAsia="ko-KR"/>
        </w:rPr>
        <w:t xml:space="preserve"> </w:t>
      </w:r>
      <w:r w:rsidR="00F529E1">
        <w:rPr>
          <w:rFonts w:ascii="Calibri" w:eastAsia="Malgun Gothic" w:hAnsi="Calibri" w:cs="Calibri"/>
          <w:lang w:eastAsia="ko-KR"/>
        </w:rPr>
        <w:t xml:space="preserve">After </w:t>
      </w:r>
      <w:r w:rsidR="00124678">
        <w:rPr>
          <w:rFonts w:ascii="Calibri" w:eastAsia="Malgun Gothic" w:hAnsi="Calibri" w:cs="Calibri"/>
          <w:lang w:eastAsia="ko-KR"/>
        </w:rPr>
        <w:t xml:space="preserve">screening, </w:t>
      </w:r>
      <w:r w:rsidR="00182204">
        <w:rPr>
          <w:rFonts w:ascii="Calibri" w:eastAsia="Malgun Gothic" w:hAnsi="Calibri" w:cs="Calibri"/>
          <w:lang w:eastAsia="ko-KR"/>
        </w:rPr>
        <w:t>a refined subset of</w:t>
      </w:r>
      <w:r w:rsidR="00B9256C">
        <w:rPr>
          <w:rFonts w:ascii="Calibri" w:eastAsia="Malgun Gothic" w:hAnsi="Calibri" w:cs="Calibri"/>
          <w:lang w:eastAsia="ko-KR"/>
        </w:rPr>
        <w:t xml:space="preserve"> </w:t>
      </w:r>
      <w:r w:rsidR="00124678">
        <w:rPr>
          <w:rFonts w:ascii="Calibri" w:eastAsia="Malgun Gothic" w:hAnsi="Calibri" w:cs="Calibri"/>
          <w:lang w:eastAsia="ko-KR"/>
        </w:rPr>
        <w:t xml:space="preserve">1,834 probe sets </w:t>
      </w:r>
      <w:r w:rsidR="001827EE">
        <w:rPr>
          <w:rFonts w:ascii="Calibri" w:eastAsia="Malgun Gothic" w:hAnsi="Calibri" w:cs="Calibri"/>
          <w:lang w:eastAsia="ko-KR"/>
        </w:rPr>
        <w:t>and</w:t>
      </w:r>
      <w:r w:rsidR="006F5649">
        <w:rPr>
          <w:rFonts w:ascii="Calibri" w:eastAsia="Malgun Gothic" w:hAnsi="Calibri" w:cs="Calibri"/>
          <w:lang w:eastAsia="ko-KR"/>
        </w:rPr>
        <w:t xml:space="preserve"> 4 clinical and demographic variables</w:t>
      </w:r>
      <w:r w:rsidR="00F27EDB">
        <w:rPr>
          <w:rFonts w:ascii="Calibri" w:eastAsia="Malgun Gothic" w:hAnsi="Calibri" w:cs="Calibri"/>
          <w:lang w:eastAsia="ko-KR"/>
        </w:rPr>
        <w:t>—age, sex, treatment, and stage</w:t>
      </w:r>
      <w:r w:rsidR="004D389D">
        <w:rPr>
          <w:rFonts w:ascii="Calibri" w:eastAsia="Malgun Gothic" w:hAnsi="Calibri" w:cs="Calibri"/>
          <w:lang w:eastAsia="ko-KR"/>
        </w:rPr>
        <w:t>—was retained</w:t>
      </w:r>
      <w:r w:rsidR="0054285F">
        <w:rPr>
          <w:rFonts w:ascii="Calibri" w:eastAsia="Malgun Gothic" w:hAnsi="Calibri" w:cs="Calibri"/>
          <w:lang w:eastAsia="ko-KR"/>
        </w:rPr>
        <w:t>.</w:t>
      </w:r>
      <w:r w:rsidR="006F5649">
        <w:rPr>
          <w:rFonts w:ascii="Calibri" w:eastAsia="Malgun Gothic" w:hAnsi="Calibri" w:cs="Calibri"/>
          <w:lang w:eastAsia="ko-KR"/>
        </w:rPr>
        <w:t xml:space="preserve"> </w:t>
      </w:r>
      <w:r w:rsidR="00EB10F0">
        <w:rPr>
          <w:rFonts w:ascii="Calibri" w:eastAsia="Malgun Gothic" w:hAnsi="Calibri" w:cs="Calibri"/>
          <w:lang w:eastAsia="ko-KR"/>
        </w:rPr>
        <w:t xml:space="preserve">These </w:t>
      </w:r>
      <w:r w:rsidR="0054285F">
        <w:rPr>
          <w:rFonts w:ascii="Calibri" w:eastAsia="Malgun Gothic" w:hAnsi="Calibri" w:cs="Calibri"/>
          <w:lang w:eastAsia="ko-KR"/>
        </w:rPr>
        <w:t xml:space="preserve">screened </w:t>
      </w:r>
      <w:r w:rsidR="006E32F1">
        <w:rPr>
          <w:rFonts w:ascii="Calibri" w:eastAsia="Malgun Gothic" w:hAnsi="Calibri" w:cs="Calibri"/>
          <w:lang w:eastAsia="ko-KR"/>
        </w:rPr>
        <w:t xml:space="preserve">variables were </w:t>
      </w:r>
      <w:r w:rsidR="00860929">
        <w:rPr>
          <w:rFonts w:ascii="Calibri" w:eastAsia="Malgun Gothic" w:hAnsi="Calibri" w:cs="Calibri"/>
          <w:lang w:eastAsia="ko-KR"/>
        </w:rPr>
        <w:t xml:space="preserve">consistently </w:t>
      </w:r>
      <w:r w:rsidR="00ED1DB2">
        <w:rPr>
          <w:rFonts w:ascii="Calibri" w:eastAsia="Malgun Gothic" w:hAnsi="Calibri" w:cs="Calibri"/>
          <w:lang w:eastAsia="ko-KR"/>
        </w:rPr>
        <w:t xml:space="preserve">used </w:t>
      </w:r>
      <w:r w:rsidR="00860929">
        <w:rPr>
          <w:rFonts w:ascii="Calibri" w:eastAsia="Malgun Gothic" w:hAnsi="Calibri" w:cs="Calibri"/>
          <w:lang w:eastAsia="ko-KR"/>
        </w:rPr>
        <w:t>across</w:t>
      </w:r>
      <w:r w:rsidR="006E32F1">
        <w:rPr>
          <w:rFonts w:ascii="Calibri" w:eastAsia="Malgun Gothic" w:hAnsi="Calibri" w:cs="Calibri"/>
          <w:lang w:eastAsia="ko-KR"/>
        </w:rPr>
        <w:t xml:space="preserve"> all three </w:t>
      </w:r>
      <w:r w:rsidR="00860929">
        <w:rPr>
          <w:rFonts w:ascii="Calibri" w:eastAsia="Malgun Gothic" w:hAnsi="Calibri" w:cs="Calibri"/>
          <w:lang w:eastAsia="ko-KR"/>
        </w:rPr>
        <w:t>survival</w:t>
      </w:r>
      <w:r w:rsidR="006E32F1">
        <w:rPr>
          <w:rFonts w:ascii="Calibri" w:eastAsia="Malgun Gothic" w:hAnsi="Calibri" w:cs="Calibri"/>
          <w:lang w:eastAsia="ko-KR"/>
        </w:rPr>
        <w:t xml:space="preserve"> models</w:t>
      </w:r>
      <w:r w:rsidR="00E773B4">
        <w:rPr>
          <w:rFonts w:ascii="Calibri" w:eastAsia="Malgun Gothic" w:hAnsi="Calibri" w:cs="Calibri"/>
          <w:lang w:eastAsia="ko-KR"/>
        </w:rPr>
        <w:t xml:space="preserve"> </w:t>
      </w:r>
      <w:r w:rsidR="009304BA">
        <w:rPr>
          <w:rFonts w:ascii="Calibri" w:eastAsia="Malgun Gothic" w:hAnsi="Calibri" w:cs="Calibri"/>
          <w:lang w:eastAsia="ko-KR"/>
        </w:rPr>
        <w:t xml:space="preserve">to ensure </w:t>
      </w:r>
      <w:r w:rsidR="00E773B4">
        <w:rPr>
          <w:rFonts w:ascii="Calibri" w:eastAsia="Malgun Gothic" w:hAnsi="Calibri" w:cs="Calibri"/>
          <w:lang w:eastAsia="ko-KR"/>
        </w:rPr>
        <w:t>a generalized comparison framework</w:t>
      </w:r>
      <w:r w:rsidR="006E32F1">
        <w:rPr>
          <w:rFonts w:ascii="Calibri" w:eastAsia="Malgun Gothic" w:hAnsi="Calibri" w:cs="Calibri"/>
          <w:lang w:eastAsia="ko-KR"/>
        </w:rPr>
        <w:t>.</w:t>
      </w:r>
    </w:p>
    <w:p w14:paraId="6E5D209E" w14:textId="77777777" w:rsidR="00C23165" w:rsidRDefault="00A74807" w:rsidP="000F71A4">
      <w:pPr>
        <w:rPr>
          <w:color w:val="000000" w:themeColor="text1"/>
        </w:rPr>
      </w:pPr>
      <w:r>
        <w:rPr>
          <w:rFonts w:ascii="Calibri" w:eastAsia="Malgun Gothic" w:hAnsi="Calibri" w:cs="Calibri"/>
          <w:lang w:eastAsia="ko-KR"/>
        </w:rPr>
        <w:t xml:space="preserve">In the </w:t>
      </w:r>
      <w:proofErr w:type="gramStart"/>
      <w:r>
        <w:rPr>
          <w:rFonts w:ascii="Calibri" w:eastAsia="Malgun Gothic" w:hAnsi="Calibri" w:cs="Calibri"/>
          <w:lang w:eastAsia="ko-KR"/>
        </w:rPr>
        <w:t>baggin</w:t>
      </w:r>
      <w:r w:rsidR="00C82C28">
        <w:rPr>
          <w:rFonts w:ascii="Calibri" w:eastAsia="Malgun Gothic" w:hAnsi="Calibri" w:cs="Calibri"/>
          <w:lang w:eastAsia="ko-KR"/>
        </w:rPr>
        <w:t>g</w:t>
      </w:r>
      <w:proofErr w:type="gramEnd"/>
      <w:r w:rsidR="00C82C28">
        <w:rPr>
          <w:rFonts w:ascii="Calibri" w:eastAsia="Malgun Gothic" w:hAnsi="Calibri" w:cs="Calibri"/>
          <w:lang w:eastAsia="ko-KR"/>
        </w:rPr>
        <w:t xml:space="preserve"> with regularized Cox model, </w:t>
      </w:r>
      <w:r w:rsidR="00190B64">
        <w:rPr>
          <w:rFonts w:ascii="Calibri" w:eastAsia="Malgun Gothic" w:hAnsi="Calibri" w:cs="Calibri"/>
          <w:lang w:eastAsia="ko-KR"/>
        </w:rPr>
        <w:t xml:space="preserve">we generated 200 bootstrap resamples during </w:t>
      </w:r>
      <w:r w:rsidR="001E3FCD">
        <w:rPr>
          <w:rFonts w:ascii="Calibri" w:eastAsia="Malgun Gothic" w:hAnsi="Calibri" w:cs="Calibri"/>
          <w:lang w:eastAsia="ko-KR"/>
        </w:rPr>
        <w:t xml:space="preserve">the training phase. </w:t>
      </w:r>
      <w:r w:rsidR="00190B64">
        <w:rPr>
          <w:color w:val="000000" w:themeColor="text1"/>
        </w:rPr>
        <w:t>Based on</w:t>
      </w:r>
      <w:r w:rsidR="001173D4" w:rsidRPr="001D21FD">
        <w:rPr>
          <w:color w:val="000000" w:themeColor="text1"/>
        </w:rPr>
        <w:t xml:space="preserve"> the </w:t>
      </w:r>
      <w:r w:rsidR="007B7309">
        <w:rPr>
          <w:color w:val="000000" w:themeColor="text1"/>
        </w:rPr>
        <w:t>estimated</w:t>
      </w:r>
      <w:r w:rsidR="001173D4" w:rsidRPr="001D21FD">
        <w:rPr>
          <w:color w:val="000000" w:themeColor="text1"/>
        </w:rPr>
        <w:t xml:space="preserve"> risk scores, </w:t>
      </w:r>
      <w:r w:rsidR="000D6700">
        <w:rPr>
          <w:color w:val="000000" w:themeColor="text1"/>
        </w:rPr>
        <w:t>treatment recommendation</w:t>
      </w:r>
      <w:r w:rsidR="00190B64">
        <w:rPr>
          <w:color w:val="000000" w:themeColor="text1"/>
        </w:rPr>
        <w:t>s</w:t>
      </w:r>
      <w:r w:rsidR="000D6700">
        <w:rPr>
          <w:color w:val="000000" w:themeColor="text1"/>
        </w:rPr>
        <w:t xml:space="preserve"> w</w:t>
      </w:r>
      <w:r w:rsidR="00190B64">
        <w:rPr>
          <w:color w:val="000000" w:themeColor="text1"/>
        </w:rPr>
        <w:t>ere</w:t>
      </w:r>
      <w:r w:rsidR="000D6700">
        <w:rPr>
          <w:color w:val="000000" w:themeColor="text1"/>
        </w:rPr>
        <w:t xml:space="preserve"> </w:t>
      </w:r>
      <w:r w:rsidR="00FC60D2">
        <w:rPr>
          <w:color w:val="000000" w:themeColor="text1"/>
        </w:rPr>
        <w:t>assigned</w:t>
      </w:r>
      <w:r w:rsidR="000D6700">
        <w:rPr>
          <w:color w:val="000000" w:themeColor="text1"/>
        </w:rPr>
        <w:t xml:space="preserve">. </w:t>
      </w:r>
      <w:r w:rsidR="00D71F31">
        <w:rPr>
          <w:color w:val="000000" w:themeColor="text1"/>
        </w:rPr>
        <w:t xml:space="preserve">Within </w:t>
      </w:r>
      <w:r w:rsidR="001173D4" w:rsidRPr="001D21FD">
        <w:rPr>
          <w:color w:val="000000" w:themeColor="text1"/>
        </w:rPr>
        <w:t>the train</w:t>
      </w:r>
      <w:r w:rsidR="00FA67A9">
        <w:rPr>
          <w:color w:val="000000" w:themeColor="text1"/>
        </w:rPr>
        <w:t xml:space="preserve">ing dataset, </w:t>
      </w:r>
      <w:r w:rsidR="00D71F31">
        <w:rPr>
          <w:color w:val="000000" w:themeColor="text1"/>
        </w:rPr>
        <w:t xml:space="preserve">the model predicted </w:t>
      </w:r>
      <w:r w:rsidR="001173D4" w:rsidRPr="001D21FD">
        <w:rPr>
          <w:color w:val="000000" w:themeColor="text1"/>
        </w:rPr>
        <w:t>82 patients</w:t>
      </w:r>
      <w:r w:rsidR="0011195F">
        <w:rPr>
          <w:color w:val="000000" w:themeColor="text1"/>
        </w:rPr>
        <w:t xml:space="preserve"> </w:t>
      </w:r>
      <w:r w:rsidR="00485E2F">
        <w:rPr>
          <w:color w:val="000000" w:themeColor="text1"/>
        </w:rPr>
        <w:t>to</w:t>
      </w:r>
      <w:r w:rsidR="001173D4" w:rsidRPr="001D21FD">
        <w:rPr>
          <w:color w:val="000000" w:themeColor="text1"/>
        </w:rPr>
        <w:t xml:space="preserve"> the </w:t>
      </w:r>
      <w:r w:rsidR="008E5CC9">
        <w:rPr>
          <w:color w:val="000000" w:themeColor="text1"/>
        </w:rPr>
        <w:t>OBS</w:t>
      </w:r>
      <w:r w:rsidR="001173D4" w:rsidRPr="001D21FD">
        <w:rPr>
          <w:color w:val="000000" w:themeColor="text1"/>
        </w:rPr>
        <w:t xml:space="preserve"> category and 42 patients </w:t>
      </w:r>
      <w:r w:rsidR="008E5CC9">
        <w:rPr>
          <w:color w:val="000000" w:themeColor="text1"/>
        </w:rPr>
        <w:t>to</w:t>
      </w:r>
      <w:r w:rsidR="001173D4" w:rsidRPr="001D21FD">
        <w:rPr>
          <w:color w:val="000000" w:themeColor="text1"/>
        </w:rPr>
        <w:t xml:space="preserve"> the </w:t>
      </w:r>
      <w:r w:rsidR="008E5CC9">
        <w:rPr>
          <w:color w:val="000000" w:themeColor="text1"/>
        </w:rPr>
        <w:t>ACT</w:t>
      </w:r>
      <w:r w:rsidR="001173D4" w:rsidRPr="001D21FD">
        <w:rPr>
          <w:color w:val="000000" w:themeColor="text1"/>
        </w:rPr>
        <w:t xml:space="preserve"> category. To </w:t>
      </w:r>
      <w:r w:rsidR="001F11FD">
        <w:rPr>
          <w:color w:val="000000" w:themeColor="text1"/>
        </w:rPr>
        <w:t>evaluate</w:t>
      </w:r>
      <w:r w:rsidR="001173D4" w:rsidRPr="001D21FD">
        <w:rPr>
          <w:color w:val="000000" w:themeColor="text1"/>
        </w:rPr>
        <w:t xml:space="preserve"> the effectiveness of these recommendations, </w:t>
      </w:r>
      <w:r w:rsidR="001F11FD">
        <w:rPr>
          <w:color w:val="000000" w:themeColor="text1"/>
        </w:rPr>
        <w:t xml:space="preserve">we analyzed </w:t>
      </w:r>
      <w:r w:rsidR="001173D4" w:rsidRPr="001D21FD">
        <w:rPr>
          <w:color w:val="000000" w:themeColor="text1"/>
        </w:rPr>
        <w:t>patient survival curves</w:t>
      </w:r>
      <w:r w:rsidR="00B8663B">
        <w:rPr>
          <w:color w:val="000000" w:themeColor="text1"/>
        </w:rPr>
        <w:t xml:space="preserve">, </w:t>
      </w:r>
      <w:r w:rsidR="001173D4" w:rsidRPr="001D21FD">
        <w:rPr>
          <w:color w:val="000000" w:themeColor="text1"/>
        </w:rPr>
        <w:t xml:space="preserve">comparing </w:t>
      </w:r>
      <w:r w:rsidR="00B8663B">
        <w:rPr>
          <w:color w:val="000000" w:themeColor="text1"/>
        </w:rPr>
        <w:t>those who adhered to the model’s treatment</w:t>
      </w:r>
      <w:r w:rsidR="001173D4" w:rsidRPr="001D21FD">
        <w:rPr>
          <w:color w:val="000000" w:themeColor="text1"/>
        </w:rPr>
        <w:t xml:space="preserve"> recommendation</w:t>
      </w:r>
      <w:r w:rsidR="00EA034C">
        <w:rPr>
          <w:color w:val="000000" w:themeColor="text1"/>
        </w:rPr>
        <w:t xml:space="preserve"> with </w:t>
      </w:r>
      <w:r w:rsidR="001173D4" w:rsidRPr="001D21FD">
        <w:rPr>
          <w:color w:val="000000" w:themeColor="text1"/>
        </w:rPr>
        <w:t xml:space="preserve">those </w:t>
      </w:r>
      <w:r w:rsidR="00EA034C">
        <w:rPr>
          <w:color w:val="000000" w:themeColor="text1"/>
        </w:rPr>
        <w:t>who</w:t>
      </w:r>
      <w:r w:rsidR="001173D4" w:rsidRPr="001D21FD">
        <w:rPr>
          <w:color w:val="000000" w:themeColor="text1"/>
        </w:rPr>
        <w:t xml:space="preserve"> did not. </w:t>
      </w:r>
      <w:r w:rsidR="004B4178">
        <w:rPr>
          <w:color w:val="000000" w:themeColor="text1"/>
        </w:rPr>
        <w:t xml:space="preserve">Among </w:t>
      </w:r>
      <w:r w:rsidR="003F471C">
        <w:rPr>
          <w:color w:val="000000" w:themeColor="text1"/>
        </w:rPr>
        <w:t xml:space="preserve">patients in the training dataset, </w:t>
      </w:r>
      <w:r w:rsidR="001173D4" w:rsidRPr="001D21FD">
        <w:rPr>
          <w:color w:val="000000" w:themeColor="text1"/>
        </w:rPr>
        <w:t>112 followed the model recommendation</w:t>
      </w:r>
      <w:r w:rsidR="00627090">
        <w:rPr>
          <w:color w:val="000000" w:themeColor="text1"/>
        </w:rPr>
        <w:t xml:space="preserve"> (either ACT or OBS), while</w:t>
      </w:r>
      <w:r w:rsidR="001173D4" w:rsidRPr="001D21FD">
        <w:rPr>
          <w:color w:val="000000" w:themeColor="text1"/>
        </w:rPr>
        <w:t xml:space="preserve"> 12 did not. Similarly</w:t>
      </w:r>
      <w:r w:rsidR="009048A8">
        <w:rPr>
          <w:color w:val="000000" w:themeColor="text1"/>
        </w:rPr>
        <w:t>,</w:t>
      </w:r>
      <w:r w:rsidR="001173D4" w:rsidRPr="001D21FD">
        <w:rPr>
          <w:color w:val="000000" w:themeColor="text1"/>
        </w:rPr>
        <w:t xml:space="preserve"> </w:t>
      </w:r>
      <w:r w:rsidR="00ED69F5">
        <w:rPr>
          <w:color w:val="000000" w:themeColor="text1"/>
        </w:rPr>
        <w:t>in</w:t>
      </w:r>
      <w:r w:rsidR="001173D4" w:rsidRPr="001D21FD">
        <w:rPr>
          <w:color w:val="000000" w:themeColor="text1"/>
        </w:rPr>
        <w:t xml:space="preserve"> the test </w:t>
      </w:r>
      <w:r w:rsidR="009048A8">
        <w:rPr>
          <w:color w:val="000000" w:themeColor="text1"/>
        </w:rPr>
        <w:t>data</w:t>
      </w:r>
      <w:r w:rsidR="001173D4" w:rsidRPr="001D21FD">
        <w:rPr>
          <w:color w:val="000000" w:themeColor="text1"/>
        </w:rPr>
        <w:t xml:space="preserve">set, </w:t>
      </w:r>
      <w:r w:rsidR="00ED69F5">
        <w:rPr>
          <w:color w:val="000000" w:themeColor="text1"/>
        </w:rPr>
        <w:t xml:space="preserve">the model classified </w:t>
      </w:r>
      <w:r w:rsidR="001173D4" w:rsidRPr="001D21FD">
        <w:rPr>
          <w:color w:val="000000" w:themeColor="text1"/>
        </w:rPr>
        <w:t>29 patients</w:t>
      </w:r>
      <w:r w:rsidR="00ED69F5">
        <w:rPr>
          <w:color w:val="000000" w:themeColor="text1"/>
        </w:rPr>
        <w:t xml:space="preserve"> into the OBS group and </w:t>
      </w:r>
      <w:r w:rsidR="001173D4" w:rsidRPr="001D21FD">
        <w:rPr>
          <w:color w:val="000000" w:themeColor="text1"/>
        </w:rPr>
        <w:t xml:space="preserve">2 patients </w:t>
      </w:r>
      <w:r w:rsidR="003503AC">
        <w:rPr>
          <w:color w:val="000000" w:themeColor="text1"/>
        </w:rPr>
        <w:t>into the</w:t>
      </w:r>
      <w:r w:rsidR="001173D4" w:rsidRPr="001D21FD">
        <w:rPr>
          <w:color w:val="000000" w:themeColor="text1"/>
        </w:rPr>
        <w:t xml:space="preserve"> </w:t>
      </w:r>
      <w:r w:rsidR="00DC2E2B">
        <w:rPr>
          <w:color w:val="000000" w:themeColor="text1"/>
        </w:rPr>
        <w:t>ACT</w:t>
      </w:r>
      <w:r w:rsidR="001173D4" w:rsidRPr="001D21FD">
        <w:rPr>
          <w:color w:val="000000" w:themeColor="text1"/>
        </w:rPr>
        <w:t xml:space="preserve"> group. Among </w:t>
      </w:r>
      <w:r w:rsidR="003503AC">
        <w:rPr>
          <w:color w:val="000000" w:themeColor="text1"/>
        </w:rPr>
        <w:t>them</w:t>
      </w:r>
      <w:r w:rsidR="001173D4" w:rsidRPr="001D21FD">
        <w:rPr>
          <w:color w:val="000000" w:themeColor="text1"/>
        </w:rPr>
        <w:t xml:space="preserve">, 16 patients </w:t>
      </w:r>
      <w:proofErr w:type="gramStart"/>
      <w:r w:rsidR="00DC2E2B">
        <w:rPr>
          <w:color w:val="000000" w:themeColor="text1"/>
        </w:rPr>
        <w:t xml:space="preserve">actually </w:t>
      </w:r>
      <w:r w:rsidR="001173D4" w:rsidRPr="001D21FD">
        <w:rPr>
          <w:color w:val="000000" w:themeColor="text1"/>
        </w:rPr>
        <w:t>followed</w:t>
      </w:r>
      <w:proofErr w:type="gramEnd"/>
      <w:r w:rsidR="00DC2E2B">
        <w:rPr>
          <w:color w:val="000000" w:themeColor="text1"/>
        </w:rPr>
        <w:t xml:space="preserve"> the model</w:t>
      </w:r>
      <w:r w:rsidR="003503AC">
        <w:rPr>
          <w:color w:val="000000" w:themeColor="text1"/>
        </w:rPr>
        <w:t>’s</w:t>
      </w:r>
      <w:r w:rsidR="00DC2E2B">
        <w:rPr>
          <w:color w:val="000000" w:themeColor="text1"/>
        </w:rPr>
        <w:t xml:space="preserve"> recommendation</w:t>
      </w:r>
      <w:r w:rsidR="001173D4" w:rsidRPr="001D21FD">
        <w:rPr>
          <w:color w:val="000000" w:themeColor="text1"/>
        </w:rPr>
        <w:t>,</w:t>
      </w:r>
      <w:r w:rsidR="00C23165">
        <w:rPr>
          <w:color w:val="000000" w:themeColor="text1"/>
        </w:rPr>
        <w:t xml:space="preserve"> while </w:t>
      </w:r>
      <w:r w:rsidR="001173D4" w:rsidRPr="001D21FD">
        <w:rPr>
          <w:color w:val="000000" w:themeColor="text1"/>
        </w:rPr>
        <w:t xml:space="preserve">15 did not. </w:t>
      </w:r>
    </w:p>
    <w:p w14:paraId="555071B2" w14:textId="04EF75A7" w:rsidR="00CA4970" w:rsidRDefault="00C07040" w:rsidP="004C11A6">
      <w:r>
        <w:rPr>
          <w:color w:val="000000" w:themeColor="text1"/>
        </w:rPr>
        <w:t xml:space="preserve">The discriminative ability of </w:t>
      </w:r>
      <w:r w:rsidR="00272632">
        <w:rPr>
          <w:color w:val="000000" w:themeColor="text1"/>
        </w:rPr>
        <w:t>the bagging with regularized Cox model</w:t>
      </w:r>
      <w:r w:rsidR="00707955">
        <w:rPr>
          <w:color w:val="000000" w:themeColor="text1"/>
        </w:rPr>
        <w:t xml:space="preserve"> </w:t>
      </w:r>
      <w:r w:rsidR="00AA600F">
        <w:rPr>
          <w:color w:val="000000" w:themeColor="text1"/>
        </w:rPr>
        <w:t xml:space="preserve">resulted in </w:t>
      </w:r>
      <w:r w:rsidR="001173D4" w:rsidRPr="001D21FD">
        <w:rPr>
          <w:color w:val="000000" w:themeColor="text1"/>
        </w:rPr>
        <w:t>a C</w:t>
      </w:r>
      <w:r w:rsidR="00E75317">
        <w:rPr>
          <w:color w:val="000000" w:themeColor="text1"/>
        </w:rPr>
        <w:t>-</w:t>
      </w:r>
      <w:r w:rsidR="001173D4" w:rsidRPr="001D21FD">
        <w:rPr>
          <w:color w:val="000000" w:themeColor="text1"/>
        </w:rPr>
        <w:t>I</w:t>
      </w:r>
      <w:r w:rsidR="00E75317">
        <w:rPr>
          <w:color w:val="000000" w:themeColor="text1"/>
        </w:rPr>
        <w:t>ndex</w:t>
      </w:r>
      <w:r w:rsidR="001173D4" w:rsidRPr="001D21FD">
        <w:rPr>
          <w:color w:val="000000" w:themeColor="text1"/>
        </w:rPr>
        <w:t xml:space="preserve"> of </w:t>
      </w:r>
      <w:r w:rsidR="00E75317">
        <w:rPr>
          <w:color w:val="000000" w:themeColor="text1"/>
        </w:rPr>
        <w:t>.</w:t>
      </w:r>
      <w:r w:rsidR="001173D4" w:rsidRPr="001D21FD">
        <w:rPr>
          <w:color w:val="000000" w:themeColor="text1"/>
        </w:rPr>
        <w:t xml:space="preserve">996 </w:t>
      </w:r>
      <w:r w:rsidR="00272632">
        <w:rPr>
          <w:color w:val="000000" w:themeColor="text1"/>
        </w:rPr>
        <w:t xml:space="preserve">on the training dataset </w:t>
      </w:r>
      <w:r w:rsidR="001173D4" w:rsidRPr="001D21FD">
        <w:rPr>
          <w:color w:val="000000" w:themeColor="text1"/>
        </w:rPr>
        <w:t>and</w:t>
      </w:r>
      <w:r w:rsidR="00272632">
        <w:rPr>
          <w:color w:val="000000" w:themeColor="text1"/>
        </w:rPr>
        <w:t xml:space="preserve"> </w:t>
      </w:r>
      <w:r w:rsidR="008A6EBD">
        <w:rPr>
          <w:color w:val="000000" w:themeColor="text1"/>
        </w:rPr>
        <w:t>.</w:t>
      </w:r>
      <w:r w:rsidR="001173D4" w:rsidRPr="001D21FD">
        <w:rPr>
          <w:color w:val="000000" w:themeColor="text1"/>
        </w:rPr>
        <w:t>709</w:t>
      </w:r>
      <w:r w:rsidR="00272632">
        <w:rPr>
          <w:color w:val="000000" w:themeColor="text1"/>
        </w:rPr>
        <w:t xml:space="preserve"> on the test dataset</w:t>
      </w:r>
      <w:r w:rsidR="00F33E49">
        <w:rPr>
          <w:color w:val="000000" w:themeColor="text1"/>
        </w:rPr>
        <w:t>, indicating strong predictive performance</w:t>
      </w:r>
      <w:r>
        <w:rPr>
          <w:color w:val="000000" w:themeColor="text1"/>
        </w:rPr>
        <w:t xml:space="preserve">. </w:t>
      </w:r>
      <w:r w:rsidR="006C2CFA">
        <w:rPr>
          <w:color w:val="000000" w:themeColor="text1"/>
        </w:rPr>
        <w:t xml:space="preserve">The </w:t>
      </w:r>
      <w:r w:rsidR="00015640">
        <w:rPr>
          <w:color w:val="000000" w:themeColor="text1"/>
        </w:rPr>
        <w:t>survival probabi</w:t>
      </w:r>
      <w:r w:rsidR="000F0025">
        <w:rPr>
          <w:color w:val="000000" w:themeColor="text1"/>
        </w:rPr>
        <w:t>lities for patients who followed the model</w:t>
      </w:r>
      <w:r w:rsidR="00762CC0">
        <w:rPr>
          <w:color w:val="000000" w:themeColor="text1"/>
        </w:rPr>
        <w:t>’s</w:t>
      </w:r>
      <w:r w:rsidR="000F0025">
        <w:rPr>
          <w:color w:val="000000" w:themeColor="text1"/>
        </w:rPr>
        <w:t xml:space="preserve"> </w:t>
      </w:r>
      <w:r w:rsidR="002D24F6">
        <w:rPr>
          <w:color w:val="000000" w:themeColor="text1"/>
        </w:rPr>
        <w:t>treatment recommendation</w:t>
      </w:r>
      <w:r w:rsidR="001F4F84">
        <w:rPr>
          <w:color w:val="000000" w:themeColor="text1"/>
        </w:rPr>
        <w:t xml:space="preserve"> (</w:t>
      </w:r>
      <w:r w:rsidR="00B301E9">
        <w:rPr>
          <w:color w:val="000000" w:themeColor="text1"/>
        </w:rPr>
        <w:t>solid</w:t>
      </w:r>
      <w:r w:rsidR="001F4F84">
        <w:rPr>
          <w:color w:val="000000" w:themeColor="text1"/>
        </w:rPr>
        <w:t xml:space="preserve"> line)</w:t>
      </w:r>
      <w:r w:rsidR="002D24F6">
        <w:rPr>
          <w:color w:val="000000" w:themeColor="text1"/>
        </w:rPr>
        <w:t xml:space="preserve"> </w:t>
      </w:r>
      <w:r w:rsidR="00762CC0">
        <w:rPr>
          <w:color w:val="000000" w:themeColor="text1"/>
        </w:rPr>
        <w:t>compared to</w:t>
      </w:r>
      <w:r w:rsidR="002D24F6">
        <w:rPr>
          <w:color w:val="000000" w:themeColor="text1"/>
        </w:rPr>
        <w:t xml:space="preserve"> those who did not</w:t>
      </w:r>
      <w:r w:rsidR="00B301E9">
        <w:rPr>
          <w:color w:val="000000" w:themeColor="text1"/>
        </w:rPr>
        <w:t xml:space="preserve"> (</w:t>
      </w:r>
      <w:r w:rsidR="009B11D2">
        <w:rPr>
          <w:color w:val="000000" w:themeColor="text1"/>
        </w:rPr>
        <w:t>dashed</w:t>
      </w:r>
      <w:r w:rsidR="00B301E9">
        <w:rPr>
          <w:color w:val="000000" w:themeColor="text1"/>
        </w:rPr>
        <w:t xml:space="preserve"> line)</w:t>
      </w:r>
      <w:r w:rsidR="002D24F6">
        <w:rPr>
          <w:color w:val="000000" w:themeColor="text1"/>
        </w:rPr>
        <w:t xml:space="preserve"> </w:t>
      </w:r>
      <w:r w:rsidR="00762CC0">
        <w:rPr>
          <w:color w:val="000000" w:themeColor="text1"/>
        </w:rPr>
        <w:t xml:space="preserve">are illustrated </w:t>
      </w:r>
      <w:r w:rsidR="002828DD">
        <w:rPr>
          <w:color w:val="000000" w:themeColor="text1"/>
        </w:rPr>
        <w:t xml:space="preserve">in Figure 2. </w:t>
      </w:r>
      <w:r w:rsidR="004A6A1B">
        <w:rPr>
          <w:color w:val="000000" w:themeColor="text1"/>
        </w:rPr>
        <w:t xml:space="preserve">Patients who </w:t>
      </w:r>
      <w:r w:rsidR="00762CC0">
        <w:rPr>
          <w:color w:val="000000" w:themeColor="text1"/>
        </w:rPr>
        <w:t>adhered to</w:t>
      </w:r>
      <w:r w:rsidR="004A6A1B">
        <w:rPr>
          <w:color w:val="000000" w:themeColor="text1"/>
        </w:rPr>
        <w:t xml:space="preserve"> </w:t>
      </w:r>
      <w:r w:rsidR="005E4E38">
        <w:rPr>
          <w:color w:val="000000" w:themeColor="text1"/>
        </w:rPr>
        <w:t>the model</w:t>
      </w:r>
      <w:r w:rsidR="00762CC0">
        <w:rPr>
          <w:color w:val="000000" w:themeColor="text1"/>
        </w:rPr>
        <w:t>’s</w:t>
      </w:r>
      <w:r w:rsidR="005E4E38">
        <w:rPr>
          <w:color w:val="000000" w:themeColor="text1"/>
        </w:rPr>
        <w:t xml:space="preserve"> recommendation </w:t>
      </w:r>
      <w:r w:rsidR="00115AED">
        <w:rPr>
          <w:color w:val="000000" w:themeColor="text1"/>
        </w:rPr>
        <w:t xml:space="preserve">maintained a higher survival probability </w:t>
      </w:r>
      <w:r w:rsidR="00F707C9">
        <w:rPr>
          <w:color w:val="000000" w:themeColor="text1"/>
        </w:rPr>
        <w:t xml:space="preserve">throughout </w:t>
      </w:r>
      <w:r w:rsidR="00B0211D">
        <w:rPr>
          <w:color w:val="000000" w:themeColor="text1"/>
        </w:rPr>
        <w:t xml:space="preserve">approximately </w:t>
      </w:r>
      <w:r w:rsidR="005E4E38">
        <w:rPr>
          <w:color w:val="000000" w:themeColor="text1"/>
        </w:rPr>
        <w:t>11 years</w:t>
      </w:r>
      <w:r w:rsidR="0035158F">
        <w:rPr>
          <w:color w:val="000000" w:themeColor="text1"/>
        </w:rPr>
        <w:t>. However</w:t>
      </w:r>
      <w:r w:rsidR="005E4E38">
        <w:rPr>
          <w:color w:val="000000" w:themeColor="text1"/>
        </w:rPr>
        <w:t>,</w:t>
      </w:r>
      <w:r w:rsidR="0035158F">
        <w:rPr>
          <w:color w:val="000000" w:themeColor="text1"/>
        </w:rPr>
        <w:t xml:space="preserve"> both groups experience </w:t>
      </w:r>
      <w:r w:rsidR="00927FE9">
        <w:rPr>
          <w:color w:val="000000" w:themeColor="text1"/>
        </w:rPr>
        <w:t xml:space="preserve">deaths toward the </w:t>
      </w:r>
      <w:proofErr w:type="gramStart"/>
      <w:r w:rsidR="00927FE9">
        <w:rPr>
          <w:color w:val="000000" w:themeColor="text1"/>
        </w:rPr>
        <w:t>12-16 year</w:t>
      </w:r>
      <w:proofErr w:type="gramEnd"/>
      <w:r w:rsidR="00927FE9">
        <w:rPr>
          <w:color w:val="000000" w:themeColor="text1"/>
        </w:rPr>
        <w:t xml:space="preserve"> range. The median survival time is estimated at 13.4 years.</w:t>
      </w:r>
      <w:r w:rsidR="002E0B2A">
        <w:rPr>
          <w:color w:val="000000" w:themeColor="text1"/>
        </w:rPr>
        <w:t xml:space="preserve"> </w:t>
      </w:r>
      <w:r w:rsidR="00F65358">
        <w:rPr>
          <w:color w:val="000000" w:themeColor="text1"/>
        </w:rPr>
        <w:t>While there is a visible difference in survival probability up until around 11-year mark</w:t>
      </w:r>
      <w:r w:rsidR="004C11A6">
        <w:rPr>
          <w:color w:val="000000" w:themeColor="text1"/>
        </w:rPr>
        <w:t xml:space="preserve">, the log-rank test comparing two groups survival probabilities resulted in </w:t>
      </w:r>
      <m:oMath>
        <m:r>
          <w:rPr>
            <w:rFonts w:ascii="Cambria Math" w:hAnsi="Cambria Math"/>
          </w:rPr>
          <m:t>p&gt;.2</m:t>
        </m:r>
      </m:oMath>
      <w:r w:rsidR="004C11A6">
        <w:t>0</w:t>
      </w:r>
      <w:r w:rsidR="00402700">
        <w:t>, indicating not enough evidence for statistically significant difference in survival distributions between those who followed versus did</w:t>
      </w:r>
      <w:r w:rsidR="002448EC">
        <w:t xml:space="preserve"> not follow the model recommendation. </w:t>
      </w:r>
    </w:p>
    <w:p w14:paraId="7D0D9C99" w14:textId="011F3A8C" w:rsidR="004C11A6" w:rsidRDefault="00F25F9B" w:rsidP="00F42765">
      <w:r>
        <w:t xml:space="preserve">Despite the higher survival probability in the followed group, the lack of statistical </w:t>
      </w:r>
      <w:r w:rsidR="00CC3AC2">
        <w:t xml:space="preserve">significance suggests that </w:t>
      </w:r>
      <w:r w:rsidR="00656846">
        <w:t>several factors may be at play. One possibility is the small sample size</w:t>
      </w:r>
      <w:r w:rsidR="0071147F">
        <w:t>, which may have limited the statistical power needed to detect a meaningful difference in survival outcomes.</w:t>
      </w:r>
      <w:r w:rsidR="00F42765">
        <w:t xml:space="preserve"> W</w:t>
      </w:r>
      <w:r w:rsidR="001D14FB">
        <w:t xml:space="preserve">e noted that </w:t>
      </w:r>
      <w:r w:rsidR="00451DB1">
        <w:t xml:space="preserve">only 2 patients </w:t>
      </w:r>
      <w:r w:rsidR="001D14FB">
        <w:t xml:space="preserve">remained at risk in the </w:t>
      </w:r>
      <w:proofErr w:type="gramStart"/>
      <w:r w:rsidR="001D14FB">
        <w:t>followed</w:t>
      </w:r>
      <w:proofErr w:type="gramEnd"/>
      <w:r w:rsidR="001D14FB">
        <w:t xml:space="preserve"> group</w:t>
      </w:r>
      <w:r w:rsidR="00B04DC7">
        <w:t xml:space="preserve"> by year 12.</w:t>
      </w:r>
      <w:r w:rsidR="001D14FB">
        <w:t xml:space="preserve"> </w:t>
      </w:r>
      <w:r w:rsidR="007E302C">
        <w:t>Additionally,</w:t>
      </w:r>
      <w:r w:rsidR="006B7365">
        <w:t xml:space="preserve"> the model’s recommendations may not provide</w:t>
      </w:r>
      <w:r w:rsidR="00517168">
        <w:t xml:space="preserve"> strong enough differentiation between patient survival, potentially indicating the need for further refined model</w:t>
      </w:r>
      <w:r w:rsidR="008A7843">
        <w:t>.</w:t>
      </w:r>
    </w:p>
    <w:p w14:paraId="1C58B250" w14:textId="0E3D972A" w:rsidR="001173D4" w:rsidRDefault="001173D4" w:rsidP="000F71A4">
      <w:pPr>
        <w:rPr>
          <w:color w:val="000000" w:themeColor="text1"/>
        </w:rPr>
      </w:pPr>
    </w:p>
    <w:tbl>
      <w:tblPr>
        <w:tblStyle w:val="TableGrid"/>
        <w:tblW w:w="0" w:type="auto"/>
        <w:tblLayout w:type="fixed"/>
        <w:tblLook w:val="04A0" w:firstRow="1" w:lastRow="0" w:firstColumn="1" w:lastColumn="0" w:noHBand="0" w:noVBand="1"/>
      </w:tblPr>
      <w:tblGrid>
        <w:gridCol w:w="8365"/>
      </w:tblGrid>
      <w:tr w:rsidR="002828DD" w14:paraId="46734CA9" w14:textId="77777777" w:rsidTr="0008704A">
        <w:trPr>
          <w:trHeight w:val="3439"/>
        </w:trPr>
        <w:tc>
          <w:tcPr>
            <w:tcW w:w="8365" w:type="dxa"/>
          </w:tcPr>
          <w:p w14:paraId="5735CFD7" w14:textId="296F92FC" w:rsidR="002828DD" w:rsidRDefault="004D4EB1" w:rsidP="00AB149A">
            <w:pPr>
              <w:tabs>
                <w:tab w:val="left" w:pos="2498"/>
              </w:tabs>
              <w:rPr>
                <w:rFonts w:ascii="Calibri" w:eastAsia="Malgun Gothic" w:hAnsi="Calibri" w:cs="Calibri"/>
                <w:lang w:eastAsia="ko-KR"/>
              </w:rPr>
            </w:pPr>
            <w:r>
              <w:rPr>
                <w:noProof/>
              </w:rPr>
              <w:lastRenderedPageBreak/>
              <mc:AlternateContent>
                <mc:Choice Requires="wps">
                  <w:drawing>
                    <wp:anchor distT="0" distB="0" distL="114300" distR="114300" simplePos="0" relativeHeight="251659264" behindDoc="0" locked="0" layoutInCell="1" allowOverlap="1" wp14:anchorId="3866A2D1" wp14:editId="7D096DF5">
                      <wp:simplePos x="0" y="0"/>
                      <wp:positionH relativeFrom="column">
                        <wp:posOffset>830645</wp:posOffset>
                      </wp:positionH>
                      <wp:positionV relativeFrom="paragraph">
                        <wp:posOffset>1431527</wp:posOffset>
                      </wp:positionV>
                      <wp:extent cx="660607" cy="264989"/>
                      <wp:effectExtent l="0" t="0" r="6350" b="1905"/>
                      <wp:wrapNone/>
                      <wp:docPr id="122857648" name="Text Box 1"/>
                      <wp:cNvGraphicFramePr/>
                      <a:graphic xmlns:a="http://schemas.openxmlformats.org/drawingml/2006/main">
                        <a:graphicData uri="http://schemas.microsoft.com/office/word/2010/wordprocessingShape">
                          <wps:wsp>
                            <wps:cNvSpPr txBox="1"/>
                            <wps:spPr>
                              <a:xfrm>
                                <a:off x="0" y="0"/>
                                <a:ext cx="660607" cy="264989"/>
                              </a:xfrm>
                              <a:prstGeom prst="rect">
                                <a:avLst/>
                              </a:prstGeom>
                              <a:solidFill>
                                <a:schemeClr val="lt1"/>
                              </a:solidFill>
                              <a:ln w="6350">
                                <a:noFill/>
                              </a:ln>
                            </wps:spPr>
                            <wps:txbx>
                              <w:txbxContent>
                                <w:p w14:paraId="4B087A16" w14:textId="106893D9" w:rsidR="004D4EB1" w:rsidRDefault="004D4EB1">
                                  <m:oMath>
                                    <m:r>
                                      <w:rPr>
                                        <w:rFonts w:ascii="Cambria Math" w:hAnsi="Cambria Math"/>
                                      </w:rPr>
                                      <m:t>p&gt;.2</m:t>
                                    </m:r>
                                  </m:oMath>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6A2D1" id="_x0000_t202" coordsize="21600,21600" o:spt="202" path="m,l,21600r21600,l21600,xe">
                      <v:stroke joinstyle="miter"/>
                      <v:path gradientshapeok="t" o:connecttype="rect"/>
                    </v:shapetype>
                    <v:shape id="Text Box 1" o:spid="_x0000_s1026" type="#_x0000_t202" style="position:absolute;margin-left:65.4pt;margin-top:112.7pt;width:52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" fillcolor="white [3201]" stroked="f" strokeweight=".5pt">
                      <v:textbox>
                        <w:txbxContent>
                          <w:p w14:paraId="4B087A16" w14:textId="106893D9" w:rsidR="004D4EB1" w:rsidRDefault="004D4EB1">
                            <m:oMath>
                              <m:r>
                                <w:rPr>
                                  <w:rFonts w:ascii="Cambria Math" w:hAnsi="Cambria Math"/>
                                </w:rPr>
                                <m:t>p&gt;.2</m:t>
                              </m:r>
                            </m:oMath>
                            <w:r>
                              <w:t>0</w:t>
                            </w:r>
                          </w:p>
                        </w:txbxContent>
                      </v:textbox>
                    </v:shape>
                  </w:pict>
                </mc:Fallback>
              </mc:AlternateContent>
            </w:r>
            <w:r w:rsidR="00AB149A">
              <w:rPr>
                <w:noProof/>
              </w:rPr>
              <w:drawing>
                <wp:inline distT="0" distB="0" distL="0" distR="0" wp14:anchorId="0FF5EAB5" wp14:editId="3FCC1756">
                  <wp:extent cx="4652093" cy="2875839"/>
                  <wp:effectExtent l="0" t="0" r="0" b="1270"/>
                  <wp:docPr id="3" name="Picture 2" descr="A graph with numbers and a line&#10;&#10;Description automatically generated">
                    <a:extLst xmlns:a="http://schemas.openxmlformats.org/drawingml/2006/main">
                      <a:ext uri="{FF2B5EF4-FFF2-40B4-BE49-F238E27FC236}">
                        <a16:creationId xmlns:a16="http://schemas.microsoft.com/office/drawing/2014/main" id="{B7AA2396-A132-2180-411E-C6D2AB79A5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numbers and a line&#10;&#10;Description automatically generated">
                            <a:extLst>
                              <a:ext uri="{FF2B5EF4-FFF2-40B4-BE49-F238E27FC236}">
                                <a16:creationId xmlns:a16="http://schemas.microsoft.com/office/drawing/2014/main" id="{B7AA2396-A132-2180-411E-C6D2AB79A501}"/>
                              </a:ext>
                            </a:extLst>
                          </pic:cNvPr>
                          <pic:cNvPicPr>
                            <a:picLocks noChangeAspect="1"/>
                          </pic:cNvPicPr>
                        </pic:nvPicPr>
                        <pic:blipFill>
                          <a:blip r:embed="rId8"/>
                          <a:stretch>
                            <a:fillRect/>
                          </a:stretch>
                        </pic:blipFill>
                        <pic:spPr>
                          <a:xfrm>
                            <a:off x="0" y="0"/>
                            <a:ext cx="4666854" cy="2884964"/>
                          </a:xfrm>
                          <a:prstGeom prst="rect">
                            <a:avLst/>
                          </a:prstGeom>
                        </pic:spPr>
                      </pic:pic>
                    </a:graphicData>
                  </a:graphic>
                </wp:inline>
              </w:drawing>
            </w:r>
          </w:p>
        </w:tc>
      </w:tr>
      <w:tr w:rsidR="002828DD" w14:paraId="491EF39F" w14:textId="77777777" w:rsidTr="0008704A">
        <w:trPr>
          <w:trHeight w:val="173"/>
        </w:trPr>
        <w:tc>
          <w:tcPr>
            <w:tcW w:w="8365" w:type="dxa"/>
          </w:tcPr>
          <w:p w14:paraId="5050DC44" w14:textId="0F12EF2D" w:rsidR="002828DD" w:rsidRDefault="00C1497D" w:rsidP="000F71A4">
            <w:pPr>
              <w:rPr>
                <w:rFonts w:ascii="Calibri" w:eastAsia="Malgun Gothic" w:hAnsi="Calibri" w:cs="Calibri"/>
                <w:lang w:eastAsia="ko-KR"/>
              </w:rPr>
            </w:pPr>
            <w:r w:rsidRPr="001D21FD">
              <w:rPr>
                <w:b/>
                <w:bCs/>
                <w:color w:val="000000" w:themeColor="text1"/>
              </w:rPr>
              <w:t xml:space="preserve">FIGURE </w:t>
            </w:r>
            <w:r>
              <w:rPr>
                <w:b/>
                <w:bCs/>
                <w:color w:val="000000" w:themeColor="text1"/>
              </w:rPr>
              <w:t>2</w:t>
            </w:r>
            <w:r w:rsidRPr="001D21FD">
              <w:rPr>
                <w:b/>
                <w:bCs/>
                <w:color w:val="000000" w:themeColor="text1"/>
              </w:rPr>
              <w:t xml:space="preserve">. </w:t>
            </w:r>
            <w:r w:rsidR="00DE0C66">
              <w:rPr>
                <w:rFonts w:eastAsiaTheme="majorEastAsia"/>
                <w:color w:val="000000" w:themeColor="text1"/>
                <w:kern w:val="24"/>
                <w:lang w:eastAsia="zh-CN"/>
              </w:rPr>
              <w:t>Survival curves of patients following versus not following model recommendations using</w:t>
            </w:r>
            <w:r w:rsidR="00DE0C66" w:rsidRPr="0015421C">
              <w:rPr>
                <w:rFonts w:eastAsiaTheme="majorEastAsia"/>
                <w:color w:val="000000" w:themeColor="text1"/>
                <w:kern w:val="24"/>
                <w:lang w:eastAsia="zh-CN"/>
              </w:rPr>
              <w:t xml:space="preserve"> </w:t>
            </w:r>
            <w:r w:rsidRPr="0015421C">
              <w:rPr>
                <w:rFonts w:eastAsiaTheme="majorEastAsia"/>
                <w:color w:val="000000" w:themeColor="text1"/>
                <w:kern w:val="24"/>
                <w:lang w:eastAsia="zh-CN"/>
              </w:rPr>
              <w:t xml:space="preserve">Cox proportional hazards </w:t>
            </w:r>
            <w:r w:rsidR="0015421C">
              <w:rPr>
                <w:rFonts w:eastAsiaTheme="majorEastAsia"/>
                <w:color w:val="000000" w:themeColor="text1"/>
                <w:kern w:val="24"/>
                <w:lang w:eastAsia="zh-CN"/>
              </w:rPr>
              <w:t xml:space="preserve">with </w:t>
            </w:r>
            <w:r w:rsidRPr="0015421C">
              <w:rPr>
                <w:rFonts w:eastAsiaTheme="majorEastAsia"/>
                <w:color w:val="000000" w:themeColor="text1"/>
                <w:kern w:val="24"/>
                <w:lang w:eastAsia="zh-CN"/>
              </w:rPr>
              <w:t>Log-rank test.</w:t>
            </w:r>
          </w:p>
        </w:tc>
      </w:tr>
    </w:tbl>
    <w:p w14:paraId="2DABA362" w14:textId="77777777" w:rsidR="002828DD" w:rsidRPr="000F71A4" w:rsidRDefault="002828DD" w:rsidP="000F71A4">
      <w:pPr>
        <w:rPr>
          <w:rFonts w:ascii="Calibri" w:eastAsia="Malgun Gothic" w:hAnsi="Calibri" w:cs="Calibri"/>
          <w:lang w:eastAsia="ko-KR"/>
        </w:rPr>
      </w:pPr>
    </w:p>
    <w:p w14:paraId="2F7AFD6B" w14:textId="47D5AD73" w:rsidR="001173D4" w:rsidRPr="00AC3433" w:rsidRDefault="005302DF" w:rsidP="00E81CD3">
      <w:pPr>
        <w:rPr>
          <w:rFonts w:ascii="Calibri" w:eastAsia="Malgun Gothic" w:hAnsi="Calibri" w:cs="Calibri"/>
          <w:lang w:eastAsia="ko-KR"/>
        </w:rPr>
      </w:pPr>
      <w:r w:rsidRPr="009F2714">
        <w:rPr>
          <w:rFonts w:ascii="Calibri" w:eastAsia="Malgun Gothic" w:hAnsi="Calibri" w:cs="Calibri"/>
          <w:lang w:eastAsia="ko-KR"/>
        </w:rPr>
        <w:t>As a further refined model, RSF was employed</w:t>
      </w:r>
      <w:r w:rsidR="009D7D9A" w:rsidRPr="009F2714">
        <w:rPr>
          <w:rFonts w:ascii="Calibri" w:eastAsia="Malgun Gothic" w:hAnsi="Calibri" w:cs="Calibri"/>
          <w:lang w:eastAsia="ko-KR"/>
        </w:rPr>
        <w:t xml:space="preserve"> with the same training and </w:t>
      </w:r>
      <w:r w:rsidR="008E5A43" w:rsidRPr="009F2714">
        <w:rPr>
          <w:rFonts w:ascii="Calibri" w:eastAsia="Malgun Gothic" w:hAnsi="Calibri" w:cs="Calibri"/>
          <w:lang w:eastAsia="ko-KR"/>
        </w:rPr>
        <w:t>test data</w:t>
      </w:r>
      <w:r w:rsidR="00962897" w:rsidRPr="009F2714">
        <w:rPr>
          <w:rFonts w:ascii="Calibri" w:eastAsia="Malgun Gothic" w:hAnsi="Calibri" w:cs="Calibri"/>
          <w:lang w:eastAsia="ko-KR"/>
        </w:rPr>
        <w:t xml:space="preserve"> </w:t>
      </w:r>
      <w:r w:rsidR="008E5A43" w:rsidRPr="009F2714">
        <w:rPr>
          <w:rFonts w:ascii="Calibri" w:eastAsia="Malgun Gothic" w:hAnsi="Calibri" w:cs="Calibri"/>
          <w:lang w:eastAsia="ko-KR"/>
        </w:rPr>
        <w:t>in Table 1.</w:t>
      </w:r>
      <w:r w:rsidR="00AF49EB">
        <w:rPr>
          <w:rFonts w:ascii="Calibri" w:eastAsia="Malgun Gothic" w:hAnsi="Calibri" w:cs="Calibri"/>
          <w:lang w:eastAsia="ko-KR"/>
        </w:rPr>
        <w:t xml:space="preserve"> </w:t>
      </w:r>
      <w:r w:rsidR="007A5245">
        <w:rPr>
          <w:rFonts w:ascii="Calibri" w:eastAsia="Malgun Gothic" w:hAnsi="Calibri" w:cs="Calibri"/>
          <w:lang w:eastAsia="ko-KR"/>
        </w:rPr>
        <w:t xml:space="preserve">Hyper </w:t>
      </w:r>
      <w:r w:rsidR="007A5245" w:rsidRPr="001444E3">
        <w:rPr>
          <w:rFonts w:ascii="Calibri" w:eastAsia="Malgun Gothic" w:hAnsi="Calibri" w:cs="Calibri"/>
          <w:lang w:eastAsia="ko-KR"/>
        </w:rPr>
        <w:t xml:space="preserve">parameters are tuned </w:t>
      </w:r>
      <w:proofErr w:type="gramStart"/>
      <w:r w:rsidR="007A5245" w:rsidRPr="001444E3">
        <w:rPr>
          <w:rFonts w:ascii="Calibri" w:eastAsia="Malgun Gothic" w:hAnsi="Calibri" w:cs="Calibri"/>
          <w:lang w:eastAsia="ko-KR"/>
        </w:rPr>
        <w:t>in</w:t>
      </w:r>
      <w:proofErr w:type="gramEnd"/>
      <w:r w:rsidR="007A5245" w:rsidRPr="001444E3">
        <w:rPr>
          <w:rFonts w:ascii="Calibri" w:eastAsia="Malgun Gothic" w:hAnsi="Calibri" w:cs="Calibri"/>
          <w:lang w:eastAsia="ko-KR"/>
        </w:rPr>
        <w:t xml:space="preserve"> training phase </w:t>
      </w:r>
      <w:r w:rsidR="00DE7D93" w:rsidRPr="001444E3">
        <w:rPr>
          <w:rFonts w:ascii="Calibri" w:eastAsia="Malgun Gothic" w:hAnsi="Calibri" w:cs="Calibri"/>
          <w:lang w:eastAsia="ko-KR"/>
        </w:rPr>
        <w:t xml:space="preserve">via </w:t>
      </w:r>
      <w:r w:rsidR="002B2410" w:rsidRPr="001444E3">
        <w:rPr>
          <w:rFonts w:ascii="Calibri" w:eastAsia="Malgun Gothic" w:hAnsi="Calibri" w:cs="Calibri"/>
          <w:lang w:eastAsia="ko-KR"/>
        </w:rPr>
        <w:t>10-fold</w:t>
      </w:r>
      <w:r w:rsidR="00DE7D93" w:rsidRPr="001444E3">
        <w:rPr>
          <w:rFonts w:ascii="Calibri" w:eastAsia="Malgun Gothic" w:hAnsi="Calibri" w:cs="Calibri"/>
          <w:lang w:eastAsia="ko-KR"/>
        </w:rPr>
        <w:t xml:space="preserve"> cross-validation </w:t>
      </w:r>
      <w:r w:rsidR="007A5245" w:rsidRPr="001444E3">
        <w:rPr>
          <w:rFonts w:ascii="Calibri" w:eastAsia="Malgun Gothic" w:hAnsi="Calibri" w:cs="Calibri"/>
          <w:lang w:eastAsia="ko-KR"/>
        </w:rPr>
        <w:t>for enhancing model performance</w:t>
      </w:r>
      <w:r w:rsidR="007A5245">
        <w:rPr>
          <w:rFonts w:ascii="Calibri" w:eastAsia="Malgun Gothic" w:hAnsi="Calibri" w:cs="Calibri"/>
          <w:lang w:eastAsia="ko-KR"/>
        </w:rPr>
        <w:t xml:space="preserve"> and ensuring accurate survival predictions.</w:t>
      </w:r>
      <w:r w:rsidR="00DE7D93">
        <w:rPr>
          <w:rFonts w:ascii="Calibri" w:eastAsia="Malgun Gothic" w:hAnsi="Calibri" w:cs="Calibri"/>
          <w:lang w:eastAsia="ko-KR"/>
        </w:rPr>
        <w:t xml:space="preserve"> </w:t>
      </w:r>
      <w:r w:rsidR="00EB5F3F">
        <w:rPr>
          <w:rFonts w:ascii="Calibri" w:eastAsia="Malgun Gothic" w:hAnsi="Calibri" w:cs="Calibri"/>
          <w:lang w:eastAsia="ko-KR"/>
        </w:rPr>
        <w:t xml:space="preserve">Key hyperparameters were </w:t>
      </w:r>
      <w:r w:rsidR="006F3C4E">
        <w:rPr>
          <w:rFonts w:ascii="Calibri" w:eastAsia="Malgun Gothic" w:hAnsi="Calibri" w:cs="Calibri"/>
          <w:lang w:eastAsia="ko-KR"/>
        </w:rPr>
        <w:t>the total</w:t>
      </w:r>
      <w:r w:rsidR="00EB5F3F">
        <w:rPr>
          <w:rFonts w:ascii="Calibri" w:eastAsia="Malgun Gothic" w:hAnsi="Calibri" w:cs="Calibri"/>
          <w:lang w:eastAsia="ko-KR"/>
        </w:rPr>
        <w:t xml:space="preserve"> trees</w:t>
      </w:r>
      <w:r w:rsidR="006F3C4E">
        <w:rPr>
          <w:rFonts w:ascii="Calibri" w:eastAsia="Malgun Gothic" w:hAnsi="Calibri" w:cs="Calibri"/>
          <w:lang w:eastAsia="ko-KR"/>
        </w:rPr>
        <w:t xml:space="preserve"> in the forest</w:t>
      </w:r>
      <w:r w:rsidR="00B019F2">
        <w:rPr>
          <w:rFonts w:ascii="Calibri" w:eastAsia="Malgun Gothic" w:hAnsi="Calibri" w:cs="Calibri"/>
          <w:lang w:eastAsia="ko-KR"/>
        </w:rPr>
        <w:t xml:space="preserve"> (</w:t>
      </w:r>
      <w:proofErr w:type="spellStart"/>
      <w:r w:rsidR="00B019F2">
        <w:rPr>
          <w:rFonts w:ascii="Calibri" w:eastAsia="Malgun Gothic" w:hAnsi="Calibri" w:cs="Calibri"/>
          <w:lang w:eastAsia="ko-KR"/>
        </w:rPr>
        <w:t>ntree</w:t>
      </w:r>
      <w:proofErr w:type="spellEnd"/>
      <w:r w:rsidR="00B019F2">
        <w:rPr>
          <w:rFonts w:ascii="Calibri" w:eastAsia="Malgun Gothic" w:hAnsi="Calibri" w:cs="Calibri"/>
          <w:lang w:eastAsia="ko-KR"/>
        </w:rPr>
        <w:t>)</w:t>
      </w:r>
      <w:r w:rsidR="00EB5F3F">
        <w:rPr>
          <w:rFonts w:ascii="Calibri" w:eastAsia="Malgun Gothic" w:hAnsi="Calibri" w:cs="Calibri"/>
          <w:lang w:eastAsia="ko-KR"/>
        </w:rPr>
        <w:t>,</w:t>
      </w:r>
      <w:r w:rsidR="00591E75">
        <w:rPr>
          <w:rFonts w:ascii="Calibri" w:eastAsia="Malgun Gothic" w:hAnsi="Calibri" w:cs="Calibri"/>
          <w:lang w:eastAsia="ko-KR"/>
        </w:rPr>
        <w:t xml:space="preserve"> the</w:t>
      </w:r>
      <w:r w:rsidR="00EB5F3F">
        <w:rPr>
          <w:rFonts w:ascii="Calibri" w:eastAsia="Malgun Gothic" w:hAnsi="Calibri" w:cs="Calibri"/>
          <w:lang w:eastAsia="ko-KR"/>
        </w:rPr>
        <w:t xml:space="preserve"> number of variables for splitting</w:t>
      </w:r>
      <w:r w:rsidR="00591E75">
        <w:rPr>
          <w:rFonts w:ascii="Calibri" w:eastAsia="Malgun Gothic" w:hAnsi="Calibri" w:cs="Calibri"/>
          <w:lang w:eastAsia="ko-KR"/>
        </w:rPr>
        <w:t xml:space="preserve"> that specifies the subset of features evaluated </w:t>
      </w:r>
      <w:r w:rsidR="00EE2835">
        <w:rPr>
          <w:rFonts w:ascii="Calibri" w:eastAsia="Malgun Gothic" w:hAnsi="Calibri" w:cs="Calibri"/>
          <w:lang w:eastAsia="ko-KR"/>
        </w:rPr>
        <w:t>at each split node</w:t>
      </w:r>
      <w:r w:rsidR="00B019F2">
        <w:rPr>
          <w:rFonts w:ascii="Calibri" w:eastAsia="Malgun Gothic" w:hAnsi="Calibri" w:cs="Calibri"/>
          <w:lang w:eastAsia="ko-KR"/>
        </w:rPr>
        <w:t xml:space="preserve"> (</w:t>
      </w:r>
      <w:proofErr w:type="spellStart"/>
      <w:r w:rsidR="00B019F2">
        <w:rPr>
          <w:rFonts w:ascii="Calibri" w:eastAsia="Malgun Gothic" w:hAnsi="Calibri" w:cs="Calibri"/>
          <w:lang w:eastAsia="ko-KR"/>
        </w:rPr>
        <w:t>mtry</w:t>
      </w:r>
      <w:proofErr w:type="spellEnd"/>
      <w:r w:rsidR="00B019F2">
        <w:rPr>
          <w:rFonts w:ascii="Calibri" w:eastAsia="Malgun Gothic" w:hAnsi="Calibri" w:cs="Calibri"/>
          <w:lang w:eastAsia="ko-KR"/>
        </w:rPr>
        <w:t>)</w:t>
      </w:r>
      <w:r w:rsidR="00EB5F3F">
        <w:rPr>
          <w:rFonts w:ascii="Calibri" w:eastAsia="Malgun Gothic" w:hAnsi="Calibri" w:cs="Calibri"/>
          <w:lang w:eastAsia="ko-KR"/>
        </w:rPr>
        <w:t xml:space="preserve">, </w:t>
      </w:r>
      <w:r w:rsidR="00F86418">
        <w:rPr>
          <w:rFonts w:ascii="Calibri" w:eastAsia="Malgun Gothic" w:hAnsi="Calibri" w:cs="Calibri"/>
          <w:lang w:eastAsia="ko-KR"/>
        </w:rPr>
        <w:t xml:space="preserve">and </w:t>
      </w:r>
      <w:r w:rsidR="00EB5F3F">
        <w:rPr>
          <w:rFonts w:ascii="Calibri" w:eastAsia="Malgun Gothic" w:hAnsi="Calibri" w:cs="Calibri"/>
          <w:lang w:eastAsia="ko-KR"/>
        </w:rPr>
        <w:t>node size</w:t>
      </w:r>
      <w:r w:rsidR="00EE2835">
        <w:rPr>
          <w:rFonts w:ascii="Calibri" w:eastAsia="Malgun Gothic" w:hAnsi="Calibri" w:cs="Calibri"/>
          <w:lang w:eastAsia="ko-KR"/>
        </w:rPr>
        <w:t xml:space="preserve"> to determine the minimum sample</w:t>
      </w:r>
      <w:r w:rsidR="003E1361">
        <w:rPr>
          <w:rFonts w:ascii="Calibri" w:eastAsia="Malgun Gothic" w:hAnsi="Calibri" w:cs="Calibri"/>
          <w:lang w:eastAsia="ko-KR"/>
        </w:rPr>
        <w:t xml:space="preserve"> size</w:t>
      </w:r>
      <w:r w:rsidR="00EE2835">
        <w:rPr>
          <w:rFonts w:ascii="Calibri" w:eastAsia="Malgun Gothic" w:hAnsi="Calibri" w:cs="Calibri"/>
          <w:lang w:eastAsia="ko-KR"/>
        </w:rPr>
        <w:t xml:space="preserve"> required to split</w:t>
      </w:r>
      <w:r w:rsidR="00AB6BEF">
        <w:rPr>
          <w:rFonts w:ascii="Calibri" w:eastAsia="Malgun Gothic" w:hAnsi="Calibri" w:cs="Calibri"/>
          <w:lang w:eastAsia="ko-KR"/>
        </w:rPr>
        <w:t xml:space="preserve"> a node</w:t>
      </w:r>
      <w:r w:rsidR="00EF506A">
        <w:rPr>
          <w:rFonts w:ascii="Calibri" w:eastAsia="Malgun Gothic" w:hAnsi="Calibri" w:cs="Calibri"/>
          <w:lang w:eastAsia="ko-KR"/>
        </w:rPr>
        <w:t xml:space="preserve"> (</w:t>
      </w:r>
      <w:proofErr w:type="spellStart"/>
      <w:r w:rsidR="00EF506A">
        <w:rPr>
          <w:rFonts w:ascii="Calibri" w:eastAsia="Malgun Gothic" w:hAnsi="Calibri" w:cs="Calibri"/>
          <w:lang w:eastAsia="ko-KR"/>
        </w:rPr>
        <w:t>nsplit</w:t>
      </w:r>
      <w:proofErr w:type="spellEnd"/>
      <w:r w:rsidR="00EF506A">
        <w:rPr>
          <w:rFonts w:ascii="Calibri" w:eastAsia="Malgun Gothic" w:hAnsi="Calibri" w:cs="Calibri"/>
          <w:lang w:eastAsia="ko-KR"/>
        </w:rPr>
        <w:t>)</w:t>
      </w:r>
      <w:r w:rsidR="00AB6BEF">
        <w:rPr>
          <w:rFonts w:ascii="Calibri" w:eastAsia="Malgun Gothic" w:hAnsi="Calibri" w:cs="Calibri"/>
          <w:lang w:eastAsia="ko-KR"/>
        </w:rPr>
        <w:t xml:space="preserve"> and to be a leaf node</w:t>
      </w:r>
      <w:r w:rsidR="00B019F2">
        <w:rPr>
          <w:rFonts w:ascii="Calibri" w:eastAsia="Malgun Gothic" w:hAnsi="Calibri" w:cs="Calibri"/>
          <w:lang w:eastAsia="ko-KR"/>
        </w:rPr>
        <w:t xml:space="preserve"> (</w:t>
      </w:r>
      <w:proofErr w:type="spellStart"/>
      <w:r w:rsidR="00B019F2">
        <w:rPr>
          <w:rFonts w:ascii="Calibri" w:eastAsia="Malgun Gothic" w:hAnsi="Calibri" w:cs="Calibri"/>
          <w:lang w:eastAsia="ko-KR"/>
        </w:rPr>
        <w:t>nodesize</w:t>
      </w:r>
      <w:proofErr w:type="spellEnd"/>
      <w:r w:rsidR="00B019F2">
        <w:rPr>
          <w:rFonts w:ascii="Calibri" w:eastAsia="Malgun Gothic" w:hAnsi="Calibri" w:cs="Calibri"/>
          <w:lang w:eastAsia="ko-KR"/>
        </w:rPr>
        <w:t>)</w:t>
      </w:r>
      <w:r w:rsidR="00EB5F3F">
        <w:rPr>
          <w:rFonts w:ascii="Calibri" w:eastAsia="Malgun Gothic" w:hAnsi="Calibri" w:cs="Calibri"/>
          <w:lang w:eastAsia="ko-KR"/>
        </w:rPr>
        <w:t xml:space="preserve">, </w:t>
      </w:r>
      <w:r w:rsidR="0096639C">
        <w:rPr>
          <w:rFonts w:ascii="Calibri" w:eastAsia="Malgun Gothic" w:hAnsi="Calibri" w:cs="Calibri"/>
          <w:lang w:eastAsia="ko-KR"/>
        </w:rPr>
        <w:t>S</w:t>
      </w:r>
      <w:r w:rsidR="00E938E5">
        <w:rPr>
          <w:rFonts w:ascii="Calibri" w:eastAsia="Malgun Gothic" w:hAnsi="Calibri" w:cs="Calibri"/>
          <w:lang w:eastAsia="ko-KR"/>
        </w:rPr>
        <w:t>plitting criterion</w:t>
      </w:r>
      <w:r w:rsidR="00D528AA">
        <w:rPr>
          <w:rFonts w:ascii="Calibri" w:eastAsia="Malgun Gothic" w:hAnsi="Calibri" w:cs="Calibri"/>
          <w:lang w:eastAsia="ko-KR"/>
        </w:rPr>
        <w:t xml:space="preserve"> to determine the best splits</w:t>
      </w:r>
      <w:r w:rsidR="0096639C">
        <w:rPr>
          <w:rFonts w:ascii="Calibri" w:eastAsia="Malgun Gothic" w:hAnsi="Calibri" w:cs="Calibri"/>
          <w:lang w:eastAsia="ko-KR"/>
        </w:rPr>
        <w:t xml:space="preserve"> was </w:t>
      </w:r>
      <w:r w:rsidR="0010480C">
        <w:rPr>
          <w:rFonts w:ascii="Calibri" w:eastAsia="Malgun Gothic" w:hAnsi="Calibri" w:cs="Calibri"/>
          <w:lang w:eastAsia="ko-KR"/>
        </w:rPr>
        <w:t>determined by the log-rank test.</w:t>
      </w:r>
      <w:r w:rsidR="00FB3B46">
        <w:rPr>
          <w:rFonts w:ascii="Calibri" w:eastAsia="Malgun Gothic" w:hAnsi="Calibri" w:cs="Calibri"/>
          <w:lang w:eastAsia="ko-KR"/>
        </w:rPr>
        <w:t xml:space="preserve"> </w:t>
      </w:r>
      <w:r w:rsidR="00157474">
        <w:rPr>
          <w:rFonts w:ascii="Calibri" w:eastAsia="Malgun Gothic" w:hAnsi="Calibri" w:cs="Calibri"/>
          <w:lang w:eastAsia="ko-KR"/>
        </w:rPr>
        <w:t xml:space="preserve">For this </w:t>
      </w:r>
      <w:proofErr w:type="spellStart"/>
      <w:r w:rsidR="00157474">
        <w:rPr>
          <w:rFonts w:ascii="Calibri" w:eastAsia="Malgun Gothic" w:hAnsi="Calibri" w:cs="Calibri"/>
          <w:lang w:eastAsia="ko-KR"/>
        </w:rPr>
        <w:t>hyperparameterization</w:t>
      </w:r>
      <w:proofErr w:type="spellEnd"/>
      <w:r w:rsidR="00157474">
        <w:rPr>
          <w:rFonts w:ascii="Calibri" w:eastAsia="Malgun Gothic" w:hAnsi="Calibri" w:cs="Calibri"/>
          <w:lang w:eastAsia="ko-KR"/>
        </w:rPr>
        <w:t xml:space="preserve">, </w:t>
      </w:r>
      <w:r w:rsidR="00AC3433">
        <w:rPr>
          <w:rFonts w:ascii="Calibri" w:eastAsia="Malgun Gothic" w:hAnsi="Calibri" w:cs="Calibri"/>
          <w:lang w:eastAsia="ko-KR"/>
        </w:rPr>
        <w:t xml:space="preserve">we used R </w:t>
      </w:r>
      <w:r w:rsidR="002641DA">
        <w:rPr>
          <w:rFonts w:ascii="Calibri" w:eastAsia="Malgun Gothic" w:hAnsi="Calibri" w:cs="Calibri"/>
          <w:lang w:eastAsia="ko-KR"/>
        </w:rPr>
        <w:t>with</w:t>
      </w:r>
      <w:r w:rsidR="00AC3433">
        <w:rPr>
          <w:rFonts w:ascii="Calibri" w:eastAsia="Malgun Gothic" w:hAnsi="Calibri" w:cs="Calibri"/>
          <w:lang w:eastAsia="ko-KR"/>
        </w:rPr>
        <w:t xml:space="preserve"> </w:t>
      </w:r>
      <w:proofErr w:type="spellStart"/>
      <w:r w:rsidR="00AC3433" w:rsidRPr="006A1B09">
        <w:rPr>
          <w:rFonts w:ascii="Calibri" w:eastAsia="Malgun Gothic" w:hAnsi="Calibri" w:cs="Calibri"/>
          <w:lang w:eastAsia="ko-KR"/>
        </w:rPr>
        <w:t>randomForestSRC</w:t>
      </w:r>
      <w:proofErr w:type="spellEnd"/>
      <w:r w:rsidR="00AC3433">
        <w:rPr>
          <w:rFonts w:ascii="Calibri" w:eastAsia="Malgun Gothic" w:hAnsi="Calibri" w:cs="Calibri"/>
          <w:b/>
          <w:bCs/>
          <w:lang w:eastAsia="ko-KR"/>
        </w:rPr>
        <w:t xml:space="preserve"> </w:t>
      </w:r>
      <w:r w:rsidR="00AC3433">
        <w:rPr>
          <w:rFonts w:ascii="Calibri" w:eastAsia="Malgun Gothic" w:hAnsi="Calibri" w:cs="Calibri"/>
          <w:lang w:eastAsia="ko-KR"/>
        </w:rPr>
        <w:t>and caret pa</w:t>
      </w:r>
      <w:r w:rsidR="002641DA">
        <w:rPr>
          <w:rFonts w:ascii="Calibri" w:eastAsia="Malgun Gothic" w:hAnsi="Calibri" w:cs="Calibri"/>
          <w:lang w:eastAsia="ko-KR"/>
        </w:rPr>
        <w:t xml:space="preserve">ckages. </w:t>
      </w:r>
      <w:r w:rsidR="009574E5">
        <w:rPr>
          <w:rFonts w:ascii="Calibri" w:eastAsia="Malgun Gothic" w:hAnsi="Calibri" w:cs="Calibri"/>
          <w:lang w:eastAsia="ko-KR"/>
        </w:rPr>
        <w:t xml:space="preserve">In this </w:t>
      </w:r>
      <w:r w:rsidR="009574E5" w:rsidRPr="00FF1809">
        <w:rPr>
          <w:rFonts w:ascii="Calibri" w:eastAsia="Malgun Gothic" w:hAnsi="Calibri" w:cs="Calibri"/>
          <w:lang w:eastAsia="ko-KR"/>
        </w:rPr>
        <w:t xml:space="preserve">step, the following parameters were determined: </w:t>
      </w:r>
      <w:proofErr w:type="spellStart"/>
      <w:r w:rsidR="009574E5" w:rsidRPr="00FF1809">
        <w:rPr>
          <w:rFonts w:ascii="Calibri" w:eastAsia="Malgun Gothic" w:hAnsi="Calibri" w:cs="Calibri"/>
          <w:lang w:eastAsia="ko-KR"/>
        </w:rPr>
        <w:t>mtry</w:t>
      </w:r>
      <w:proofErr w:type="spellEnd"/>
      <w:r w:rsidR="009574E5" w:rsidRPr="00FF1809">
        <w:rPr>
          <w:rFonts w:ascii="Calibri" w:eastAsia="Malgun Gothic" w:hAnsi="Calibri" w:cs="Calibri"/>
          <w:lang w:eastAsia="ko-KR"/>
        </w:rPr>
        <w:t xml:space="preserve"> = 37, </w:t>
      </w:r>
      <w:proofErr w:type="spellStart"/>
      <w:r w:rsidR="009574E5" w:rsidRPr="00FF1809">
        <w:rPr>
          <w:rFonts w:ascii="Calibri" w:eastAsia="Malgun Gothic" w:hAnsi="Calibri" w:cs="Calibri"/>
          <w:lang w:eastAsia="ko-KR"/>
        </w:rPr>
        <w:t>nodesize</w:t>
      </w:r>
      <w:proofErr w:type="spellEnd"/>
      <w:r w:rsidR="009574E5" w:rsidRPr="00FF1809">
        <w:rPr>
          <w:rFonts w:ascii="Calibri" w:eastAsia="Malgun Gothic" w:hAnsi="Calibri" w:cs="Calibri"/>
          <w:lang w:eastAsia="ko-KR"/>
        </w:rPr>
        <w:t xml:space="preserve"> = 6, </w:t>
      </w:r>
      <w:proofErr w:type="spellStart"/>
      <w:r w:rsidR="009574E5" w:rsidRPr="00FF1809">
        <w:rPr>
          <w:rFonts w:ascii="Calibri" w:eastAsia="Malgun Gothic" w:hAnsi="Calibri" w:cs="Calibri"/>
          <w:lang w:eastAsia="ko-KR"/>
        </w:rPr>
        <w:t>ntree</w:t>
      </w:r>
      <w:proofErr w:type="spellEnd"/>
      <w:r w:rsidR="009574E5" w:rsidRPr="00FF1809">
        <w:rPr>
          <w:rFonts w:ascii="Calibri" w:eastAsia="Malgun Gothic" w:hAnsi="Calibri" w:cs="Calibri"/>
          <w:lang w:eastAsia="ko-KR"/>
        </w:rPr>
        <w:t xml:space="preserve"> = 1000, and </w:t>
      </w:r>
      <w:proofErr w:type="spellStart"/>
      <w:r w:rsidR="009574E5" w:rsidRPr="00FF1809">
        <w:rPr>
          <w:rFonts w:ascii="Calibri" w:eastAsia="Malgun Gothic" w:hAnsi="Calibri" w:cs="Calibri"/>
          <w:lang w:eastAsia="ko-KR"/>
        </w:rPr>
        <w:t>nsplit</w:t>
      </w:r>
      <w:proofErr w:type="spellEnd"/>
      <w:r w:rsidR="009574E5" w:rsidRPr="00FF1809">
        <w:rPr>
          <w:rFonts w:ascii="Calibri" w:eastAsia="Malgun Gothic" w:hAnsi="Calibri" w:cs="Calibri"/>
          <w:lang w:eastAsia="ko-KR"/>
        </w:rPr>
        <w:t xml:space="preserve"> = 10.</w:t>
      </w:r>
    </w:p>
    <w:p w14:paraId="235A34C3" w14:textId="02DAFE96" w:rsidR="00AA791A" w:rsidRDefault="00D87B8E" w:rsidP="005B5EB2">
      <w:pPr>
        <w:rPr>
          <w:color w:val="000000" w:themeColor="text1"/>
        </w:rPr>
      </w:pPr>
      <w:r>
        <w:rPr>
          <w:rFonts w:ascii="Calibri" w:eastAsia="Malgun Gothic" w:hAnsi="Calibri" w:cs="Calibri"/>
          <w:lang w:eastAsia="ko-KR"/>
        </w:rPr>
        <w:t xml:space="preserve">Based on RSF </w:t>
      </w:r>
      <w:r w:rsidR="00296EB2">
        <w:rPr>
          <w:rFonts w:ascii="Calibri" w:eastAsia="Malgun Gothic" w:hAnsi="Calibri" w:cs="Calibri"/>
          <w:lang w:eastAsia="ko-KR"/>
        </w:rPr>
        <w:t xml:space="preserve">outcome for treatment recommendations, 83 patients were recommended to OBS </w:t>
      </w:r>
      <w:proofErr w:type="gramStart"/>
      <w:r w:rsidR="00296EB2">
        <w:rPr>
          <w:rFonts w:ascii="Calibri" w:eastAsia="Malgun Gothic" w:hAnsi="Calibri" w:cs="Calibri"/>
          <w:lang w:eastAsia="ko-KR"/>
        </w:rPr>
        <w:t>category</w:t>
      </w:r>
      <w:proofErr w:type="gramEnd"/>
      <w:r w:rsidR="00263C7E">
        <w:rPr>
          <w:rFonts w:ascii="Calibri" w:eastAsia="Malgun Gothic" w:hAnsi="Calibri" w:cs="Calibri"/>
          <w:lang w:eastAsia="ko-KR"/>
        </w:rPr>
        <w:t xml:space="preserve"> and 41 patients were recommended to ACT category in the training data. This </w:t>
      </w:r>
      <w:r w:rsidR="0025232A">
        <w:rPr>
          <w:rFonts w:ascii="Calibri" w:eastAsia="Malgun Gothic" w:hAnsi="Calibri" w:cs="Calibri"/>
          <w:lang w:eastAsia="ko-KR"/>
        </w:rPr>
        <w:t xml:space="preserve">resulted in 75 patients </w:t>
      </w:r>
      <w:proofErr w:type="gramStart"/>
      <w:r w:rsidR="0025232A">
        <w:rPr>
          <w:rFonts w:ascii="Calibri" w:eastAsia="Malgun Gothic" w:hAnsi="Calibri" w:cs="Calibri"/>
          <w:lang w:eastAsia="ko-KR"/>
        </w:rPr>
        <w:t>actually followed</w:t>
      </w:r>
      <w:proofErr w:type="gramEnd"/>
      <w:r w:rsidR="0025232A">
        <w:rPr>
          <w:rFonts w:ascii="Calibri" w:eastAsia="Malgun Gothic" w:hAnsi="Calibri" w:cs="Calibri"/>
          <w:lang w:eastAsia="ko-KR"/>
        </w:rPr>
        <w:t xml:space="preserve"> the model’s recommendation and 49 did not.</w:t>
      </w:r>
      <w:r w:rsidR="0025232A" w:rsidRPr="0025232A">
        <w:rPr>
          <w:rFonts w:ascii="Calibri" w:eastAsia="Malgun Gothic" w:hAnsi="Calibri" w:cs="Calibri"/>
          <w:lang w:eastAsia="ko-KR"/>
        </w:rPr>
        <w:t xml:space="preserve"> </w:t>
      </w:r>
      <w:r w:rsidR="0025232A" w:rsidRPr="00B6051C">
        <w:rPr>
          <w:rFonts w:ascii="Calibri" w:eastAsia="Malgun Gothic" w:hAnsi="Calibri" w:cs="Calibri"/>
          <w:lang w:eastAsia="ko-KR"/>
        </w:rPr>
        <w:t>Similarly</w:t>
      </w:r>
      <w:r w:rsidR="0025232A">
        <w:rPr>
          <w:rFonts w:ascii="Calibri" w:eastAsia="Malgun Gothic" w:hAnsi="Calibri" w:cs="Calibri"/>
          <w:lang w:eastAsia="ko-KR"/>
        </w:rPr>
        <w:t>,</w:t>
      </w:r>
      <w:r w:rsidR="0025232A" w:rsidRPr="00B6051C">
        <w:rPr>
          <w:rFonts w:ascii="Calibri" w:eastAsia="Malgun Gothic" w:hAnsi="Calibri" w:cs="Calibri"/>
          <w:lang w:eastAsia="ko-KR"/>
        </w:rPr>
        <w:t xml:space="preserve"> for the test </w:t>
      </w:r>
      <w:r w:rsidR="0025232A">
        <w:rPr>
          <w:rFonts w:ascii="Calibri" w:eastAsia="Malgun Gothic" w:hAnsi="Calibri" w:cs="Calibri"/>
          <w:lang w:eastAsia="ko-KR"/>
        </w:rPr>
        <w:t>data</w:t>
      </w:r>
      <w:r w:rsidR="0025232A" w:rsidRPr="00B6051C">
        <w:rPr>
          <w:rFonts w:ascii="Calibri" w:eastAsia="Malgun Gothic" w:hAnsi="Calibri" w:cs="Calibri"/>
          <w:lang w:eastAsia="ko-KR"/>
        </w:rPr>
        <w:t xml:space="preserve">set, 20 patients were recommended to the </w:t>
      </w:r>
      <w:r w:rsidR="0025232A">
        <w:rPr>
          <w:rFonts w:ascii="Calibri" w:eastAsia="Malgun Gothic" w:hAnsi="Calibri" w:cs="Calibri"/>
          <w:lang w:eastAsia="ko-KR"/>
        </w:rPr>
        <w:t xml:space="preserve">OBS </w:t>
      </w:r>
      <w:r w:rsidR="0025232A" w:rsidRPr="00B6051C">
        <w:rPr>
          <w:rFonts w:ascii="Calibri" w:eastAsia="Malgun Gothic" w:hAnsi="Calibri" w:cs="Calibri"/>
          <w:lang w:eastAsia="ko-KR"/>
        </w:rPr>
        <w:t xml:space="preserve">group, whereas 11 patients were recommended to the </w:t>
      </w:r>
      <w:r w:rsidR="0025232A">
        <w:rPr>
          <w:rFonts w:ascii="Calibri" w:eastAsia="Malgun Gothic" w:hAnsi="Calibri" w:cs="Calibri"/>
          <w:lang w:eastAsia="ko-KR"/>
        </w:rPr>
        <w:t>ACT</w:t>
      </w:r>
      <w:r w:rsidR="0025232A" w:rsidRPr="00B6051C">
        <w:rPr>
          <w:rFonts w:ascii="Calibri" w:eastAsia="Malgun Gothic" w:hAnsi="Calibri" w:cs="Calibri"/>
          <w:lang w:eastAsia="ko-KR"/>
        </w:rPr>
        <w:t xml:space="preserve"> group.</w:t>
      </w:r>
      <w:r w:rsidR="0025232A">
        <w:rPr>
          <w:rFonts w:ascii="Calibri" w:eastAsia="Malgun Gothic" w:hAnsi="Calibri" w:cs="Calibri"/>
          <w:lang w:eastAsia="ko-KR"/>
        </w:rPr>
        <w:t xml:space="preserve"> </w:t>
      </w:r>
      <w:r w:rsidR="00F870D4">
        <w:rPr>
          <w:rFonts w:ascii="Calibri" w:eastAsia="Malgun Gothic" w:hAnsi="Calibri" w:cs="Calibri"/>
          <w:lang w:eastAsia="ko-KR"/>
        </w:rPr>
        <w:t xml:space="preserve">Thus, 17 patients </w:t>
      </w:r>
      <w:proofErr w:type="gramStart"/>
      <w:r w:rsidR="00F870D4">
        <w:rPr>
          <w:rFonts w:ascii="Calibri" w:eastAsia="Malgun Gothic" w:hAnsi="Calibri" w:cs="Calibri"/>
          <w:lang w:eastAsia="ko-KR"/>
        </w:rPr>
        <w:t>actually followed</w:t>
      </w:r>
      <w:proofErr w:type="gramEnd"/>
      <w:r w:rsidR="00F870D4">
        <w:rPr>
          <w:rFonts w:ascii="Calibri" w:eastAsia="Malgun Gothic" w:hAnsi="Calibri" w:cs="Calibri"/>
          <w:lang w:eastAsia="ko-KR"/>
        </w:rPr>
        <w:t xml:space="preserve"> the model’s recommendation, and 14 patients did not follow. </w:t>
      </w:r>
      <w:r w:rsidR="005B5EB2">
        <w:rPr>
          <w:rFonts w:ascii="Calibri" w:eastAsia="Malgun Gothic" w:hAnsi="Calibri" w:cs="Calibri"/>
          <w:lang w:eastAsia="ko-KR"/>
        </w:rPr>
        <w:t xml:space="preserve">For the model’s performance, </w:t>
      </w:r>
      <w:r w:rsidR="005B5EB2">
        <w:rPr>
          <w:color w:val="000000" w:themeColor="text1"/>
        </w:rPr>
        <w:t>t</w:t>
      </w:r>
      <w:r w:rsidR="00A76DD4" w:rsidRPr="001D21FD">
        <w:rPr>
          <w:color w:val="000000" w:themeColor="text1"/>
        </w:rPr>
        <w:t>he mean C</w:t>
      </w:r>
      <w:r w:rsidR="008C5C94">
        <w:rPr>
          <w:color w:val="000000" w:themeColor="text1"/>
        </w:rPr>
        <w:t>-</w:t>
      </w:r>
      <w:r w:rsidR="00A76DD4" w:rsidRPr="001D21FD">
        <w:rPr>
          <w:color w:val="000000" w:themeColor="text1"/>
        </w:rPr>
        <w:t>I</w:t>
      </w:r>
      <w:r w:rsidR="008C5C94">
        <w:rPr>
          <w:color w:val="000000" w:themeColor="text1"/>
        </w:rPr>
        <w:t>ndex</w:t>
      </w:r>
      <w:r w:rsidR="00A76DD4" w:rsidRPr="001D21FD">
        <w:rPr>
          <w:color w:val="000000" w:themeColor="text1"/>
        </w:rPr>
        <w:t xml:space="preserve"> for the training set is </w:t>
      </w:r>
      <w:r w:rsidR="008C5C94">
        <w:rPr>
          <w:color w:val="000000" w:themeColor="text1"/>
        </w:rPr>
        <w:t>.</w:t>
      </w:r>
      <w:r w:rsidR="00A76DD4" w:rsidRPr="001D21FD">
        <w:rPr>
          <w:color w:val="000000" w:themeColor="text1"/>
        </w:rPr>
        <w:t xml:space="preserve">889, and the mean CI for the test set is </w:t>
      </w:r>
      <w:r w:rsidR="008C5C94">
        <w:rPr>
          <w:color w:val="000000" w:themeColor="text1"/>
        </w:rPr>
        <w:t>.</w:t>
      </w:r>
      <w:r w:rsidR="00A76DD4" w:rsidRPr="001D21FD">
        <w:rPr>
          <w:color w:val="000000" w:themeColor="text1"/>
        </w:rPr>
        <w:t>885.</w:t>
      </w:r>
    </w:p>
    <w:p w14:paraId="609C9160" w14:textId="404D9956" w:rsidR="006D3167" w:rsidRDefault="00CF57DE" w:rsidP="005B5EB2">
      <w:pPr>
        <w:rPr>
          <w:color w:val="000000" w:themeColor="text1"/>
        </w:rPr>
      </w:pPr>
      <w:r>
        <w:rPr>
          <w:color w:val="000000" w:themeColor="text1"/>
        </w:rPr>
        <w:t xml:space="preserve">Table 2 </w:t>
      </w:r>
      <w:r w:rsidR="002908D9">
        <w:rPr>
          <w:color w:val="000000" w:themeColor="text1"/>
        </w:rPr>
        <w:t>presents</w:t>
      </w:r>
      <w:r>
        <w:rPr>
          <w:color w:val="000000" w:themeColor="text1"/>
        </w:rPr>
        <w:t xml:space="preserve"> the variable importance scores from </w:t>
      </w:r>
      <w:r w:rsidR="002908D9">
        <w:rPr>
          <w:color w:val="000000" w:themeColor="text1"/>
        </w:rPr>
        <w:t xml:space="preserve">the </w:t>
      </w:r>
      <w:r>
        <w:rPr>
          <w:color w:val="000000" w:themeColor="text1"/>
        </w:rPr>
        <w:t>RSF model</w:t>
      </w:r>
      <w:r w:rsidR="002719A0">
        <w:rPr>
          <w:color w:val="000000" w:themeColor="text1"/>
        </w:rPr>
        <w:t xml:space="preserve">, indicating the relative contribution of each predictor to the </w:t>
      </w:r>
      <w:r w:rsidR="00617582">
        <w:rPr>
          <w:color w:val="000000" w:themeColor="text1"/>
        </w:rPr>
        <w:t xml:space="preserve">treatment-related </w:t>
      </w:r>
      <w:r w:rsidR="002719A0">
        <w:rPr>
          <w:color w:val="000000" w:themeColor="text1"/>
        </w:rPr>
        <w:t>survival prediction.</w:t>
      </w:r>
      <w:r w:rsidR="00617582">
        <w:rPr>
          <w:color w:val="000000" w:themeColor="text1"/>
        </w:rPr>
        <w:t xml:space="preserve"> The higher the importance score</w:t>
      </w:r>
      <w:r w:rsidR="00667934">
        <w:rPr>
          <w:color w:val="000000" w:themeColor="text1"/>
        </w:rPr>
        <w:t xml:space="preserve">, the more influential the variables </w:t>
      </w:r>
      <w:proofErr w:type="gramStart"/>
      <w:r w:rsidR="00667934">
        <w:rPr>
          <w:color w:val="000000" w:themeColor="text1"/>
        </w:rPr>
        <w:t>is</w:t>
      </w:r>
      <w:proofErr w:type="gramEnd"/>
      <w:r w:rsidR="00667934">
        <w:rPr>
          <w:color w:val="000000" w:themeColor="text1"/>
        </w:rPr>
        <w:t xml:space="preserve"> in predict</w:t>
      </w:r>
      <w:r w:rsidR="00B81BDE">
        <w:rPr>
          <w:color w:val="000000" w:themeColor="text1"/>
        </w:rPr>
        <w:t>ing survival outcomes. For example, TTR (transthy</w:t>
      </w:r>
      <w:r w:rsidR="008E02F0">
        <w:rPr>
          <w:color w:val="000000" w:themeColor="text1"/>
        </w:rPr>
        <w:t>retin) has the highest variable importance score, suggesting a strong association with survival outcomes</w:t>
      </w:r>
      <w:r w:rsidR="008131AF">
        <w:rPr>
          <w:color w:val="000000" w:themeColor="text1"/>
        </w:rPr>
        <w:t xml:space="preserve">. This gene is known </w:t>
      </w:r>
      <w:proofErr w:type="gramStart"/>
      <w:r w:rsidR="008131AF">
        <w:rPr>
          <w:color w:val="000000" w:themeColor="text1"/>
        </w:rPr>
        <w:t>for</w:t>
      </w:r>
      <w:proofErr w:type="gramEnd"/>
      <w:r w:rsidR="008131AF">
        <w:rPr>
          <w:color w:val="000000" w:themeColor="text1"/>
        </w:rPr>
        <w:t xml:space="preserve"> </w:t>
      </w:r>
      <w:r w:rsidR="00165753">
        <w:rPr>
          <w:color w:val="000000" w:themeColor="text1"/>
        </w:rPr>
        <w:t xml:space="preserve">a biomarker for neurodegenerative diseases and </w:t>
      </w:r>
      <w:r w:rsidR="00215605">
        <w:rPr>
          <w:color w:val="000000" w:themeColor="text1"/>
        </w:rPr>
        <w:t>systemic amyloidosis.</w:t>
      </w:r>
      <w:r w:rsidR="00F83E0C">
        <w:rPr>
          <w:color w:val="000000" w:themeColor="text1"/>
        </w:rPr>
        <w:t xml:space="preserve"> </w:t>
      </w:r>
      <w:r w:rsidR="00F80482">
        <w:rPr>
          <w:color w:val="000000" w:themeColor="text1"/>
        </w:rPr>
        <w:t>PREPL (prolyl endopeptidase</w:t>
      </w:r>
      <w:r w:rsidR="00124CD0">
        <w:rPr>
          <w:color w:val="000000" w:themeColor="text1"/>
        </w:rPr>
        <w:t>-like is usually involved in neurological and metabolic pathways</w:t>
      </w:r>
      <w:r w:rsidR="00AF2D45">
        <w:rPr>
          <w:color w:val="000000" w:themeColor="text1"/>
        </w:rPr>
        <w:t xml:space="preserve"> suggesting further exploration of its role in disease progression. </w:t>
      </w:r>
      <w:r w:rsidR="00902882">
        <w:rPr>
          <w:color w:val="000000" w:themeColor="text1"/>
        </w:rPr>
        <w:t>MTURN is a neural progenitor differentiation regulator</w:t>
      </w:r>
      <w:r w:rsidR="008E457D">
        <w:rPr>
          <w:color w:val="000000" w:themeColor="text1"/>
        </w:rPr>
        <w:t>, playing role in cell development that m</w:t>
      </w:r>
      <w:r w:rsidR="00810BBE">
        <w:rPr>
          <w:color w:val="000000" w:themeColor="text1"/>
        </w:rPr>
        <w:t>a</w:t>
      </w:r>
      <w:r w:rsidR="008E457D">
        <w:rPr>
          <w:color w:val="000000" w:themeColor="text1"/>
        </w:rPr>
        <w:t xml:space="preserve">y influence cancer progression through its impact on cell </w:t>
      </w:r>
      <w:r w:rsidR="008E457D">
        <w:rPr>
          <w:color w:val="000000" w:themeColor="text1"/>
        </w:rPr>
        <w:lastRenderedPageBreak/>
        <w:t>differentiation</w:t>
      </w:r>
      <w:r w:rsidR="007B62A0">
        <w:rPr>
          <w:color w:val="000000" w:themeColor="text1"/>
        </w:rPr>
        <w:t xml:space="preserve"> and growth pathways.</w:t>
      </w:r>
      <w:r w:rsidR="00810BBE">
        <w:rPr>
          <w:color w:val="000000" w:themeColor="text1"/>
        </w:rPr>
        <w:t xml:space="preserve"> </w:t>
      </w:r>
      <w:r w:rsidR="00BA00EE">
        <w:rPr>
          <w:color w:val="000000" w:themeColor="text1"/>
        </w:rPr>
        <w:t>The identified genes could serve as predictive biomarkers for survival outcomes, potentially influencing treatment strategies.</w:t>
      </w:r>
    </w:p>
    <w:p w14:paraId="3CF173F7" w14:textId="1CA736B3" w:rsidR="005E6C12" w:rsidRDefault="005E6C12" w:rsidP="005B5EB2">
      <w:pPr>
        <w:rPr>
          <w:color w:val="000000" w:themeColor="text1"/>
        </w:rPr>
      </w:pPr>
    </w:p>
    <w:tbl>
      <w:tblPr>
        <w:tblStyle w:val="TableGrid"/>
        <w:tblW w:w="8430" w:type="dxa"/>
        <w:jc w:val="center"/>
        <w:tblLook w:val="04A0" w:firstRow="1" w:lastRow="0" w:firstColumn="1" w:lastColumn="0" w:noHBand="0" w:noVBand="1"/>
      </w:tblPr>
      <w:tblGrid>
        <w:gridCol w:w="1328"/>
        <w:gridCol w:w="1356"/>
        <w:gridCol w:w="1817"/>
        <w:gridCol w:w="3929"/>
      </w:tblGrid>
      <w:tr w:rsidR="003D7C04" w:rsidRPr="003D7C04" w14:paraId="55BF143C" w14:textId="77777777" w:rsidTr="000E3F0E">
        <w:trPr>
          <w:trHeight w:val="235"/>
          <w:jc w:val="center"/>
        </w:trPr>
        <w:tc>
          <w:tcPr>
            <w:tcW w:w="8430" w:type="dxa"/>
            <w:gridSpan w:val="4"/>
            <w:vAlign w:val="center"/>
          </w:tcPr>
          <w:p w14:paraId="77501192" w14:textId="2900BEDF" w:rsidR="003D7C04" w:rsidRPr="003D7C04" w:rsidRDefault="000E50A9" w:rsidP="000E50A9">
            <w:pPr>
              <w:rPr>
                <w:rFonts w:ascii="Times New Roman" w:eastAsia="Times New Roman" w:hAnsi="Times New Roman" w:cs="Times New Roman"/>
                <w:color w:val="000000" w:themeColor="text1"/>
                <w:sz w:val="20"/>
                <w:szCs w:val="20"/>
              </w:rPr>
            </w:pPr>
            <w:r w:rsidRPr="0092008F">
              <w:rPr>
                <w:rFonts w:ascii="Times New Roman" w:eastAsia="Times New Roman" w:hAnsi="Times New Roman" w:cs="Times New Roman"/>
                <w:b/>
                <w:bCs/>
                <w:color w:val="000000" w:themeColor="text1"/>
                <w:sz w:val="20"/>
                <w:szCs w:val="20"/>
                <w:highlight w:val="yellow"/>
              </w:rPr>
              <w:t>Table 2</w:t>
            </w:r>
            <w:r w:rsidRPr="0092008F">
              <w:rPr>
                <w:rFonts w:ascii="Times New Roman" w:eastAsia="Times New Roman" w:hAnsi="Times New Roman" w:cs="Times New Roman"/>
                <w:color w:val="000000" w:themeColor="text1"/>
                <w:sz w:val="20"/>
                <w:szCs w:val="20"/>
                <w:highlight w:val="yellow"/>
              </w:rPr>
              <w:t xml:space="preserve">. </w:t>
            </w:r>
            <w:r w:rsidR="003D7C04" w:rsidRPr="0092008F">
              <w:rPr>
                <w:rFonts w:ascii="Times New Roman" w:eastAsia="Times New Roman" w:hAnsi="Times New Roman" w:cs="Times New Roman"/>
                <w:color w:val="000000" w:themeColor="text1"/>
                <w:sz w:val="20"/>
                <w:szCs w:val="20"/>
                <w:highlight w:val="yellow"/>
              </w:rPr>
              <w:t>Random Survival Forest Variable Importance Score</w:t>
            </w:r>
          </w:p>
        </w:tc>
      </w:tr>
      <w:tr w:rsidR="003D7C04" w:rsidRPr="003D7C04" w14:paraId="136D40EE" w14:textId="77777777" w:rsidTr="000E3F0E">
        <w:trPr>
          <w:trHeight w:val="705"/>
          <w:jc w:val="center"/>
        </w:trPr>
        <w:tc>
          <w:tcPr>
            <w:tcW w:w="1328" w:type="dxa"/>
            <w:vAlign w:val="center"/>
          </w:tcPr>
          <w:p w14:paraId="1E7827ED"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Variable</w:t>
            </w:r>
          </w:p>
        </w:tc>
        <w:tc>
          <w:tcPr>
            <w:tcW w:w="1356" w:type="dxa"/>
            <w:vAlign w:val="center"/>
          </w:tcPr>
          <w:p w14:paraId="02A078AE"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Variable Importance Score</w:t>
            </w:r>
          </w:p>
        </w:tc>
        <w:tc>
          <w:tcPr>
            <w:tcW w:w="1817" w:type="dxa"/>
            <w:vAlign w:val="center"/>
          </w:tcPr>
          <w:p w14:paraId="61426CEC"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Gene</w:t>
            </w:r>
          </w:p>
          <w:p w14:paraId="4C597F0A"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Symbol</w:t>
            </w:r>
          </w:p>
        </w:tc>
        <w:tc>
          <w:tcPr>
            <w:tcW w:w="3929" w:type="dxa"/>
            <w:vAlign w:val="center"/>
          </w:tcPr>
          <w:p w14:paraId="206B834B"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Gene</w:t>
            </w:r>
          </w:p>
          <w:p w14:paraId="579893DC" w14:textId="3E6D8C9B"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Descriptions</w:t>
            </w:r>
            <w:r w:rsidR="00DE2E20">
              <w:rPr>
                <w:rFonts w:ascii="Times New Roman" w:eastAsia="Times New Roman" w:hAnsi="Times New Roman" w:cs="Times New Roman"/>
                <w:color w:val="000000" w:themeColor="text1"/>
                <w:sz w:val="20"/>
                <w:szCs w:val="20"/>
              </w:rPr>
              <w:t xml:space="preserve"> (</w:t>
            </w:r>
            <w:proofErr w:type="spellStart"/>
            <w:r w:rsidR="00F8197F">
              <w:rPr>
                <w:rFonts w:ascii="Times New Roman" w:eastAsia="Times New Roman" w:hAnsi="Times New Roman" w:cs="Times New Roman"/>
                <w:color w:val="000000" w:themeColor="text1"/>
                <w:sz w:val="20"/>
                <w:szCs w:val="20"/>
              </w:rPr>
              <w:t>SynGo</w:t>
            </w:r>
            <w:proofErr w:type="spellEnd"/>
            <w:r w:rsidR="00F8197F">
              <w:rPr>
                <w:rFonts w:ascii="Times New Roman" w:eastAsia="Times New Roman" w:hAnsi="Times New Roman" w:cs="Times New Roman"/>
                <w:color w:val="000000" w:themeColor="text1"/>
                <w:sz w:val="20"/>
                <w:szCs w:val="20"/>
              </w:rPr>
              <w:t xml:space="preserve"> Consortium, 2019)</w:t>
            </w:r>
          </w:p>
        </w:tc>
      </w:tr>
      <w:tr w:rsidR="003D7C04" w:rsidRPr="003D7C04" w14:paraId="7A3D3255" w14:textId="77777777" w:rsidTr="000E3F0E">
        <w:trPr>
          <w:trHeight w:val="235"/>
          <w:jc w:val="center"/>
        </w:trPr>
        <w:tc>
          <w:tcPr>
            <w:tcW w:w="1328" w:type="dxa"/>
            <w:vAlign w:val="bottom"/>
          </w:tcPr>
          <w:p w14:paraId="6160B46A"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209660_at</w:t>
            </w:r>
          </w:p>
        </w:tc>
        <w:tc>
          <w:tcPr>
            <w:tcW w:w="1356" w:type="dxa"/>
            <w:vAlign w:val="bottom"/>
          </w:tcPr>
          <w:p w14:paraId="55F62B10"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0.008555592</w:t>
            </w:r>
          </w:p>
        </w:tc>
        <w:tc>
          <w:tcPr>
            <w:tcW w:w="1817" w:type="dxa"/>
          </w:tcPr>
          <w:p w14:paraId="5FDED582"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TTR</w:t>
            </w:r>
          </w:p>
        </w:tc>
        <w:tc>
          <w:tcPr>
            <w:tcW w:w="3929" w:type="dxa"/>
          </w:tcPr>
          <w:p w14:paraId="02B1CE1F"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0"/>
            <w:r w:rsidRPr="003D7C04">
              <w:rPr>
                <w:rFonts w:ascii="Times New Roman" w:eastAsia="Times New Roman" w:hAnsi="Times New Roman" w:cs="Times New Roman"/>
                <w:color w:val="000000"/>
                <w:sz w:val="20"/>
                <w:szCs w:val="20"/>
              </w:rPr>
              <w:t>transthyretin</w:t>
            </w:r>
            <w:commentRangeEnd w:id="0"/>
            <w:r w:rsidR="005203ED">
              <w:rPr>
                <w:rStyle w:val="CommentReference"/>
              </w:rPr>
              <w:commentReference w:id="0"/>
            </w:r>
          </w:p>
        </w:tc>
      </w:tr>
      <w:tr w:rsidR="003D7C04" w:rsidRPr="003D7C04" w14:paraId="42C60FF0" w14:textId="77777777" w:rsidTr="000E3F0E">
        <w:trPr>
          <w:trHeight w:val="235"/>
          <w:jc w:val="center"/>
        </w:trPr>
        <w:tc>
          <w:tcPr>
            <w:tcW w:w="1328" w:type="dxa"/>
            <w:vAlign w:val="bottom"/>
          </w:tcPr>
          <w:p w14:paraId="18C0D421"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212215_at</w:t>
            </w:r>
          </w:p>
        </w:tc>
        <w:tc>
          <w:tcPr>
            <w:tcW w:w="1356" w:type="dxa"/>
            <w:vAlign w:val="bottom"/>
          </w:tcPr>
          <w:p w14:paraId="3896BA19"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0.007373110</w:t>
            </w:r>
          </w:p>
        </w:tc>
        <w:tc>
          <w:tcPr>
            <w:tcW w:w="1817" w:type="dxa"/>
          </w:tcPr>
          <w:p w14:paraId="096E2F32"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PREPL</w:t>
            </w:r>
          </w:p>
        </w:tc>
        <w:tc>
          <w:tcPr>
            <w:tcW w:w="3929" w:type="dxa"/>
          </w:tcPr>
          <w:p w14:paraId="63154A08" w14:textId="77777777" w:rsidR="003D7C04" w:rsidRPr="003D7C04" w:rsidRDefault="003D7C04" w:rsidP="003D7C04">
            <w:pPr>
              <w:jc w:val="center"/>
              <w:rPr>
                <w:rFonts w:ascii="Times New Roman" w:eastAsia="Times New Roman" w:hAnsi="Times New Roman" w:cs="Times New Roman"/>
                <w:color w:val="000000" w:themeColor="text1"/>
                <w:sz w:val="20"/>
                <w:szCs w:val="20"/>
              </w:rPr>
            </w:pPr>
            <w:proofErr w:type="gramStart"/>
            <w:r w:rsidRPr="003D7C04">
              <w:rPr>
                <w:rFonts w:ascii="Times New Roman" w:eastAsia="Times New Roman" w:hAnsi="Times New Roman" w:cs="Times New Roman"/>
                <w:color w:val="000000"/>
                <w:sz w:val="20"/>
                <w:szCs w:val="20"/>
              </w:rPr>
              <w:t>prolyl</w:t>
            </w:r>
            <w:proofErr w:type="gramEnd"/>
            <w:r w:rsidRPr="003D7C04">
              <w:rPr>
                <w:rFonts w:ascii="Times New Roman" w:eastAsia="Times New Roman" w:hAnsi="Times New Roman" w:cs="Times New Roman"/>
                <w:color w:val="000000"/>
                <w:sz w:val="20"/>
                <w:szCs w:val="20"/>
              </w:rPr>
              <w:t> </w:t>
            </w:r>
            <w:commentRangeStart w:id="1"/>
            <w:r w:rsidRPr="003D7C04">
              <w:rPr>
                <w:rFonts w:ascii="Times New Roman" w:eastAsia="Times New Roman" w:hAnsi="Times New Roman" w:cs="Times New Roman"/>
                <w:color w:val="000000"/>
                <w:sz w:val="20"/>
                <w:szCs w:val="20"/>
              </w:rPr>
              <w:t>endopeptidase </w:t>
            </w:r>
            <w:commentRangeEnd w:id="1"/>
            <w:r w:rsidR="00F64A30">
              <w:rPr>
                <w:rStyle w:val="CommentReference"/>
              </w:rPr>
              <w:commentReference w:id="1"/>
            </w:r>
            <w:r w:rsidRPr="003D7C04">
              <w:rPr>
                <w:rFonts w:ascii="Times New Roman" w:eastAsia="Times New Roman" w:hAnsi="Times New Roman" w:cs="Times New Roman"/>
                <w:color w:val="000000"/>
                <w:sz w:val="20"/>
                <w:szCs w:val="20"/>
              </w:rPr>
              <w:t>like</w:t>
            </w:r>
          </w:p>
        </w:tc>
      </w:tr>
      <w:tr w:rsidR="003D7C04" w:rsidRPr="003D7C04" w14:paraId="17B60763" w14:textId="77777777" w:rsidTr="000E3F0E">
        <w:trPr>
          <w:trHeight w:val="478"/>
          <w:jc w:val="center"/>
        </w:trPr>
        <w:tc>
          <w:tcPr>
            <w:tcW w:w="1328" w:type="dxa"/>
            <w:vAlign w:val="bottom"/>
          </w:tcPr>
          <w:p w14:paraId="435E4DC4"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227000_at</w:t>
            </w:r>
          </w:p>
        </w:tc>
        <w:tc>
          <w:tcPr>
            <w:tcW w:w="1356" w:type="dxa"/>
            <w:vAlign w:val="bottom"/>
          </w:tcPr>
          <w:p w14:paraId="13DA4168"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0.007348966</w:t>
            </w:r>
          </w:p>
        </w:tc>
        <w:tc>
          <w:tcPr>
            <w:tcW w:w="1817" w:type="dxa"/>
          </w:tcPr>
          <w:p w14:paraId="370BE728"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MTURN</w:t>
            </w:r>
          </w:p>
        </w:tc>
        <w:tc>
          <w:tcPr>
            <w:tcW w:w="3929" w:type="dxa"/>
          </w:tcPr>
          <w:p w14:paraId="5EAFC218"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2"/>
            <w:proofErr w:type="spellStart"/>
            <w:r w:rsidRPr="003D7C04">
              <w:rPr>
                <w:rFonts w:ascii="Times New Roman" w:eastAsia="Times New Roman" w:hAnsi="Times New Roman" w:cs="Times New Roman"/>
                <w:sz w:val="20"/>
                <w:szCs w:val="20"/>
              </w:rPr>
              <w:t>maturin</w:t>
            </w:r>
            <w:proofErr w:type="spellEnd"/>
            <w:r w:rsidRPr="003D7C04">
              <w:rPr>
                <w:rFonts w:ascii="Times New Roman" w:eastAsia="Times New Roman" w:hAnsi="Times New Roman" w:cs="Times New Roman"/>
                <w:sz w:val="20"/>
                <w:szCs w:val="20"/>
              </w:rPr>
              <w:t>, neural progenitor differentiation regulator homolog</w:t>
            </w:r>
            <w:commentRangeEnd w:id="2"/>
            <w:r w:rsidR="00D91951">
              <w:rPr>
                <w:rStyle w:val="CommentReference"/>
              </w:rPr>
              <w:commentReference w:id="2"/>
            </w:r>
          </w:p>
        </w:tc>
      </w:tr>
      <w:tr w:rsidR="003D7C04" w:rsidRPr="003D7C04" w14:paraId="41B489E6" w14:textId="77777777" w:rsidTr="000E3F0E">
        <w:trPr>
          <w:trHeight w:val="235"/>
          <w:jc w:val="center"/>
        </w:trPr>
        <w:tc>
          <w:tcPr>
            <w:tcW w:w="1328" w:type="dxa"/>
            <w:vAlign w:val="bottom"/>
          </w:tcPr>
          <w:p w14:paraId="3D460D53"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227200_at</w:t>
            </w:r>
          </w:p>
        </w:tc>
        <w:tc>
          <w:tcPr>
            <w:tcW w:w="1356" w:type="dxa"/>
            <w:vAlign w:val="bottom"/>
          </w:tcPr>
          <w:p w14:paraId="4379F102"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0.006915272</w:t>
            </w:r>
          </w:p>
        </w:tc>
        <w:tc>
          <w:tcPr>
            <w:tcW w:w="1817" w:type="dxa"/>
          </w:tcPr>
          <w:p w14:paraId="381FBAFC"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ETV3</w:t>
            </w:r>
          </w:p>
        </w:tc>
        <w:tc>
          <w:tcPr>
            <w:tcW w:w="3929" w:type="dxa"/>
          </w:tcPr>
          <w:p w14:paraId="3455268C"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sz w:val="20"/>
                <w:szCs w:val="20"/>
              </w:rPr>
              <w:t>ETS variant transcription factor </w:t>
            </w:r>
            <w:commentRangeStart w:id="3"/>
            <w:r w:rsidRPr="003D7C04">
              <w:rPr>
                <w:rFonts w:ascii="Times New Roman" w:eastAsia="Times New Roman" w:hAnsi="Times New Roman" w:cs="Times New Roman"/>
                <w:color w:val="000000"/>
                <w:sz w:val="20"/>
                <w:szCs w:val="20"/>
              </w:rPr>
              <w:t>3</w:t>
            </w:r>
            <w:commentRangeEnd w:id="3"/>
            <w:r w:rsidR="00A37960">
              <w:rPr>
                <w:rStyle w:val="CommentReference"/>
              </w:rPr>
              <w:commentReference w:id="3"/>
            </w:r>
          </w:p>
        </w:tc>
      </w:tr>
      <w:tr w:rsidR="003D7C04" w:rsidRPr="003D7C04" w14:paraId="458386B0" w14:textId="77777777" w:rsidTr="000E3F0E">
        <w:trPr>
          <w:trHeight w:val="470"/>
          <w:jc w:val="center"/>
        </w:trPr>
        <w:tc>
          <w:tcPr>
            <w:tcW w:w="1328" w:type="dxa"/>
            <w:vAlign w:val="bottom"/>
          </w:tcPr>
          <w:p w14:paraId="461B0982"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218811_at</w:t>
            </w:r>
          </w:p>
        </w:tc>
        <w:tc>
          <w:tcPr>
            <w:tcW w:w="1356" w:type="dxa"/>
            <w:vAlign w:val="bottom"/>
          </w:tcPr>
          <w:p w14:paraId="1648889C"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0.006702557</w:t>
            </w:r>
          </w:p>
        </w:tc>
        <w:tc>
          <w:tcPr>
            <w:tcW w:w="1817" w:type="dxa"/>
          </w:tcPr>
          <w:p w14:paraId="77AD8DFA"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ORAI2</w:t>
            </w:r>
          </w:p>
        </w:tc>
        <w:tc>
          <w:tcPr>
            <w:tcW w:w="3929" w:type="dxa"/>
          </w:tcPr>
          <w:p w14:paraId="582CB0B2"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4"/>
            <w:r w:rsidRPr="003D7C04">
              <w:rPr>
                <w:rFonts w:ascii="Times New Roman" w:eastAsia="Times New Roman" w:hAnsi="Times New Roman" w:cs="Times New Roman"/>
                <w:sz w:val="20"/>
                <w:szCs w:val="20"/>
              </w:rPr>
              <w:t>ORAI calcium release-activated calcium modulator 2</w:t>
            </w:r>
            <w:commentRangeEnd w:id="4"/>
            <w:r w:rsidR="00116385">
              <w:rPr>
                <w:rStyle w:val="CommentReference"/>
              </w:rPr>
              <w:commentReference w:id="4"/>
            </w:r>
          </w:p>
        </w:tc>
      </w:tr>
      <w:tr w:rsidR="003D7C04" w:rsidRPr="003D7C04" w14:paraId="260DDA39" w14:textId="77777777" w:rsidTr="000E3F0E">
        <w:trPr>
          <w:trHeight w:val="235"/>
          <w:jc w:val="center"/>
        </w:trPr>
        <w:tc>
          <w:tcPr>
            <w:tcW w:w="1328" w:type="dxa"/>
            <w:vAlign w:val="bottom"/>
          </w:tcPr>
          <w:p w14:paraId="61D2E899"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228886_at</w:t>
            </w:r>
          </w:p>
        </w:tc>
        <w:tc>
          <w:tcPr>
            <w:tcW w:w="1356" w:type="dxa"/>
            <w:vAlign w:val="bottom"/>
          </w:tcPr>
          <w:p w14:paraId="73322D8A"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0.006036600</w:t>
            </w:r>
          </w:p>
        </w:tc>
        <w:tc>
          <w:tcPr>
            <w:tcW w:w="1817" w:type="dxa"/>
          </w:tcPr>
          <w:p w14:paraId="6709FFEA"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LRRC27</w:t>
            </w:r>
          </w:p>
        </w:tc>
        <w:tc>
          <w:tcPr>
            <w:tcW w:w="3929" w:type="dxa"/>
          </w:tcPr>
          <w:p w14:paraId="05ABACB9"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5"/>
            <w:proofErr w:type="gramStart"/>
            <w:r w:rsidRPr="003D7C04">
              <w:rPr>
                <w:rFonts w:ascii="Times New Roman" w:eastAsia="Times New Roman" w:hAnsi="Times New Roman" w:cs="Times New Roman"/>
                <w:sz w:val="20"/>
                <w:szCs w:val="20"/>
              </w:rPr>
              <w:t>leucine</w:t>
            </w:r>
            <w:proofErr w:type="gramEnd"/>
            <w:r w:rsidRPr="003D7C04">
              <w:rPr>
                <w:rFonts w:ascii="Times New Roman" w:eastAsia="Times New Roman" w:hAnsi="Times New Roman" w:cs="Times New Roman"/>
                <w:sz w:val="20"/>
                <w:szCs w:val="20"/>
              </w:rPr>
              <w:t xml:space="preserve"> rich repeat containing 27</w:t>
            </w:r>
            <w:commentRangeEnd w:id="5"/>
            <w:r w:rsidR="00627D2B">
              <w:rPr>
                <w:rStyle w:val="CommentReference"/>
              </w:rPr>
              <w:commentReference w:id="5"/>
            </w:r>
          </w:p>
        </w:tc>
      </w:tr>
      <w:tr w:rsidR="000E3F0E" w:rsidRPr="003D7C04" w14:paraId="7CD75E41" w14:textId="77777777" w:rsidTr="000E3F0E">
        <w:trPr>
          <w:trHeight w:val="235"/>
          <w:jc w:val="center"/>
        </w:trPr>
        <w:tc>
          <w:tcPr>
            <w:tcW w:w="1328" w:type="dxa"/>
            <w:vAlign w:val="bottom"/>
          </w:tcPr>
          <w:p w14:paraId="61CBB9DE" w14:textId="2E84E35C" w:rsidR="000E3F0E" w:rsidRPr="003D7C04" w:rsidRDefault="000E3F0E"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240184_at</w:t>
            </w:r>
          </w:p>
        </w:tc>
        <w:tc>
          <w:tcPr>
            <w:tcW w:w="1356" w:type="dxa"/>
            <w:vAlign w:val="bottom"/>
          </w:tcPr>
          <w:p w14:paraId="5FA67474" w14:textId="18E7954A" w:rsidR="000E3F0E" w:rsidRPr="003D7C04" w:rsidRDefault="000E3F0E" w:rsidP="003D7C04">
            <w:pPr>
              <w:jc w:val="center"/>
              <w:rPr>
                <w:rFonts w:ascii="Times New Roman" w:eastAsia="Times New Roman" w:hAnsi="Times New Roman" w:cs="Times New Roman"/>
                <w:color w:val="000000"/>
                <w:sz w:val="20"/>
                <w:szCs w:val="20"/>
                <w:shd w:val="clear" w:color="auto" w:fill="FFFFFF"/>
              </w:rPr>
            </w:pPr>
            <w:r w:rsidRPr="003D7C04">
              <w:rPr>
                <w:rFonts w:ascii="Times New Roman" w:eastAsia="Times New Roman" w:hAnsi="Times New Roman" w:cs="Times New Roman"/>
                <w:color w:val="000000"/>
                <w:sz w:val="20"/>
                <w:szCs w:val="20"/>
              </w:rPr>
              <w:t>0.006008361</w:t>
            </w:r>
          </w:p>
        </w:tc>
        <w:tc>
          <w:tcPr>
            <w:tcW w:w="1817" w:type="dxa"/>
          </w:tcPr>
          <w:p w14:paraId="0FCE7B2F" w14:textId="1B9E9A85" w:rsidR="000E3F0E" w:rsidRPr="003D7C04" w:rsidRDefault="000E3F0E"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SYNPR-AS1</w:t>
            </w:r>
          </w:p>
        </w:tc>
        <w:tc>
          <w:tcPr>
            <w:tcW w:w="3929" w:type="dxa"/>
          </w:tcPr>
          <w:p w14:paraId="7F5862E8" w14:textId="5035DD92" w:rsidR="000E3F0E" w:rsidRPr="003D7C04" w:rsidRDefault="000E3F0E"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color w:val="000000"/>
                <w:sz w:val="20"/>
                <w:szCs w:val="20"/>
              </w:rPr>
              <w:t>SYNPR antisense RNA 1</w:t>
            </w:r>
          </w:p>
        </w:tc>
      </w:tr>
      <w:tr w:rsidR="000E3F0E" w:rsidRPr="003D7C04" w14:paraId="7F303A3C" w14:textId="77777777" w:rsidTr="000E3F0E">
        <w:trPr>
          <w:trHeight w:val="235"/>
          <w:jc w:val="center"/>
        </w:trPr>
        <w:tc>
          <w:tcPr>
            <w:tcW w:w="1328" w:type="dxa"/>
            <w:vAlign w:val="bottom"/>
          </w:tcPr>
          <w:p w14:paraId="56EAF9F6" w14:textId="61BBF5E1" w:rsidR="000E3F0E" w:rsidRPr="003D7C04" w:rsidRDefault="000E3F0E"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218230_at</w:t>
            </w:r>
          </w:p>
        </w:tc>
        <w:tc>
          <w:tcPr>
            <w:tcW w:w="1356" w:type="dxa"/>
            <w:vAlign w:val="bottom"/>
          </w:tcPr>
          <w:p w14:paraId="0F844769" w14:textId="684C8288" w:rsidR="000E3F0E" w:rsidRPr="003D7C04" w:rsidRDefault="000E3F0E" w:rsidP="003D7C04">
            <w:pPr>
              <w:jc w:val="center"/>
              <w:rPr>
                <w:rFonts w:ascii="Times New Roman" w:eastAsia="Times New Roman" w:hAnsi="Times New Roman" w:cs="Times New Roman"/>
                <w:color w:val="000000"/>
                <w:sz w:val="20"/>
                <w:szCs w:val="20"/>
              </w:rPr>
            </w:pPr>
            <w:r w:rsidRPr="003D7C04">
              <w:rPr>
                <w:rFonts w:ascii="Times New Roman" w:eastAsia="Times New Roman" w:hAnsi="Times New Roman" w:cs="Times New Roman"/>
                <w:color w:val="000000"/>
                <w:sz w:val="20"/>
                <w:szCs w:val="20"/>
                <w:shd w:val="clear" w:color="auto" w:fill="FFFFFF"/>
              </w:rPr>
              <w:t>0.005832459</w:t>
            </w:r>
          </w:p>
        </w:tc>
        <w:tc>
          <w:tcPr>
            <w:tcW w:w="1817" w:type="dxa"/>
          </w:tcPr>
          <w:p w14:paraId="60B42FFB" w14:textId="056947AE" w:rsidR="000E3F0E" w:rsidRPr="003D7C04" w:rsidRDefault="000E3F0E" w:rsidP="003D7C04">
            <w:pPr>
              <w:jc w:val="center"/>
              <w:rPr>
                <w:rFonts w:ascii="Times New Roman" w:eastAsia="Times New Roman" w:hAnsi="Times New Roman" w:cs="Times New Roman"/>
                <w:color w:val="000000" w:themeColor="text1"/>
                <w:sz w:val="20"/>
                <w:szCs w:val="20"/>
              </w:rPr>
            </w:pPr>
            <w:commentRangeStart w:id="6"/>
            <w:r w:rsidRPr="003D7C04">
              <w:rPr>
                <w:rFonts w:ascii="Times New Roman" w:eastAsia="Times New Roman" w:hAnsi="Times New Roman" w:cs="Times New Roman"/>
                <w:color w:val="000000" w:themeColor="text1"/>
                <w:sz w:val="20"/>
                <w:szCs w:val="20"/>
              </w:rPr>
              <w:t>ARFIP1</w:t>
            </w:r>
          </w:p>
        </w:tc>
        <w:tc>
          <w:tcPr>
            <w:tcW w:w="3929" w:type="dxa"/>
          </w:tcPr>
          <w:p w14:paraId="7BA189CB" w14:textId="6309631D" w:rsidR="000E3F0E" w:rsidRPr="003D7C04" w:rsidRDefault="000E3F0E" w:rsidP="003D7C04">
            <w:pPr>
              <w:jc w:val="center"/>
              <w:rPr>
                <w:rFonts w:ascii="Times New Roman" w:eastAsia="Times New Roman" w:hAnsi="Times New Roman" w:cs="Times New Roman"/>
                <w:color w:val="000000"/>
                <w:sz w:val="20"/>
                <w:szCs w:val="20"/>
              </w:rPr>
            </w:pPr>
            <w:r w:rsidRPr="003D7C04">
              <w:rPr>
                <w:rFonts w:ascii="Times New Roman" w:eastAsia="Times New Roman" w:hAnsi="Times New Roman" w:cs="Times New Roman"/>
                <w:sz w:val="20"/>
                <w:szCs w:val="20"/>
              </w:rPr>
              <w:t>ADP ribosylation factor interacting protein 1</w:t>
            </w:r>
            <w:commentRangeEnd w:id="6"/>
            <w:r w:rsidR="00D00A7B">
              <w:rPr>
                <w:rStyle w:val="CommentReference"/>
              </w:rPr>
              <w:commentReference w:id="6"/>
            </w:r>
          </w:p>
        </w:tc>
      </w:tr>
      <w:tr w:rsidR="003D7C04" w:rsidRPr="003D7C04" w14:paraId="42F5F130" w14:textId="77777777" w:rsidTr="000E3F0E">
        <w:trPr>
          <w:trHeight w:val="243"/>
          <w:jc w:val="center"/>
        </w:trPr>
        <w:tc>
          <w:tcPr>
            <w:tcW w:w="1328" w:type="dxa"/>
            <w:vAlign w:val="bottom"/>
          </w:tcPr>
          <w:p w14:paraId="200473B9"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225012_at</w:t>
            </w:r>
          </w:p>
        </w:tc>
        <w:tc>
          <w:tcPr>
            <w:tcW w:w="1356" w:type="dxa"/>
            <w:vAlign w:val="bottom"/>
          </w:tcPr>
          <w:p w14:paraId="65D83DB9"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0.005657217</w:t>
            </w:r>
          </w:p>
        </w:tc>
        <w:tc>
          <w:tcPr>
            <w:tcW w:w="1817" w:type="dxa"/>
          </w:tcPr>
          <w:p w14:paraId="33C4C0EB"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HDLBP</w:t>
            </w:r>
          </w:p>
        </w:tc>
        <w:tc>
          <w:tcPr>
            <w:tcW w:w="3929" w:type="dxa"/>
          </w:tcPr>
          <w:p w14:paraId="1E29C1A1"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7"/>
            <w:r w:rsidRPr="003D7C04">
              <w:rPr>
                <w:rFonts w:ascii="Times New Roman" w:eastAsia="Times New Roman" w:hAnsi="Times New Roman" w:cs="Times New Roman"/>
                <w:color w:val="000000"/>
                <w:sz w:val="20"/>
                <w:szCs w:val="20"/>
              </w:rPr>
              <w:t>high density lipoprotein binding protein</w:t>
            </w:r>
            <w:commentRangeEnd w:id="7"/>
            <w:r w:rsidR="006A4D32">
              <w:rPr>
                <w:rStyle w:val="CommentReference"/>
              </w:rPr>
              <w:commentReference w:id="7"/>
            </w:r>
          </w:p>
        </w:tc>
      </w:tr>
      <w:tr w:rsidR="003D7C04" w:rsidRPr="003D7C04" w14:paraId="50163665" w14:textId="77777777" w:rsidTr="000E3F0E">
        <w:trPr>
          <w:trHeight w:val="235"/>
          <w:jc w:val="center"/>
        </w:trPr>
        <w:tc>
          <w:tcPr>
            <w:tcW w:w="1328" w:type="dxa"/>
            <w:vAlign w:val="bottom"/>
          </w:tcPr>
          <w:p w14:paraId="7032A503"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205504_at</w:t>
            </w:r>
          </w:p>
        </w:tc>
        <w:tc>
          <w:tcPr>
            <w:tcW w:w="1356" w:type="dxa"/>
            <w:vAlign w:val="bottom"/>
          </w:tcPr>
          <w:p w14:paraId="61F1577A"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0.005625274</w:t>
            </w:r>
          </w:p>
        </w:tc>
        <w:tc>
          <w:tcPr>
            <w:tcW w:w="1817" w:type="dxa"/>
          </w:tcPr>
          <w:p w14:paraId="02B5D909"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BTK</w:t>
            </w:r>
          </w:p>
        </w:tc>
        <w:tc>
          <w:tcPr>
            <w:tcW w:w="3929" w:type="dxa"/>
          </w:tcPr>
          <w:p w14:paraId="1553EF76"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8"/>
            <w:r w:rsidRPr="003D7C04">
              <w:rPr>
                <w:rFonts w:ascii="Times New Roman" w:eastAsia="Times New Roman" w:hAnsi="Times New Roman" w:cs="Times New Roman"/>
                <w:color w:val="000000"/>
                <w:sz w:val="20"/>
                <w:szCs w:val="20"/>
              </w:rPr>
              <w:t>Bruton tyrosine kinase</w:t>
            </w:r>
            <w:commentRangeEnd w:id="8"/>
            <w:r w:rsidR="0024424B">
              <w:rPr>
                <w:rStyle w:val="CommentReference"/>
              </w:rPr>
              <w:commentReference w:id="8"/>
            </w:r>
          </w:p>
        </w:tc>
      </w:tr>
      <w:tr w:rsidR="003D7C04" w:rsidRPr="003D7C04" w14:paraId="2FEEBA3A" w14:textId="77777777" w:rsidTr="000E3F0E">
        <w:trPr>
          <w:trHeight w:val="235"/>
          <w:jc w:val="center"/>
        </w:trPr>
        <w:tc>
          <w:tcPr>
            <w:tcW w:w="1328" w:type="dxa"/>
            <w:vAlign w:val="bottom"/>
          </w:tcPr>
          <w:p w14:paraId="7F3197D4"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208683_at</w:t>
            </w:r>
          </w:p>
        </w:tc>
        <w:tc>
          <w:tcPr>
            <w:tcW w:w="1356" w:type="dxa"/>
            <w:vAlign w:val="bottom"/>
          </w:tcPr>
          <w:p w14:paraId="2C9AA9BC"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0.005619357</w:t>
            </w:r>
          </w:p>
        </w:tc>
        <w:tc>
          <w:tcPr>
            <w:tcW w:w="1817" w:type="dxa"/>
          </w:tcPr>
          <w:p w14:paraId="446E65BE"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CAPN2</w:t>
            </w:r>
          </w:p>
        </w:tc>
        <w:tc>
          <w:tcPr>
            <w:tcW w:w="3929" w:type="dxa"/>
          </w:tcPr>
          <w:p w14:paraId="5A41F8B2"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9"/>
            <w:r w:rsidRPr="003D7C04">
              <w:rPr>
                <w:rFonts w:ascii="Times New Roman" w:eastAsia="Times New Roman" w:hAnsi="Times New Roman" w:cs="Times New Roman"/>
                <w:sz w:val="20"/>
                <w:szCs w:val="20"/>
              </w:rPr>
              <w:t>calpain 2</w:t>
            </w:r>
            <w:commentRangeEnd w:id="9"/>
            <w:r w:rsidR="00EC566F">
              <w:rPr>
                <w:rStyle w:val="CommentReference"/>
              </w:rPr>
              <w:commentReference w:id="9"/>
            </w:r>
          </w:p>
        </w:tc>
      </w:tr>
      <w:tr w:rsidR="003D7C04" w:rsidRPr="003D7C04" w14:paraId="086C8BB5" w14:textId="77777777" w:rsidTr="000E3F0E">
        <w:trPr>
          <w:trHeight w:val="235"/>
          <w:jc w:val="center"/>
        </w:trPr>
        <w:tc>
          <w:tcPr>
            <w:tcW w:w="1328" w:type="dxa"/>
            <w:vAlign w:val="bottom"/>
          </w:tcPr>
          <w:p w14:paraId="746B1CAF"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203126_at</w:t>
            </w:r>
          </w:p>
        </w:tc>
        <w:tc>
          <w:tcPr>
            <w:tcW w:w="1356" w:type="dxa"/>
            <w:vAlign w:val="bottom"/>
          </w:tcPr>
          <w:p w14:paraId="4C3848B4"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0.005215127</w:t>
            </w:r>
          </w:p>
        </w:tc>
        <w:tc>
          <w:tcPr>
            <w:tcW w:w="1817" w:type="dxa"/>
          </w:tcPr>
          <w:p w14:paraId="264A0738"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10"/>
            <w:r w:rsidRPr="003D7C04">
              <w:rPr>
                <w:rFonts w:ascii="Times New Roman" w:eastAsia="Times New Roman" w:hAnsi="Times New Roman" w:cs="Times New Roman"/>
                <w:color w:val="000000" w:themeColor="text1"/>
                <w:sz w:val="20"/>
                <w:szCs w:val="20"/>
              </w:rPr>
              <w:t>IMPA2</w:t>
            </w:r>
          </w:p>
        </w:tc>
        <w:tc>
          <w:tcPr>
            <w:tcW w:w="3929" w:type="dxa"/>
          </w:tcPr>
          <w:p w14:paraId="0103C36B"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sz w:val="20"/>
                <w:szCs w:val="20"/>
              </w:rPr>
              <w:t>i</w:t>
            </w:r>
            <w:r w:rsidRPr="003D7C04">
              <w:rPr>
                <w:rFonts w:ascii="Times New Roman" w:eastAsia="Times New Roman" w:hAnsi="Times New Roman" w:cs="Times New Roman"/>
                <w:color w:val="000000"/>
                <w:sz w:val="20"/>
                <w:szCs w:val="20"/>
              </w:rPr>
              <w:t>nositol </w:t>
            </w:r>
            <w:proofErr w:type="spellStart"/>
            <w:r w:rsidRPr="003D7C04">
              <w:rPr>
                <w:rFonts w:ascii="Times New Roman" w:eastAsia="Times New Roman" w:hAnsi="Times New Roman" w:cs="Times New Roman"/>
                <w:color w:val="000000"/>
                <w:sz w:val="20"/>
                <w:szCs w:val="20"/>
              </w:rPr>
              <w:t>monophosphatase</w:t>
            </w:r>
            <w:proofErr w:type="spellEnd"/>
            <w:r w:rsidRPr="003D7C04">
              <w:rPr>
                <w:rFonts w:ascii="Times New Roman" w:eastAsia="Times New Roman" w:hAnsi="Times New Roman" w:cs="Times New Roman"/>
                <w:color w:val="000000"/>
                <w:sz w:val="20"/>
                <w:szCs w:val="20"/>
              </w:rPr>
              <w:t> 2</w:t>
            </w:r>
            <w:commentRangeEnd w:id="10"/>
            <w:r w:rsidR="00627D72">
              <w:rPr>
                <w:rStyle w:val="CommentReference"/>
              </w:rPr>
              <w:commentReference w:id="10"/>
            </w:r>
          </w:p>
        </w:tc>
      </w:tr>
      <w:tr w:rsidR="003D7C04" w:rsidRPr="003D7C04" w14:paraId="3E3A5E03" w14:textId="77777777" w:rsidTr="000E3F0E">
        <w:trPr>
          <w:trHeight w:val="235"/>
          <w:jc w:val="center"/>
        </w:trPr>
        <w:tc>
          <w:tcPr>
            <w:tcW w:w="1328" w:type="dxa"/>
            <w:vAlign w:val="bottom"/>
          </w:tcPr>
          <w:p w14:paraId="47385C32"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225273_at</w:t>
            </w:r>
          </w:p>
        </w:tc>
        <w:tc>
          <w:tcPr>
            <w:tcW w:w="1356" w:type="dxa"/>
            <w:vAlign w:val="bottom"/>
          </w:tcPr>
          <w:p w14:paraId="5835CD68"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0.005053145</w:t>
            </w:r>
          </w:p>
        </w:tc>
        <w:tc>
          <w:tcPr>
            <w:tcW w:w="1817" w:type="dxa"/>
          </w:tcPr>
          <w:p w14:paraId="2315EBD8"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WWC3</w:t>
            </w:r>
          </w:p>
        </w:tc>
        <w:tc>
          <w:tcPr>
            <w:tcW w:w="3929" w:type="dxa"/>
          </w:tcPr>
          <w:p w14:paraId="1B0587E0"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11"/>
            <w:r w:rsidRPr="003D7C04">
              <w:rPr>
                <w:rFonts w:ascii="Times New Roman" w:eastAsia="Times New Roman" w:hAnsi="Times New Roman" w:cs="Times New Roman"/>
                <w:color w:val="000000"/>
                <w:sz w:val="20"/>
                <w:szCs w:val="20"/>
              </w:rPr>
              <w:t>WWC family member 3</w:t>
            </w:r>
            <w:commentRangeEnd w:id="11"/>
            <w:r w:rsidR="00211012">
              <w:rPr>
                <w:rStyle w:val="CommentReference"/>
              </w:rPr>
              <w:commentReference w:id="11"/>
            </w:r>
          </w:p>
        </w:tc>
      </w:tr>
      <w:tr w:rsidR="003D7C04" w:rsidRPr="003D7C04" w14:paraId="5FAA3F03" w14:textId="77777777" w:rsidTr="000E3F0E">
        <w:trPr>
          <w:trHeight w:val="235"/>
          <w:jc w:val="center"/>
        </w:trPr>
        <w:tc>
          <w:tcPr>
            <w:tcW w:w="1328" w:type="dxa"/>
            <w:vAlign w:val="bottom"/>
          </w:tcPr>
          <w:p w14:paraId="6035776C"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207249_s_at</w:t>
            </w:r>
          </w:p>
        </w:tc>
        <w:tc>
          <w:tcPr>
            <w:tcW w:w="1356" w:type="dxa"/>
            <w:vAlign w:val="bottom"/>
          </w:tcPr>
          <w:p w14:paraId="7E335E5F"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0.004782021</w:t>
            </w:r>
          </w:p>
        </w:tc>
        <w:tc>
          <w:tcPr>
            <w:tcW w:w="1817" w:type="dxa"/>
          </w:tcPr>
          <w:p w14:paraId="13B8512F"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SLC28A2</w:t>
            </w:r>
          </w:p>
        </w:tc>
        <w:tc>
          <w:tcPr>
            <w:tcW w:w="3929" w:type="dxa"/>
          </w:tcPr>
          <w:p w14:paraId="210F367E"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sz w:val="20"/>
                <w:szCs w:val="20"/>
              </w:rPr>
              <w:t>solute carrier family </w:t>
            </w:r>
            <w:proofErr w:type="gramStart"/>
            <w:r w:rsidRPr="003D7C04">
              <w:rPr>
                <w:rFonts w:ascii="Times New Roman" w:eastAsia="Times New Roman" w:hAnsi="Times New Roman" w:cs="Times New Roman"/>
                <w:color w:val="000000"/>
                <w:sz w:val="20"/>
                <w:szCs w:val="20"/>
              </w:rPr>
              <w:t>28 member</w:t>
            </w:r>
            <w:proofErr w:type="gramEnd"/>
            <w:r w:rsidRPr="003D7C04">
              <w:rPr>
                <w:rFonts w:ascii="Times New Roman" w:eastAsia="Times New Roman" w:hAnsi="Times New Roman" w:cs="Times New Roman"/>
                <w:color w:val="000000"/>
                <w:sz w:val="20"/>
                <w:szCs w:val="20"/>
              </w:rPr>
              <w:t> </w:t>
            </w:r>
            <w:commentRangeStart w:id="12"/>
            <w:r w:rsidRPr="003D7C04">
              <w:rPr>
                <w:rFonts w:ascii="Times New Roman" w:eastAsia="Times New Roman" w:hAnsi="Times New Roman" w:cs="Times New Roman"/>
                <w:color w:val="000000"/>
                <w:sz w:val="20"/>
                <w:szCs w:val="20"/>
              </w:rPr>
              <w:t>2</w:t>
            </w:r>
            <w:commentRangeEnd w:id="12"/>
            <w:r w:rsidR="00B61222">
              <w:rPr>
                <w:rStyle w:val="CommentReference"/>
              </w:rPr>
              <w:commentReference w:id="12"/>
            </w:r>
          </w:p>
        </w:tc>
      </w:tr>
      <w:tr w:rsidR="003D7C04" w:rsidRPr="003D7C04" w14:paraId="67C76F90" w14:textId="77777777" w:rsidTr="000E3F0E">
        <w:trPr>
          <w:trHeight w:val="243"/>
          <w:jc w:val="center"/>
        </w:trPr>
        <w:tc>
          <w:tcPr>
            <w:tcW w:w="1328" w:type="dxa"/>
            <w:vAlign w:val="bottom"/>
          </w:tcPr>
          <w:p w14:paraId="21403B9F"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206211_at</w:t>
            </w:r>
          </w:p>
        </w:tc>
        <w:tc>
          <w:tcPr>
            <w:tcW w:w="1356" w:type="dxa"/>
            <w:vAlign w:val="bottom"/>
          </w:tcPr>
          <w:p w14:paraId="383BFAF5"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0.004511744</w:t>
            </w:r>
          </w:p>
        </w:tc>
        <w:tc>
          <w:tcPr>
            <w:tcW w:w="1817" w:type="dxa"/>
          </w:tcPr>
          <w:p w14:paraId="70176BAF"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13"/>
            <w:r w:rsidRPr="003D7C04">
              <w:rPr>
                <w:rFonts w:ascii="Times New Roman" w:eastAsia="Times New Roman" w:hAnsi="Times New Roman" w:cs="Times New Roman"/>
                <w:color w:val="000000" w:themeColor="text1"/>
                <w:sz w:val="20"/>
                <w:szCs w:val="20"/>
              </w:rPr>
              <w:t>SELE</w:t>
            </w:r>
          </w:p>
        </w:tc>
        <w:tc>
          <w:tcPr>
            <w:tcW w:w="3929" w:type="dxa"/>
          </w:tcPr>
          <w:p w14:paraId="4D8AFAE1"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sz w:val="20"/>
                <w:szCs w:val="20"/>
              </w:rPr>
              <w:t>selectin E</w:t>
            </w:r>
            <w:commentRangeEnd w:id="13"/>
            <w:r w:rsidR="008D02BF">
              <w:rPr>
                <w:rStyle w:val="CommentReference"/>
              </w:rPr>
              <w:commentReference w:id="13"/>
            </w:r>
          </w:p>
        </w:tc>
      </w:tr>
      <w:tr w:rsidR="003D7C04" w:rsidRPr="003D7C04" w14:paraId="6095A60D" w14:textId="77777777" w:rsidTr="000E3F0E">
        <w:trPr>
          <w:trHeight w:val="235"/>
          <w:jc w:val="center"/>
        </w:trPr>
        <w:tc>
          <w:tcPr>
            <w:tcW w:w="1328" w:type="dxa"/>
            <w:vAlign w:val="bottom"/>
          </w:tcPr>
          <w:p w14:paraId="690FE1BE"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229145_at</w:t>
            </w:r>
          </w:p>
        </w:tc>
        <w:tc>
          <w:tcPr>
            <w:tcW w:w="1356" w:type="dxa"/>
            <w:vAlign w:val="bottom"/>
          </w:tcPr>
          <w:p w14:paraId="21542E96"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0.004417019</w:t>
            </w:r>
          </w:p>
        </w:tc>
        <w:tc>
          <w:tcPr>
            <w:tcW w:w="1817" w:type="dxa"/>
          </w:tcPr>
          <w:p w14:paraId="358BEDEF"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14"/>
            <w:r w:rsidRPr="003D7C04">
              <w:rPr>
                <w:rFonts w:ascii="Times New Roman" w:eastAsia="Times New Roman" w:hAnsi="Times New Roman" w:cs="Times New Roman"/>
                <w:color w:val="000000" w:themeColor="text1"/>
                <w:sz w:val="20"/>
                <w:szCs w:val="20"/>
              </w:rPr>
              <w:t>ANAPC16</w:t>
            </w:r>
          </w:p>
        </w:tc>
        <w:tc>
          <w:tcPr>
            <w:tcW w:w="3929" w:type="dxa"/>
          </w:tcPr>
          <w:p w14:paraId="5433C190"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sz w:val="20"/>
                <w:szCs w:val="20"/>
              </w:rPr>
              <w:t>anaphase promoting complex subunit 16</w:t>
            </w:r>
            <w:commentRangeEnd w:id="14"/>
            <w:r w:rsidR="00CF1E38">
              <w:rPr>
                <w:rStyle w:val="CommentReference"/>
              </w:rPr>
              <w:commentReference w:id="14"/>
            </w:r>
          </w:p>
        </w:tc>
      </w:tr>
      <w:tr w:rsidR="003D7C04" w:rsidRPr="003D7C04" w14:paraId="1CE83F86" w14:textId="77777777" w:rsidTr="000E3F0E">
        <w:trPr>
          <w:trHeight w:val="470"/>
          <w:jc w:val="center"/>
        </w:trPr>
        <w:tc>
          <w:tcPr>
            <w:tcW w:w="1328" w:type="dxa"/>
            <w:vAlign w:val="bottom"/>
          </w:tcPr>
          <w:p w14:paraId="68101A69"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226146_at</w:t>
            </w:r>
          </w:p>
        </w:tc>
        <w:tc>
          <w:tcPr>
            <w:tcW w:w="1356" w:type="dxa"/>
            <w:vAlign w:val="bottom"/>
          </w:tcPr>
          <w:p w14:paraId="4CD2183E"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0.004406515</w:t>
            </w:r>
          </w:p>
        </w:tc>
        <w:tc>
          <w:tcPr>
            <w:tcW w:w="1817" w:type="dxa"/>
          </w:tcPr>
          <w:p w14:paraId="32F8E428"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HEIH</w:t>
            </w:r>
          </w:p>
        </w:tc>
        <w:tc>
          <w:tcPr>
            <w:tcW w:w="3929" w:type="dxa"/>
          </w:tcPr>
          <w:p w14:paraId="1155A003"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sz w:val="20"/>
                <w:szCs w:val="20"/>
              </w:rPr>
              <w:t>hepatocellular carcinoma up-regulated EZH2-associated long non-coding RNA</w:t>
            </w:r>
          </w:p>
        </w:tc>
      </w:tr>
      <w:tr w:rsidR="003D7C04" w:rsidRPr="003D7C04" w14:paraId="66393F89" w14:textId="77777777" w:rsidTr="000E3F0E">
        <w:trPr>
          <w:trHeight w:val="470"/>
          <w:jc w:val="center"/>
        </w:trPr>
        <w:tc>
          <w:tcPr>
            <w:tcW w:w="1328" w:type="dxa"/>
            <w:vAlign w:val="bottom"/>
          </w:tcPr>
          <w:p w14:paraId="14D9C682"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235352_at</w:t>
            </w:r>
          </w:p>
        </w:tc>
        <w:tc>
          <w:tcPr>
            <w:tcW w:w="1356" w:type="dxa"/>
            <w:vAlign w:val="bottom"/>
          </w:tcPr>
          <w:p w14:paraId="01A12001"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0.004392154</w:t>
            </w:r>
          </w:p>
        </w:tc>
        <w:tc>
          <w:tcPr>
            <w:tcW w:w="1817" w:type="dxa"/>
          </w:tcPr>
          <w:p w14:paraId="1D557160"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MR1</w:t>
            </w:r>
          </w:p>
        </w:tc>
        <w:tc>
          <w:tcPr>
            <w:tcW w:w="3929" w:type="dxa"/>
          </w:tcPr>
          <w:p w14:paraId="71EB2D64"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sz w:val="20"/>
                <w:szCs w:val="20"/>
              </w:rPr>
              <w:tab/>
            </w:r>
            <w:commentRangeStart w:id="15"/>
            <w:r w:rsidRPr="003D7C04">
              <w:rPr>
                <w:rFonts w:ascii="Times New Roman" w:eastAsia="Times New Roman" w:hAnsi="Times New Roman" w:cs="Times New Roman"/>
                <w:sz w:val="20"/>
                <w:szCs w:val="20"/>
              </w:rPr>
              <w:t>major histocompatibility complex, class I-related</w:t>
            </w:r>
            <w:commentRangeEnd w:id="15"/>
            <w:r w:rsidR="00D20FC6">
              <w:rPr>
                <w:rStyle w:val="CommentReference"/>
              </w:rPr>
              <w:commentReference w:id="15"/>
            </w:r>
          </w:p>
        </w:tc>
      </w:tr>
      <w:tr w:rsidR="003D7C04" w:rsidRPr="003D7C04" w14:paraId="47C59A6D" w14:textId="77777777" w:rsidTr="000E3F0E">
        <w:trPr>
          <w:trHeight w:val="470"/>
          <w:jc w:val="center"/>
        </w:trPr>
        <w:tc>
          <w:tcPr>
            <w:tcW w:w="1328" w:type="dxa"/>
            <w:vAlign w:val="bottom"/>
          </w:tcPr>
          <w:p w14:paraId="3D476A13"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234297_at</w:t>
            </w:r>
          </w:p>
        </w:tc>
        <w:tc>
          <w:tcPr>
            <w:tcW w:w="1356" w:type="dxa"/>
            <w:vAlign w:val="bottom"/>
          </w:tcPr>
          <w:p w14:paraId="77BD25AD"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0.004381663</w:t>
            </w:r>
          </w:p>
        </w:tc>
        <w:tc>
          <w:tcPr>
            <w:tcW w:w="1817" w:type="dxa"/>
          </w:tcPr>
          <w:p w14:paraId="2E5B68B1"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 xml:space="preserve">RGS8 &amp; </w:t>
            </w:r>
            <w:r w:rsidRPr="003D7C04">
              <w:rPr>
                <w:rFonts w:ascii="Times New Roman" w:eastAsia="Times New Roman" w:hAnsi="Times New Roman" w:cs="Times New Roman"/>
                <w:color w:val="000000" w:themeColor="text1"/>
                <w:sz w:val="20"/>
                <w:szCs w:val="20"/>
                <w:shd w:val="clear" w:color="auto" w:fill="FFFFFF"/>
              </w:rPr>
              <w:t>SDHAP3</w:t>
            </w:r>
          </w:p>
        </w:tc>
        <w:tc>
          <w:tcPr>
            <w:tcW w:w="3929" w:type="dxa"/>
          </w:tcPr>
          <w:p w14:paraId="03CC181C"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16"/>
            <w:r w:rsidRPr="003D7C04">
              <w:rPr>
                <w:rFonts w:ascii="Times New Roman" w:eastAsia="Times New Roman" w:hAnsi="Times New Roman" w:cs="Times New Roman"/>
                <w:color w:val="000000"/>
                <w:sz w:val="20"/>
                <w:szCs w:val="20"/>
                <w:shd w:val="clear" w:color="auto" w:fill="FFFFFF"/>
              </w:rPr>
              <w:t xml:space="preserve">regulator of G protein signaling 8 &amp; </w:t>
            </w:r>
            <w:r w:rsidRPr="003D7C04">
              <w:rPr>
                <w:rFonts w:ascii="Times New Roman" w:eastAsia="Times New Roman" w:hAnsi="Times New Roman" w:cs="Times New Roman"/>
                <w:color w:val="000000"/>
                <w:sz w:val="20"/>
                <w:szCs w:val="20"/>
              </w:rPr>
              <w:t>SDHA pseudogene 3</w:t>
            </w:r>
            <w:commentRangeEnd w:id="16"/>
            <w:r w:rsidR="00355E42">
              <w:rPr>
                <w:rStyle w:val="CommentReference"/>
              </w:rPr>
              <w:commentReference w:id="16"/>
            </w:r>
          </w:p>
        </w:tc>
      </w:tr>
      <w:tr w:rsidR="003D7C04" w:rsidRPr="003D7C04" w14:paraId="162E0B02" w14:textId="77777777" w:rsidTr="000E3F0E">
        <w:trPr>
          <w:trHeight w:val="235"/>
          <w:jc w:val="center"/>
        </w:trPr>
        <w:tc>
          <w:tcPr>
            <w:tcW w:w="1328" w:type="dxa"/>
            <w:vAlign w:val="bottom"/>
          </w:tcPr>
          <w:p w14:paraId="02C2208B"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224650_at</w:t>
            </w:r>
          </w:p>
        </w:tc>
        <w:tc>
          <w:tcPr>
            <w:tcW w:w="1356" w:type="dxa"/>
            <w:vAlign w:val="bottom"/>
          </w:tcPr>
          <w:p w14:paraId="6C6718E9"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0.004321009</w:t>
            </w:r>
          </w:p>
        </w:tc>
        <w:tc>
          <w:tcPr>
            <w:tcW w:w="1817" w:type="dxa"/>
          </w:tcPr>
          <w:p w14:paraId="4A338720"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MAL2</w:t>
            </w:r>
          </w:p>
        </w:tc>
        <w:tc>
          <w:tcPr>
            <w:tcW w:w="3929" w:type="dxa"/>
          </w:tcPr>
          <w:p w14:paraId="35D3B75C"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17"/>
            <w:r w:rsidRPr="003D7C04">
              <w:rPr>
                <w:rFonts w:ascii="Times New Roman" w:eastAsia="Times New Roman" w:hAnsi="Times New Roman" w:cs="Times New Roman"/>
                <w:color w:val="000000"/>
                <w:sz w:val="20"/>
                <w:szCs w:val="20"/>
              </w:rPr>
              <w:t>mal, T cell differentiation protein 2</w:t>
            </w:r>
            <w:commentRangeEnd w:id="17"/>
            <w:r w:rsidR="00212CFC">
              <w:rPr>
                <w:rStyle w:val="CommentReference"/>
              </w:rPr>
              <w:commentReference w:id="17"/>
            </w:r>
          </w:p>
        </w:tc>
      </w:tr>
      <w:tr w:rsidR="003D7C04" w:rsidRPr="003D7C04" w14:paraId="2A2AE1F3" w14:textId="77777777" w:rsidTr="000E3F0E">
        <w:trPr>
          <w:trHeight w:val="235"/>
          <w:jc w:val="center"/>
        </w:trPr>
        <w:tc>
          <w:tcPr>
            <w:tcW w:w="1328" w:type="dxa"/>
            <w:vAlign w:val="bottom"/>
          </w:tcPr>
          <w:p w14:paraId="7F69033F"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218693_at</w:t>
            </w:r>
          </w:p>
        </w:tc>
        <w:tc>
          <w:tcPr>
            <w:tcW w:w="1356" w:type="dxa"/>
            <w:vAlign w:val="bottom"/>
          </w:tcPr>
          <w:p w14:paraId="7AAE7893"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0.004226230</w:t>
            </w:r>
          </w:p>
        </w:tc>
        <w:tc>
          <w:tcPr>
            <w:tcW w:w="1817" w:type="dxa"/>
          </w:tcPr>
          <w:p w14:paraId="1254A6CD"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18"/>
            <w:r w:rsidRPr="003D7C04">
              <w:rPr>
                <w:rFonts w:ascii="Times New Roman" w:eastAsia="Times New Roman" w:hAnsi="Times New Roman" w:cs="Times New Roman"/>
                <w:color w:val="000000" w:themeColor="text1"/>
                <w:sz w:val="20"/>
                <w:szCs w:val="20"/>
              </w:rPr>
              <w:t>TSPAN15</w:t>
            </w:r>
          </w:p>
        </w:tc>
        <w:tc>
          <w:tcPr>
            <w:tcW w:w="3929" w:type="dxa"/>
          </w:tcPr>
          <w:p w14:paraId="548FC2A4" w14:textId="77777777" w:rsidR="003D7C04" w:rsidRPr="003D7C04" w:rsidRDefault="003D7C04" w:rsidP="003D7C04">
            <w:pPr>
              <w:jc w:val="center"/>
              <w:rPr>
                <w:rFonts w:ascii="Times New Roman" w:eastAsia="Times New Roman" w:hAnsi="Times New Roman" w:cs="Times New Roman"/>
                <w:color w:val="000000" w:themeColor="text1"/>
                <w:sz w:val="20"/>
                <w:szCs w:val="20"/>
              </w:rPr>
            </w:pPr>
            <w:proofErr w:type="spellStart"/>
            <w:r w:rsidRPr="003D7C04">
              <w:rPr>
                <w:rFonts w:ascii="Times New Roman" w:eastAsia="Times New Roman" w:hAnsi="Times New Roman" w:cs="Times New Roman"/>
                <w:color w:val="000000"/>
                <w:sz w:val="20"/>
                <w:szCs w:val="20"/>
              </w:rPr>
              <w:t>tetraspanin</w:t>
            </w:r>
            <w:proofErr w:type="spellEnd"/>
            <w:r w:rsidRPr="003D7C04">
              <w:rPr>
                <w:rFonts w:ascii="Times New Roman" w:eastAsia="Times New Roman" w:hAnsi="Times New Roman" w:cs="Times New Roman"/>
                <w:color w:val="000000"/>
                <w:sz w:val="20"/>
                <w:szCs w:val="20"/>
              </w:rPr>
              <w:t> 15</w:t>
            </w:r>
            <w:commentRangeEnd w:id="18"/>
            <w:r w:rsidR="00E05261">
              <w:rPr>
                <w:rStyle w:val="CommentReference"/>
              </w:rPr>
              <w:commentReference w:id="18"/>
            </w:r>
          </w:p>
        </w:tc>
      </w:tr>
      <w:tr w:rsidR="003D7C04" w:rsidRPr="003D7C04" w14:paraId="399A92D7" w14:textId="77777777" w:rsidTr="000E3F0E">
        <w:trPr>
          <w:trHeight w:val="235"/>
          <w:jc w:val="center"/>
        </w:trPr>
        <w:tc>
          <w:tcPr>
            <w:tcW w:w="1328" w:type="dxa"/>
            <w:vAlign w:val="bottom"/>
          </w:tcPr>
          <w:p w14:paraId="4A2AEEFC"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218707_at</w:t>
            </w:r>
          </w:p>
        </w:tc>
        <w:tc>
          <w:tcPr>
            <w:tcW w:w="1356" w:type="dxa"/>
            <w:vAlign w:val="bottom"/>
          </w:tcPr>
          <w:p w14:paraId="6C1F0CDD"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0.004063735</w:t>
            </w:r>
          </w:p>
        </w:tc>
        <w:tc>
          <w:tcPr>
            <w:tcW w:w="1817" w:type="dxa"/>
          </w:tcPr>
          <w:p w14:paraId="7E3D79E2"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ZNF444</w:t>
            </w:r>
          </w:p>
        </w:tc>
        <w:tc>
          <w:tcPr>
            <w:tcW w:w="3929" w:type="dxa"/>
          </w:tcPr>
          <w:p w14:paraId="1779E032"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19"/>
            <w:r w:rsidRPr="003D7C04">
              <w:rPr>
                <w:rFonts w:ascii="Times New Roman" w:eastAsia="Times New Roman" w:hAnsi="Times New Roman" w:cs="Times New Roman"/>
                <w:color w:val="000000"/>
                <w:sz w:val="20"/>
                <w:szCs w:val="20"/>
              </w:rPr>
              <w:t>zinc finger protein 444</w:t>
            </w:r>
            <w:commentRangeEnd w:id="19"/>
            <w:r w:rsidR="00976EA8">
              <w:rPr>
                <w:rStyle w:val="CommentReference"/>
              </w:rPr>
              <w:commentReference w:id="19"/>
            </w:r>
          </w:p>
        </w:tc>
      </w:tr>
      <w:tr w:rsidR="003D7C04" w:rsidRPr="003D7C04" w14:paraId="4A8EB219" w14:textId="77777777" w:rsidTr="000E3F0E">
        <w:trPr>
          <w:trHeight w:val="235"/>
          <w:jc w:val="center"/>
        </w:trPr>
        <w:tc>
          <w:tcPr>
            <w:tcW w:w="1328" w:type="dxa"/>
            <w:shd w:val="clear" w:color="auto" w:fill="auto"/>
            <w:vAlign w:val="bottom"/>
          </w:tcPr>
          <w:p w14:paraId="7A00102D"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233167_at</w:t>
            </w:r>
          </w:p>
        </w:tc>
        <w:tc>
          <w:tcPr>
            <w:tcW w:w="1356" w:type="dxa"/>
            <w:vAlign w:val="bottom"/>
          </w:tcPr>
          <w:p w14:paraId="6F7998E3"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0.003895603</w:t>
            </w:r>
          </w:p>
        </w:tc>
        <w:tc>
          <w:tcPr>
            <w:tcW w:w="1817" w:type="dxa"/>
          </w:tcPr>
          <w:p w14:paraId="26EB3720"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SELENOO</w:t>
            </w:r>
          </w:p>
        </w:tc>
        <w:tc>
          <w:tcPr>
            <w:tcW w:w="3929" w:type="dxa"/>
          </w:tcPr>
          <w:p w14:paraId="28AE8771"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20"/>
            <w:proofErr w:type="spellStart"/>
            <w:r w:rsidRPr="003D7C04">
              <w:rPr>
                <w:rFonts w:ascii="Times New Roman" w:eastAsia="Times New Roman" w:hAnsi="Times New Roman" w:cs="Times New Roman"/>
                <w:color w:val="000000"/>
                <w:sz w:val="20"/>
                <w:szCs w:val="20"/>
              </w:rPr>
              <w:t>selenoprotein</w:t>
            </w:r>
            <w:proofErr w:type="spellEnd"/>
            <w:r w:rsidRPr="003D7C04">
              <w:rPr>
                <w:rFonts w:ascii="Times New Roman" w:eastAsia="Times New Roman" w:hAnsi="Times New Roman" w:cs="Times New Roman"/>
                <w:color w:val="000000"/>
                <w:sz w:val="20"/>
                <w:szCs w:val="20"/>
              </w:rPr>
              <w:t> O</w:t>
            </w:r>
            <w:commentRangeEnd w:id="20"/>
            <w:r w:rsidR="00AA4DF9">
              <w:rPr>
                <w:rStyle w:val="CommentReference"/>
              </w:rPr>
              <w:commentReference w:id="20"/>
            </w:r>
          </w:p>
        </w:tc>
      </w:tr>
      <w:tr w:rsidR="003D7C04" w:rsidRPr="003D7C04" w14:paraId="2401B048" w14:textId="77777777" w:rsidTr="000E3F0E">
        <w:trPr>
          <w:trHeight w:val="243"/>
          <w:jc w:val="center"/>
        </w:trPr>
        <w:tc>
          <w:tcPr>
            <w:tcW w:w="1328" w:type="dxa"/>
            <w:vAlign w:val="bottom"/>
          </w:tcPr>
          <w:p w14:paraId="5F533DD3"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209682_at</w:t>
            </w:r>
          </w:p>
        </w:tc>
        <w:tc>
          <w:tcPr>
            <w:tcW w:w="1356" w:type="dxa"/>
            <w:vAlign w:val="bottom"/>
          </w:tcPr>
          <w:p w14:paraId="1777B234"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0.003893244</w:t>
            </w:r>
          </w:p>
        </w:tc>
        <w:tc>
          <w:tcPr>
            <w:tcW w:w="1817" w:type="dxa"/>
          </w:tcPr>
          <w:p w14:paraId="65FC339B"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CBLB</w:t>
            </w:r>
          </w:p>
        </w:tc>
        <w:tc>
          <w:tcPr>
            <w:tcW w:w="3929" w:type="dxa"/>
          </w:tcPr>
          <w:p w14:paraId="17549C6D" w14:textId="77777777" w:rsidR="003D7C04" w:rsidRPr="003D7C04" w:rsidRDefault="003D7C04" w:rsidP="003D7C04">
            <w:pPr>
              <w:jc w:val="center"/>
              <w:rPr>
                <w:rFonts w:ascii="Times New Roman" w:eastAsia="Times New Roman" w:hAnsi="Times New Roman" w:cs="Times New Roman"/>
                <w:color w:val="000000" w:themeColor="text1"/>
                <w:sz w:val="20"/>
                <w:szCs w:val="20"/>
              </w:rPr>
            </w:pPr>
            <w:proofErr w:type="spellStart"/>
            <w:r w:rsidRPr="003D7C04">
              <w:rPr>
                <w:rFonts w:ascii="Times New Roman" w:eastAsia="Times New Roman" w:hAnsi="Times New Roman" w:cs="Times New Roman"/>
                <w:sz w:val="20"/>
                <w:szCs w:val="20"/>
              </w:rPr>
              <w:t>Cbl</w:t>
            </w:r>
            <w:proofErr w:type="spellEnd"/>
            <w:r w:rsidRPr="003D7C04">
              <w:rPr>
                <w:rFonts w:ascii="Times New Roman" w:eastAsia="Times New Roman" w:hAnsi="Times New Roman" w:cs="Times New Roman"/>
                <w:sz w:val="20"/>
                <w:szCs w:val="20"/>
              </w:rPr>
              <w:t xml:space="preserve"> proto-oncogene B</w:t>
            </w:r>
          </w:p>
        </w:tc>
      </w:tr>
      <w:tr w:rsidR="003D7C04" w:rsidRPr="003D7C04" w14:paraId="2E8A3B79" w14:textId="77777777" w:rsidTr="000E3F0E">
        <w:trPr>
          <w:trHeight w:val="235"/>
          <w:jc w:val="center"/>
        </w:trPr>
        <w:tc>
          <w:tcPr>
            <w:tcW w:w="1328" w:type="dxa"/>
            <w:vAlign w:val="bottom"/>
          </w:tcPr>
          <w:p w14:paraId="6FD473D9"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200667_at</w:t>
            </w:r>
          </w:p>
        </w:tc>
        <w:tc>
          <w:tcPr>
            <w:tcW w:w="1356" w:type="dxa"/>
            <w:vAlign w:val="bottom"/>
          </w:tcPr>
          <w:p w14:paraId="446D46CA"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0.003872056</w:t>
            </w:r>
          </w:p>
        </w:tc>
        <w:tc>
          <w:tcPr>
            <w:tcW w:w="1817" w:type="dxa"/>
          </w:tcPr>
          <w:p w14:paraId="2F419012"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21"/>
            <w:r w:rsidRPr="003D7C04">
              <w:rPr>
                <w:rFonts w:ascii="Times New Roman" w:eastAsia="Times New Roman" w:hAnsi="Times New Roman" w:cs="Times New Roman"/>
                <w:color w:val="000000" w:themeColor="text1"/>
                <w:sz w:val="20"/>
                <w:szCs w:val="20"/>
              </w:rPr>
              <w:t>UBE2D3</w:t>
            </w:r>
          </w:p>
        </w:tc>
        <w:tc>
          <w:tcPr>
            <w:tcW w:w="3929" w:type="dxa"/>
          </w:tcPr>
          <w:p w14:paraId="0140D078"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sz w:val="20"/>
                <w:szCs w:val="20"/>
              </w:rPr>
              <w:t>ubiquitin conjugating enzyme E2 D3</w:t>
            </w:r>
            <w:commentRangeEnd w:id="21"/>
            <w:r w:rsidR="00A65471">
              <w:rPr>
                <w:rStyle w:val="CommentReference"/>
              </w:rPr>
              <w:commentReference w:id="21"/>
            </w:r>
          </w:p>
        </w:tc>
      </w:tr>
      <w:tr w:rsidR="003D7C04" w:rsidRPr="003D7C04" w14:paraId="10FB1C66" w14:textId="77777777" w:rsidTr="000E3F0E">
        <w:trPr>
          <w:trHeight w:val="235"/>
          <w:jc w:val="center"/>
        </w:trPr>
        <w:tc>
          <w:tcPr>
            <w:tcW w:w="1328" w:type="dxa"/>
            <w:vAlign w:val="bottom"/>
          </w:tcPr>
          <w:p w14:paraId="08186D6C"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229970_at</w:t>
            </w:r>
          </w:p>
        </w:tc>
        <w:tc>
          <w:tcPr>
            <w:tcW w:w="1356" w:type="dxa"/>
            <w:vAlign w:val="bottom"/>
          </w:tcPr>
          <w:p w14:paraId="2C2A8CC2"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0.003856160</w:t>
            </w:r>
          </w:p>
        </w:tc>
        <w:tc>
          <w:tcPr>
            <w:tcW w:w="1817" w:type="dxa"/>
          </w:tcPr>
          <w:p w14:paraId="7766B95D"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KBTBD7</w:t>
            </w:r>
          </w:p>
        </w:tc>
        <w:tc>
          <w:tcPr>
            <w:tcW w:w="3929" w:type="dxa"/>
          </w:tcPr>
          <w:p w14:paraId="3AE226E6"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22"/>
            <w:proofErr w:type="spellStart"/>
            <w:r w:rsidRPr="003D7C04">
              <w:rPr>
                <w:rFonts w:ascii="Times New Roman" w:eastAsia="Times New Roman" w:hAnsi="Times New Roman" w:cs="Times New Roman"/>
                <w:color w:val="000000"/>
                <w:sz w:val="20"/>
                <w:szCs w:val="20"/>
              </w:rPr>
              <w:t>kelch</w:t>
            </w:r>
            <w:proofErr w:type="spellEnd"/>
            <w:r w:rsidRPr="003D7C04">
              <w:rPr>
                <w:rFonts w:ascii="Times New Roman" w:eastAsia="Times New Roman" w:hAnsi="Times New Roman" w:cs="Times New Roman"/>
                <w:color w:val="000000"/>
                <w:sz w:val="20"/>
                <w:szCs w:val="20"/>
              </w:rPr>
              <w:t> repeat and BTB domain containing 7</w:t>
            </w:r>
            <w:commentRangeEnd w:id="22"/>
            <w:r w:rsidR="00B740C6">
              <w:rPr>
                <w:rStyle w:val="CommentReference"/>
              </w:rPr>
              <w:commentReference w:id="22"/>
            </w:r>
          </w:p>
        </w:tc>
      </w:tr>
      <w:tr w:rsidR="003D7C04" w:rsidRPr="003D7C04" w14:paraId="2C91BD54" w14:textId="77777777" w:rsidTr="000E3F0E">
        <w:trPr>
          <w:trHeight w:val="235"/>
          <w:jc w:val="center"/>
        </w:trPr>
        <w:tc>
          <w:tcPr>
            <w:tcW w:w="1328" w:type="dxa"/>
            <w:vAlign w:val="bottom"/>
          </w:tcPr>
          <w:p w14:paraId="0C7D3C8A"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219468_s_at</w:t>
            </w:r>
          </w:p>
        </w:tc>
        <w:tc>
          <w:tcPr>
            <w:tcW w:w="1356" w:type="dxa"/>
            <w:vAlign w:val="bottom"/>
          </w:tcPr>
          <w:p w14:paraId="3B88388C"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0.003790877</w:t>
            </w:r>
          </w:p>
        </w:tc>
        <w:tc>
          <w:tcPr>
            <w:tcW w:w="1817" w:type="dxa"/>
          </w:tcPr>
          <w:p w14:paraId="73EE3876"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CUEDC1</w:t>
            </w:r>
          </w:p>
        </w:tc>
        <w:tc>
          <w:tcPr>
            <w:tcW w:w="3929" w:type="dxa"/>
          </w:tcPr>
          <w:p w14:paraId="14F8EC66"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23"/>
            <w:r w:rsidRPr="003D7C04">
              <w:rPr>
                <w:rFonts w:ascii="Times New Roman" w:eastAsia="Times New Roman" w:hAnsi="Times New Roman" w:cs="Times New Roman"/>
                <w:color w:val="000000"/>
                <w:sz w:val="20"/>
                <w:szCs w:val="20"/>
              </w:rPr>
              <w:t>CUE domain containing 1</w:t>
            </w:r>
            <w:commentRangeEnd w:id="23"/>
            <w:r w:rsidR="006F0778">
              <w:rPr>
                <w:rStyle w:val="CommentReference"/>
              </w:rPr>
              <w:commentReference w:id="23"/>
            </w:r>
          </w:p>
        </w:tc>
      </w:tr>
      <w:tr w:rsidR="003D7C04" w:rsidRPr="003D7C04" w14:paraId="200ECED1" w14:textId="77777777" w:rsidTr="000E3F0E">
        <w:trPr>
          <w:trHeight w:val="470"/>
          <w:jc w:val="center"/>
        </w:trPr>
        <w:tc>
          <w:tcPr>
            <w:tcW w:w="1328" w:type="dxa"/>
            <w:vAlign w:val="bottom"/>
          </w:tcPr>
          <w:p w14:paraId="6E1902CC"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205448_s_at</w:t>
            </w:r>
          </w:p>
        </w:tc>
        <w:tc>
          <w:tcPr>
            <w:tcW w:w="1356" w:type="dxa"/>
            <w:vAlign w:val="bottom"/>
          </w:tcPr>
          <w:p w14:paraId="508D50A8"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0.003734501</w:t>
            </w:r>
          </w:p>
        </w:tc>
        <w:tc>
          <w:tcPr>
            <w:tcW w:w="1817" w:type="dxa"/>
          </w:tcPr>
          <w:p w14:paraId="585C234F"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24"/>
            <w:r w:rsidRPr="003D7C04">
              <w:rPr>
                <w:rFonts w:ascii="Times New Roman" w:eastAsia="Times New Roman" w:hAnsi="Times New Roman" w:cs="Times New Roman"/>
                <w:color w:val="000000" w:themeColor="text1"/>
                <w:sz w:val="20"/>
                <w:szCs w:val="20"/>
              </w:rPr>
              <w:t>MAP3K12</w:t>
            </w:r>
          </w:p>
        </w:tc>
        <w:tc>
          <w:tcPr>
            <w:tcW w:w="3929" w:type="dxa"/>
          </w:tcPr>
          <w:p w14:paraId="61C36537"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sz w:val="20"/>
                <w:szCs w:val="20"/>
              </w:rPr>
              <w:t>mitogen-activated protein kinase </w:t>
            </w:r>
            <w:proofErr w:type="spellStart"/>
            <w:r w:rsidRPr="003D7C04">
              <w:rPr>
                <w:rFonts w:ascii="Times New Roman" w:eastAsia="Times New Roman" w:hAnsi="Times New Roman" w:cs="Times New Roman"/>
                <w:color w:val="000000"/>
                <w:sz w:val="20"/>
                <w:szCs w:val="20"/>
              </w:rPr>
              <w:t>kinase</w:t>
            </w:r>
            <w:proofErr w:type="spellEnd"/>
            <w:r w:rsidRPr="003D7C04">
              <w:rPr>
                <w:rFonts w:ascii="Times New Roman" w:eastAsia="Times New Roman" w:hAnsi="Times New Roman" w:cs="Times New Roman"/>
                <w:color w:val="000000"/>
                <w:sz w:val="20"/>
                <w:szCs w:val="20"/>
              </w:rPr>
              <w:t> </w:t>
            </w:r>
            <w:proofErr w:type="spellStart"/>
            <w:r w:rsidRPr="003D7C04">
              <w:rPr>
                <w:rFonts w:ascii="Times New Roman" w:eastAsia="Times New Roman" w:hAnsi="Times New Roman" w:cs="Times New Roman"/>
                <w:color w:val="000000"/>
                <w:sz w:val="20"/>
                <w:szCs w:val="20"/>
              </w:rPr>
              <w:t>kinase</w:t>
            </w:r>
            <w:proofErr w:type="spellEnd"/>
            <w:r w:rsidRPr="003D7C04">
              <w:rPr>
                <w:rFonts w:ascii="Times New Roman" w:eastAsia="Times New Roman" w:hAnsi="Times New Roman" w:cs="Times New Roman"/>
                <w:color w:val="000000"/>
                <w:sz w:val="20"/>
                <w:szCs w:val="20"/>
              </w:rPr>
              <w:t> 12</w:t>
            </w:r>
            <w:commentRangeEnd w:id="24"/>
            <w:r w:rsidR="0076782D">
              <w:rPr>
                <w:rStyle w:val="CommentReference"/>
              </w:rPr>
              <w:commentReference w:id="24"/>
            </w:r>
          </w:p>
        </w:tc>
      </w:tr>
      <w:tr w:rsidR="003D7C04" w:rsidRPr="003D7C04" w14:paraId="457D69D3" w14:textId="77777777" w:rsidTr="000E3F0E">
        <w:trPr>
          <w:trHeight w:val="235"/>
          <w:jc w:val="center"/>
        </w:trPr>
        <w:tc>
          <w:tcPr>
            <w:tcW w:w="1328" w:type="dxa"/>
            <w:vAlign w:val="bottom"/>
          </w:tcPr>
          <w:p w14:paraId="7320E79D"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201236_s_at</w:t>
            </w:r>
          </w:p>
        </w:tc>
        <w:tc>
          <w:tcPr>
            <w:tcW w:w="1356" w:type="dxa"/>
            <w:vAlign w:val="bottom"/>
          </w:tcPr>
          <w:p w14:paraId="50625B02"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rPr>
              <w:t>0.003712341</w:t>
            </w:r>
          </w:p>
        </w:tc>
        <w:tc>
          <w:tcPr>
            <w:tcW w:w="1817" w:type="dxa"/>
          </w:tcPr>
          <w:p w14:paraId="684A47FF"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25"/>
            <w:r w:rsidRPr="003D7C04">
              <w:rPr>
                <w:rFonts w:ascii="Times New Roman" w:eastAsia="Times New Roman" w:hAnsi="Times New Roman" w:cs="Times New Roman"/>
                <w:color w:val="000000" w:themeColor="text1"/>
                <w:sz w:val="20"/>
                <w:szCs w:val="20"/>
              </w:rPr>
              <w:t>BTG2</w:t>
            </w:r>
          </w:p>
        </w:tc>
        <w:tc>
          <w:tcPr>
            <w:tcW w:w="3929" w:type="dxa"/>
          </w:tcPr>
          <w:p w14:paraId="04B8ED8A"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sz w:val="20"/>
                <w:szCs w:val="20"/>
              </w:rPr>
              <w:t>BTG anti-proliferation factor 2</w:t>
            </w:r>
            <w:commentRangeEnd w:id="25"/>
            <w:r w:rsidR="00547433">
              <w:rPr>
                <w:rStyle w:val="CommentReference"/>
              </w:rPr>
              <w:commentReference w:id="25"/>
            </w:r>
          </w:p>
        </w:tc>
      </w:tr>
      <w:tr w:rsidR="003D7C04" w:rsidRPr="003D7C04" w14:paraId="5F64E646" w14:textId="77777777" w:rsidTr="000E3F0E">
        <w:trPr>
          <w:trHeight w:val="470"/>
          <w:jc w:val="center"/>
        </w:trPr>
        <w:tc>
          <w:tcPr>
            <w:tcW w:w="1328" w:type="dxa"/>
            <w:vAlign w:val="bottom"/>
          </w:tcPr>
          <w:p w14:paraId="7751A14F"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214623_at</w:t>
            </w:r>
          </w:p>
        </w:tc>
        <w:tc>
          <w:tcPr>
            <w:tcW w:w="1356" w:type="dxa"/>
            <w:vAlign w:val="bottom"/>
          </w:tcPr>
          <w:p w14:paraId="11A655DA"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sz w:val="20"/>
                <w:szCs w:val="20"/>
                <w:shd w:val="clear" w:color="auto" w:fill="FFFFFF"/>
              </w:rPr>
              <w:t>0.003701552</w:t>
            </w:r>
          </w:p>
        </w:tc>
        <w:tc>
          <w:tcPr>
            <w:tcW w:w="1817" w:type="dxa"/>
          </w:tcPr>
          <w:p w14:paraId="3538534E"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FBXW4P1</w:t>
            </w:r>
          </w:p>
        </w:tc>
        <w:tc>
          <w:tcPr>
            <w:tcW w:w="3929" w:type="dxa"/>
          </w:tcPr>
          <w:p w14:paraId="4CE09946"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sz w:val="20"/>
                <w:szCs w:val="20"/>
              </w:rPr>
              <w:t>F-box and WD repeat domain containing 4 pseudogene 1</w:t>
            </w:r>
          </w:p>
        </w:tc>
      </w:tr>
      <w:tr w:rsidR="003D7C04" w:rsidRPr="003D7C04" w14:paraId="473E7471" w14:textId="77777777" w:rsidTr="000E3F0E">
        <w:trPr>
          <w:trHeight w:val="243"/>
          <w:jc w:val="center"/>
        </w:trPr>
        <w:tc>
          <w:tcPr>
            <w:tcW w:w="1328" w:type="dxa"/>
            <w:vAlign w:val="bottom"/>
          </w:tcPr>
          <w:p w14:paraId="3CE2EF16"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221861_at</w:t>
            </w:r>
          </w:p>
        </w:tc>
        <w:tc>
          <w:tcPr>
            <w:tcW w:w="1356" w:type="dxa"/>
            <w:vAlign w:val="bottom"/>
          </w:tcPr>
          <w:p w14:paraId="68FAE8CB"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0.003696707</w:t>
            </w:r>
          </w:p>
        </w:tc>
        <w:tc>
          <w:tcPr>
            <w:tcW w:w="1817" w:type="dxa"/>
          </w:tcPr>
          <w:p w14:paraId="7CC1B0B9"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ARRB1</w:t>
            </w:r>
          </w:p>
        </w:tc>
        <w:tc>
          <w:tcPr>
            <w:tcW w:w="3929" w:type="dxa"/>
          </w:tcPr>
          <w:p w14:paraId="2DA5A883"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ab/>
            </w:r>
            <w:commentRangeStart w:id="26"/>
            <w:proofErr w:type="spellStart"/>
            <w:r w:rsidRPr="003D7C04">
              <w:rPr>
                <w:rFonts w:ascii="Times New Roman" w:eastAsia="Times New Roman" w:hAnsi="Times New Roman" w:cs="Times New Roman"/>
                <w:color w:val="000000" w:themeColor="text1"/>
                <w:sz w:val="20"/>
                <w:szCs w:val="20"/>
              </w:rPr>
              <w:t>arrestin</w:t>
            </w:r>
            <w:proofErr w:type="spellEnd"/>
            <w:r w:rsidRPr="003D7C04">
              <w:rPr>
                <w:rFonts w:ascii="Times New Roman" w:eastAsia="Times New Roman" w:hAnsi="Times New Roman" w:cs="Times New Roman"/>
                <w:color w:val="000000" w:themeColor="text1"/>
                <w:sz w:val="20"/>
                <w:szCs w:val="20"/>
              </w:rPr>
              <w:t xml:space="preserve"> beta 1</w:t>
            </w:r>
            <w:commentRangeEnd w:id="26"/>
            <w:r w:rsidR="004B784D">
              <w:rPr>
                <w:rStyle w:val="CommentReference"/>
              </w:rPr>
              <w:commentReference w:id="26"/>
            </w:r>
          </w:p>
        </w:tc>
      </w:tr>
      <w:tr w:rsidR="003D7C04" w:rsidRPr="003D7C04" w14:paraId="6DA024A0" w14:textId="77777777" w:rsidTr="000E3F0E">
        <w:trPr>
          <w:trHeight w:val="235"/>
          <w:jc w:val="center"/>
        </w:trPr>
        <w:tc>
          <w:tcPr>
            <w:tcW w:w="1328" w:type="dxa"/>
            <w:vAlign w:val="bottom"/>
          </w:tcPr>
          <w:p w14:paraId="4205FE80" w14:textId="77777777" w:rsidR="003D7C04" w:rsidRPr="003D7C04" w:rsidRDefault="003D7C04" w:rsidP="003D7C04">
            <w:pPr>
              <w:jc w:val="center"/>
              <w:rPr>
                <w:rFonts w:ascii="Times New Roman" w:eastAsia="Times New Roman" w:hAnsi="Times New Roman" w:cs="Times New Roman"/>
                <w:sz w:val="20"/>
                <w:szCs w:val="20"/>
              </w:rPr>
            </w:pPr>
            <w:r w:rsidRPr="003D7C04">
              <w:rPr>
                <w:rFonts w:ascii="Times New Roman" w:eastAsia="Times New Roman" w:hAnsi="Times New Roman" w:cs="Times New Roman"/>
                <w:sz w:val="20"/>
                <w:szCs w:val="20"/>
              </w:rPr>
              <w:t>241208_at</w:t>
            </w:r>
          </w:p>
        </w:tc>
        <w:tc>
          <w:tcPr>
            <w:tcW w:w="1356" w:type="dxa"/>
            <w:vAlign w:val="bottom"/>
          </w:tcPr>
          <w:p w14:paraId="7B013A1B" w14:textId="77777777" w:rsidR="003D7C04" w:rsidRPr="003D7C04" w:rsidRDefault="003D7C04" w:rsidP="003D7C04">
            <w:pPr>
              <w:jc w:val="center"/>
              <w:rPr>
                <w:rFonts w:ascii="Times New Roman" w:eastAsia="Times New Roman" w:hAnsi="Times New Roman" w:cs="Times New Roman"/>
                <w:color w:val="FF0000"/>
                <w:sz w:val="20"/>
                <w:szCs w:val="20"/>
              </w:rPr>
            </w:pPr>
            <w:r w:rsidRPr="003D7C04">
              <w:rPr>
                <w:rFonts w:ascii="Times New Roman" w:eastAsia="Times New Roman" w:hAnsi="Times New Roman" w:cs="Times New Roman"/>
                <w:color w:val="000000" w:themeColor="text1"/>
                <w:sz w:val="20"/>
                <w:szCs w:val="20"/>
              </w:rPr>
              <w:t>0.003691053</w:t>
            </w:r>
          </w:p>
        </w:tc>
        <w:tc>
          <w:tcPr>
            <w:tcW w:w="1817" w:type="dxa"/>
          </w:tcPr>
          <w:p w14:paraId="791F1431" w14:textId="77777777" w:rsidR="003D7C04" w:rsidRPr="003D7C04" w:rsidRDefault="003D7C04" w:rsidP="003D7C04">
            <w:pPr>
              <w:jc w:val="center"/>
              <w:rPr>
                <w:rFonts w:ascii="Times New Roman" w:eastAsia="Times New Roman" w:hAnsi="Times New Roman" w:cs="Times New Roman"/>
                <w:color w:val="000000" w:themeColor="text1"/>
                <w:sz w:val="20"/>
                <w:szCs w:val="20"/>
              </w:rPr>
            </w:pPr>
            <w:r w:rsidRPr="003D7C04">
              <w:rPr>
                <w:rFonts w:ascii="Times New Roman" w:eastAsia="Times New Roman" w:hAnsi="Times New Roman" w:cs="Times New Roman"/>
                <w:color w:val="000000" w:themeColor="text1"/>
                <w:sz w:val="20"/>
                <w:szCs w:val="20"/>
              </w:rPr>
              <w:t>PDLIM5</w:t>
            </w:r>
          </w:p>
        </w:tc>
        <w:tc>
          <w:tcPr>
            <w:tcW w:w="3929" w:type="dxa"/>
          </w:tcPr>
          <w:p w14:paraId="38569BB4" w14:textId="77777777" w:rsidR="003D7C04" w:rsidRPr="003D7C04" w:rsidRDefault="003D7C04" w:rsidP="003D7C04">
            <w:pPr>
              <w:jc w:val="center"/>
              <w:rPr>
                <w:rFonts w:ascii="Times New Roman" w:eastAsia="Times New Roman" w:hAnsi="Times New Roman" w:cs="Times New Roman"/>
                <w:color w:val="000000" w:themeColor="text1"/>
                <w:sz w:val="20"/>
                <w:szCs w:val="20"/>
              </w:rPr>
            </w:pPr>
            <w:commentRangeStart w:id="27"/>
            <w:r w:rsidRPr="003D7C04">
              <w:rPr>
                <w:rFonts w:ascii="Times New Roman" w:eastAsia="Times New Roman" w:hAnsi="Times New Roman" w:cs="Times New Roman"/>
                <w:color w:val="000000" w:themeColor="text1"/>
                <w:sz w:val="20"/>
                <w:szCs w:val="20"/>
              </w:rPr>
              <w:t>PDZ and LIM domain 5</w:t>
            </w:r>
            <w:commentRangeEnd w:id="27"/>
            <w:r w:rsidR="005B2FF7">
              <w:rPr>
                <w:rStyle w:val="CommentReference"/>
              </w:rPr>
              <w:commentReference w:id="27"/>
            </w:r>
          </w:p>
        </w:tc>
      </w:tr>
    </w:tbl>
    <w:p w14:paraId="33A04F24" w14:textId="77777777" w:rsidR="00742E7B" w:rsidRDefault="00742E7B" w:rsidP="005B5EB2">
      <w:pPr>
        <w:rPr>
          <w:color w:val="000000" w:themeColor="text1"/>
        </w:rPr>
      </w:pPr>
    </w:p>
    <w:p w14:paraId="1F74A7DF" w14:textId="50FB1ADE" w:rsidR="00AA791A" w:rsidRPr="001D21FD" w:rsidRDefault="00AA791A" w:rsidP="005B5EB2">
      <w:pPr>
        <w:rPr>
          <w:color w:val="000000" w:themeColor="text1"/>
        </w:rPr>
      </w:pPr>
      <w:r>
        <w:rPr>
          <w:color w:val="000000" w:themeColor="text1"/>
        </w:rPr>
        <w:t>Figure 3</w:t>
      </w:r>
      <w:r w:rsidR="00275BAA">
        <w:rPr>
          <w:color w:val="000000" w:themeColor="text1"/>
        </w:rPr>
        <w:t xml:space="preserve"> illustrates the difference in survival probabilities between two patient groups: those who followed the treatment recommendations provided by the RSF</w:t>
      </w:r>
      <w:r w:rsidR="009B11D2">
        <w:rPr>
          <w:color w:val="000000" w:themeColor="text1"/>
        </w:rPr>
        <w:t xml:space="preserve"> (solid line) and those who did not follow </w:t>
      </w:r>
      <w:r w:rsidR="009B11D2">
        <w:rPr>
          <w:color w:val="000000" w:themeColor="text1"/>
        </w:rPr>
        <w:lastRenderedPageBreak/>
        <w:t>the model’s recommendations (dashed line)</w:t>
      </w:r>
      <w:r w:rsidR="003C0849">
        <w:rPr>
          <w:color w:val="000000" w:themeColor="text1"/>
        </w:rPr>
        <w:t>. The group that followed the RSF model recommendations demonstrates a higher survival probability over the time compared to the non-followed group. The separation between the two survival curves</w:t>
      </w:r>
      <w:r w:rsidR="00DE1D89">
        <w:rPr>
          <w:color w:val="000000" w:themeColor="text1"/>
        </w:rPr>
        <w:t xml:space="preserve"> suggests a potential benefit of adhering to the model’s guidance</w:t>
      </w:r>
      <w:r w:rsidR="00043D3E">
        <w:rPr>
          <w:color w:val="000000" w:themeColor="text1"/>
        </w:rPr>
        <w:t xml:space="preserve"> </w:t>
      </w:r>
      <m:oMath>
        <m:r>
          <w:rPr>
            <w:rFonts w:ascii="Cambria Math" w:hAnsi="Cambria Math"/>
            <w:color w:val="000000" w:themeColor="text1"/>
          </w:rPr>
          <m:t>(p=.014)</m:t>
        </m:r>
      </m:oMath>
      <w:r w:rsidR="00DE1D89">
        <w:rPr>
          <w:color w:val="000000" w:themeColor="text1"/>
        </w:rPr>
        <w:t>. The median survival time</w:t>
      </w:r>
      <w:r w:rsidR="00A511E6">
        <w:rPr>
          <w:color w:val="000000" w:themeColor="text1"/>
        </w:rPr>
        <w:t xml:space="preserve"> </w:t>
      </w:r>
      <w:r w:rsidR="00546871">
        <w:rPr>
          <w:color w:val="000000" w:themeColor="text1"/>
        </w:rPr>
        <w:t xml:space="preserve">for </w:t>
      </w:r>
      <w:proofErr w:type="gramStart"/>
      <w:r w:rsidR="00546871">
        <w:rPr>
          <w:color w:val="000000" w:themeColor="text1"/>
        </w:rPr>
        <w:t>the</w:t>
      </w:r>
      <w:proofErr w:type="gramEnd"/>
      <w:r w:rsidR="00546871">
        <w:rPr>
          <w:color w:val="000000" w:themeColor="text1"/>
        </w:rPr>
        <w:t xml:space="preserve"> </w:t>
      </w:r>
      <w:r w:rsidR="004623E4">
        <w:rPr>
          <w:color w:val="000000" w:themeColor="text1"/>
        </w:rPr>
        <w:t>is 13.4 years.</w:t>
      </w:r>
      <w:r w:rsidR="001D758B">
        <w:rPr>
          <w:color w:val="000000" w:themeColor="text1"/>
        </w:rPr>
        <w:t xml:space="preserve"> The not-followed group experiences a more rapid decline in survival probability, indicating a worse prognosis for those who did not follow the recommended treatment strategy.</w:t>
      </w:r>
    </w:p>
    <w:tbl>
      <w:tblPr>
        <w:tblStyle w:val="TableGrid"/>
        <w:tblW w:w="0" w:type="auto"/>
        <w:tblLook w:val="04A0" w:firstRow="1" w:lastRow="0" w:firstColumn="1" w:lastColumn="0" w:noHBand="0" w:noVBand="1"/>
      </w:tblPr>
      <w:tblGrid>
        <w:gridCol w:w="7375"/>
      </w:tblGrid>
      <w:tr w:rsidR="00956BB6" w14:paraId="01CCF3BF" w14:textId="77777777" w:rsidTr="0015421C">
        <w:tc>
          <w:tcPr>
            <w:tcW w:w="7375" w:type="dxa"/>
          </w:tcPr>
          <w:p w14:paraId="48947157" w14:textId="7936325B" w:rsidR="00956BB6" w:rsidRDefault="0015421C" w:rsidP="00E81CD3">
            <w:pPr>
              <w:rPr>
                <w:rFonts w:ascii="Calibri" w:eastAsia="Malgun Gothic" w:hAnsi="Calibri" w:cs="Calibri"/>
                <w:lang w:eastAsia="ko-KR"/>
              </w:rPr>
            </w:pPr>
            <w:r w:rsidRPr="00722140">
              <w:rPr>
                <w:noProof/>
                <w:color w:val="FF0000"/>
              </w:rPr>
              <w:drawing>
                <wp:inline distT="0" distB="0" distL="0" distR="0" wp14:anchorId="2F36B61C" wp14:editId="4F9FACE1">
                  <wp:extent cx="4333875" cy="2722283"/>
                  <wp:effectExtent l="0" t="0" r="0" b="1905"/>
                  <wp:docPr id="7" name="Picture 6" descr="A graph with numbers and lines&#10;&#10;Description automatically generated">
                    <a:extLst xmlns:a="http://schemas.openxmlformats.org/drawingml/2006/main">
                      <a:ext uri="{FF2B5EF4-FFF2-40B4-BE49-F238E27FC236}">
                        <a16:creationId xmlns:a16="http://schemas.microsoft.com/office/drawing/2014/main" id="{DDE509E1-F84D-2666-33A3-0460AC439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numbers and lines&#10;&#10;Description automatically generated">
                            <a:extLst>
                              <a:ext uri="{FF2B5EF4-FFF2-40B4-BE49-F238E27FC236}">
                                <a16:creationId xmlns:a16="http://schemas.microsoft.com/office/drawing/2014/main" id="{DDE509E1-F84D-2666-33A3-0460AC4394AF}"/>
                              </a:ext>
                            </a:extLst>
                          </pic:cNvPr>
                          <pic:cNvPicPr>
                            <a:picLocks noChangeAspect="1"/>
                          </pic:cNvPicPr>
                        </pic:nvPicPr>
                        <pic:blipFill>
                          <a:blip r:embed="rId13"/>
                          <a:stretch>
                            <a:fillRect/>
                          </a:stretch>
                        </pic:blipFill>
                        <pic:spPr>
                          <a:xfrm>
                            <a:off x="0" y="0"/>
                            <a:ext cx="4336604" cy="2723997"/>
                          </a:xfrm>
                          <a:prstGeom prst="rect">
                            <a:avLst/>
                          </a:prstGeom>
                        </pic:spPr>
                      </pic:pic>
                    </a:graphicData>
                  </a:graphic>
                </wp:inline>
              </w:drawing>
            </w:r>
          </w:p>
        </w:tc>
      </w:tr>
      <w:tr w:rsidR="0015421C" w14:paraId="2069B393" w14:textId="77777777" w:rsidTr="0015421C">
        <w:tc>
          <w:tcPr>
            <w:tcW w:w="7375" w:type="dxa"/>
          </w:tcPr>
          <w:p w14:paraId="2EAF9166" w14:textId="6134CAE8" w:rsidR="0015421C" w:rsidRDefault="0015421C" w:rsidP="0015421C">
            <w:pPr>
              <w:rPr>
                <w:rFonts w:ascii="Calibri" w:eastAsia="Malgun Gothic" w:hAnsi="Calibri" w:cs="Calibri"/>
                <w:lang w:eastAsia="ko-KR"/>
              </w:rPr>
            </w:pPr>
            <w:r w:rsidRPr="001D21FD">
              <w:rPr>
                <w:b/>
                <w:bCs/>
                <w:color w:val="000000" w:themeColor="text1"/>
              </w:rPr>
              <w:t xml:space="preserve">FIGURE </w:t>
            </w:r>
            <w:r>
              <w:rPr>
                <w:b/>
                <w:bCs/>
                <w:color w:val="000000" w:themeColor="text1"/>
              </w:rPr>
              <w:t>3</w:t>
            </w:r>
            <w:r w:rsidRPr="001D21FD">
              <w:rPr>
                <w:b/>
                <w:bCs/>
                <w:color w:val="000000" w:themeColor="text1"/>
              </w:rPr>
              <w:t xml:space="preserve">. </w:t>
            </w:r>
            <w:r w:rsidR="00DE0C66">
              <w:rPr>
                <w:rFonts w:eastAsiaTheme="majorEastAsia"/>
                <w:color w:val="000000" w:themeColor="text1"/>
                <w:kern w:val="24"/>
                <w:lang w:eastAsia="zh-CN"/>
              </w:rPr>
              <w:t>Survival curves of patients following versus not following model recommendations using</w:t>
            </w:r>
            <w:r w:rsidR="00DE0C66" w:rsidRPr="0015421C">
              <w:rPr>
                <w:rFonts w:eastAsiaTheme="majorEastAsia"/>
                <w:color w:val="000000" w:themeColor="text1"/>
                <w:kern w:val="24"/>
                <w:lang w:eastAsia="zh-CN"/>
              </w:rPr>
              <w:t xml:space="preserve"> </w:t>
            </w:r>
            <w:r>
              <w:rPr>
                <w:rFonts w:eastAsiaTheme="majorEastAsia"/>
                <w:color w:val="000000" w:themeColor="text1"/>
                <w:kern w:val="24"/>
                <w:lang w:eastAsia="zh-CN"/>
              </w:rPr>
              <w:t>Random Survival Forest</w:t>
            </w:r>
            <w:r w:rsidR="00D07A23">
              <w:rPr>
                <w:rFonts w:eastAsiaTheme="majorEastAsia"/>
                <w:color w:val="000000" w:themeColor="text1"/>
                <w:kern w:val="24"/>
                <w:lang w:eastAsia="zh-CN"/>
              </w:rPr>
              <w:t>s</w:t>
            </w:r>
            <w:r w:rsidRPr="0015421C">
              <w:rPr>
                <w:rFonts w:eastAsiaTheme="majorEastAsia"/>
                <w:color w:val="000000" w:themeColor="text1"/>
                <w:kern w:val="24"/>
                <w:lang w:eastAsia="zh-CN"/>
              </w:rPr>
              <w:t xml:space="preserve"> </w:t>
            </w:r>
            <w:r>
              <w:rPr>
                <w:rFonts w:eastAsiaTheme="majorEastAsia"/>
                <w:color w:val="000000" w:themeColor="text1"/>
                <w:kern w:val="24"/>
                <w:lang w:eastAsia="zh-CN"/>
              </w:rPr>
              <w:t xml:space="preserve">with </w:t>
            </w:r>
            <w:r w:rsidRPr="0015421C">
              <w:rPr>
                <w:rFonts w:eastAsiaTheme="majorEastAsia"/>
                <w:color w:val="000000" w:themeColor="text1"/>
                <w:kern w:val="24"/>
                <w:lang w:eastAsia="zh-CN"/>
              </w:rPr>
              <w:t>Log-rank test.</w:t>
            </w:r>
          </w:p>
        </w:tc>
      </w:tr>
    </w:tbl>
    <w:p w14:paraId="08352AD3" w14:textId="77777777" w:rsidR="00D87B8E" w:rsidRDefault="00D87B8E" w:rsidP="00E81CD3">
      <w:pPr>
        <w:rPr>
          <w:rFonts w:ascii="Calibri" w:eastAsia="Malgun Gothic" w:hAnsi="Calibri" w:cs="Calibri"/>
          <w:lang w:eastAsia="ko-KR"/>
        </w:rPr>
      </w:pPr>
    </w:p>
    <w:p w14:paraId="1659390A" w14:textId="35296B23" w:rsidR="00AE2B3E" w:rsidRDefault="00AE2B3E" w:rsidP="00E81CD3">
      <w:pPr>
        <w:rPr>
          <w:rFonts w:ascii="Calibri" w:eastAsia="Malgun Gothic" w:hAnsi="Calibri" w:cs="Calibri"/>
          <w:lang w:eastAsia="ko-KR"/>
        </w:rPr>
      </w:pPr>
      <w:r>
        <w:rPr>
          <w:rFonts w:ascii="Calibri" w:eastAsia="Malgun Gothic" w:hAnsi="Calibri" w:cs="Calibri"/>
          <w:lang w:eastAsia="ko-KR"/>
        </w:rPr>
        <w:t xml:space="preserve">The results from RSF suggest that following the RSF model’s recommendations is associated with improved survival outcomes. </w:t>
      </w:r>
      <w:r w:rsidR="0006369E">
        <w:rPr>
          <w:rFonts w:ascii="Calibri" w:eastAsia="Malgun Gothic" w:hAnsi="Calibri" w:cs="Calibri"/>
          <w:lang w:eastAsia="ko-KR"/>
        </w:rPr>
        <w:t xml:space="preserve">In this paper, </w:t>
      </w:r>
      <w:r w:rsidR="00CD6814">
        <w:rPr>
          <w:rFonts w:ascii="Calibri" w:eastAsia="Malgun Gothic" w:hAnsi="Calibri" w:cs="Calibri"/>
          <w:lang w:eastAsia="ko-KR"/>
        </w:rPr>
        <w:t>further validation is conducted using a deep-learning survival network</w:t>
      </w:r>
      <w:r w:rsidR="00251442">
        <w:rPr>
          <w:rFonts w:ascii="Calibri" w:eastAsia="Malgun Gothic" w:hAnsi="Calibri" w:cs="Calibri"/>
          <w:lang w:eastAsia="ko-KR"/>
        </w:rPr>
        <w:t xml:space="preserve"> to confirm these results.</w:t>
      </w:r>
    </w:p>
    <w:p w14:paraId="7D76B13E" w14:textId="2A7E9CAA" w:rsidR="001C7DC6" w:rsidRDefault="008E1EC0" w:rsidP="002C3088">
      <w:pPr>
        <w:rPr>
          <w:rFonts w:eastAsia="Malgun Gothic"/>
          <w:lang w:eastAsia="ko-KR"/>
        </w:rPr>
      </w:pPr>
      <w:r>
        <w:rPr>
          <w:rFonts w:ascii="Calibri" w:eastAsia="Malgun Gothic" w:hAnsi="Calibri" w:cs="Calibri"/>
          <w:lang w:eastAsia="ko-KR"/>
        </w:rPr>
        <w:t xml:space="preserve">Our </w:t>
      </w:r>
      <w:r w:rsidR="00176182">
        <w:rPr>
          <w:rFonts w:ascii="Calibri" w:eastAsia="Malgun Gothic" w:hAnsi="Calibri" w:cs="Calibri"/>
          <w:lang w:eastAsia="ko-KR"/>
        </w:rPr>
        <w:t>third</w:t>
      </w:r>
      <w:r>
        <w:rPr>
          <w:rFonts w:ascii="Calibri" w:eastAsia="Malgun Gothic" w:hAnsi="Calibri" w:cs="Calibri"/>
          <w:lang w:eastAsia="ko-KR"/>
        </w:rPr>
        <w:t xml:space="preserve"> model was </w:t>
      </w:r>
      <w:proofErr w:type="spellStart"/>
      <w:r w:rsidR="00176182">
        <w:rPr>
          <w:rFonts w:ascii="Calibri" w:eastAsia="Malgun Gothic" w:hAnsi="Calibri" w:cs="Calibri"/>
          <w:lang w:eastAsia="ko-KR"/>
        </w:rPr>
        <w:t>DeepSurv</w:t>
      </w:r>
      <w:proofErr w:type="spellEnd"/>
      <w:r w:rsidR="00176182">
        <w:rPr>
          <w:rFonts w:ascii="Calibri" w:eastAsia="Malgun Gothic" w:hAnsi="Calibri" w:cs="Calibri"/>
          <w:lang w:eastAsia="ko-KR"/>
        </w:rPr>
        <w:t xml:space="preserve">. </w:t>
      </w:r>
      <w:r w:rsidR="00BB2FE9">
        <w:rPr>
          <w:rFonts w:eastAsia="Malgun Gothic"/>
          <w:lang w:eastAsia="ko-KR"/>
        </w:rPr>
        <w:t xml:space="preserve">In training phase with </w:t>
      </w:r>
      <w:r w:rsidR="00FC7220">
        <w:rPr>
          <w:rFonts w:eastAsia="Malgun Gothic"/>
          <w:lang w:eastAsia="ko-KR"/>
        </w:rPr>
        <w:t xml:space="preserve">train </w:t>
      </w:r>
      <w:r w:rsidR="00BB2FE9">
        <w:rPr>
          <w:rFonts w:eastAsia="Malgun Gothic"/>
          <w:lang w:eastAsia="ko-KR"/>
        </w:rPr>
        <w:t>dataset</w:t>
      </w:r>
      <w:r w:rsidR="00FC7220">
        <w:rPr>
          <w:rFonts w:eastAsia="Malgun Gothic"/>
          <w:lang w:eastAsia="ko-KR"/>
        </w:rPr>
        <w:t>s</w:t>
      </w:r>
      <w:r w:rsidR="00BB2FE9">
        <w:rPr>
          <w:rFonts w:eastAsia="Malgun Gothic"/>
          <w:lang w:eastAsia="ko-KR"/>
        </w:rPr>
        <w:t xml:space="preserve">, </w:t>
      </w:r>
      <w:r w:rsidR="00FC7220">
        <w:rPr>
          <w:rFonts w:eastAsia="Malgun Gothic"/>
          <w:lang w:eastAsia="ko-KR"/>
        </w:rPr>
        <w:t xml:space="preserve">hyperparameters were decided as </w:t>
      </w:r>
      <w:r w:rsidR="0058513E">
        <w:rPr>
          <w:rFonts w:eastAsia="Malgun Gothic"/>
          <w:lang w:eastAsia="ko-KR"/>
        </w:rPr>
        <w:t xml:space="preserve">follows: </w:t>
      </w:r>
      <w:r w:rsidR="0058513E" w:rsidRPr="0058513E">
        <w:rPr>
          <w:rFonts w:eastAsia="Malgun Gothic"/>
          <w:lang w:eastAsia="ko-KR"/>
        </w:rPr>
        <w:t>learning rate = 0.3, dropout = .5, learning rate decay = 1.0, L2 regularization = 2.46, L1 regularization = 4.14, batch norm = True, two hidden layers of sizes = [100, 50], standardize = True, and activation = SELU</w:t>
      </w:r>
      <w:r w:rsidR="0058513E">
        <w:rPr>
          <w:rFonts w:eastAsia="Malgun Gothic"/>
          <w:lang w:eastAsia="ko-KR"/>
        </w:rPr>
        <w:t>.</w:t>
      </w:r>
      <w:r w:rsidR="002C3088">
        <w:rPr>
          <w:rFonts w:eastAsia="Malgun Gothic"/>
          <w:lang w:eastAsia="ko-KR"/>
        </w:rPr>
        <w:t xml:space="preserve"> </w:t>
      </w:r>
      <w:proofErr w:type="gramStart"/>
      <w:r w:rsidR="002C3088">
        <w:rPr>
          <w:rFonts w:eastAsia="Malgun Gothic"/>
          <w:lang w:eastAsia="ko-KR"/>
        </w:rPr>
        <w:t>Thus</w:t>
      </w:r>
      <w:proofErr w:type="gramEnd"/>
      <w:r w:rsidR="002C3088">
        <w:rPr>
          <w:rFonts w:eastAsia="Malgun Gothic"/>
          <w:lang w:eastAsia="ko-KR"/>
        </w:rPr>
        <w:t xml:space="preserve"> we had </w:t>
      </w:r>
      <w:r w:rsidR="00C9351E" w:rsidRPr="00C9351E">
        <w:rPr>
          <w:rFonts w:eastAsia="Malgun Gothic"/>
          <w:lang w:eastAsia="ko-KR"/>
        </w:rPr>
        <w:t>1838 input neurons, two hidden layers of size 100 and 50, and one output layer</w:t>
      </w:r>
      <w:r w:rsidR="002C3088">
        <w:rPr>
          <w:rFonts w:eastAsia="Malgun Gothic"/>
          <w:lang w:eastAsia="ko-KR"/>
        </w:rPr>
        <w:t xml:space="preserve"> in the survival neural network</w:t>
      </w:r>
      <w:r w:rsidR="00C9351E" w:rsidRPr="00C9351E">
        <w:rPr>
          <w:rFonts w:eastAsia="Malgun Gothic"/>
          <w:lang w:eastAsia="ko-KR"/>
        </w:rPr>
        <w:t xml:space="preserve">. </w:t>
      </w:r>
    </w:p>
    <w:p w14:paraId="7740E678" w14:textId="686DDA72" w:rsidR="002B3E53" w:rsidRDefault="00B87582">
      <w:pPr>
        <w:rPr>
          <w:rFonts w:eastAsia="Malgun Gothic"/>
          <w:lang w:eastAsia="ko-KR"/>
        </w:rPr>
      </w:pPr>
      <w:proofErr w:type="spellStart"/>
      <w:r>
        <w:rPr>
          <w:rFonts w:eastAsia="Malgun Gothic"/>
          <w:lang w:eastAsia="ko-KR"/>
        </w:rPr>
        <w:t>DeepSurv</w:t>
      </w:r>
      <w:proofErr w:type="spellEnd"/>
      <w:r>
        <w:rPr>
          <w:rFonts w:eastAsia="Malgun Gothic"/>
          <w:lang w:eastAsia="ko-KR"/>
        </w:rPr>
        <w:t xml:space="preserve"> recommended </w:t>
      </w:r>
      <w:r w:rsidR="003A2C2B">
        <w:rPr>
          <w:rFonts w:eastAsia="Malgun Gothic"/>
          <w:lang w:eastAsia="ko-KR"/>
        </w:rPr>
        <w:t xml:space="preserve">1 patient to OBS category and 92 patients in ACT category in the training </w:t>
      </w:r>
      <w:proofErr w:type="gramStart"/>
      <w:r w:rsidR="003A2C2B">
        <w:rPr>
          <w:rFonts w:eastAsia="Malgun Gothic"/>
          <w:lang w:eastAsia="ko-KR"/>
        </w:rPr>
        <w:t>set</w:t>
      </w:r>
      <w:proofErr w:type="gramEnd"/>
      <w:r w:rsidR="003A2C2B">
        <w:rPr>
          <w:rFonts w:eastAsia="Malgun Gothic"/>
          <w:lang w:eastAsia="ko-KR"/>
        </w:rPr>
        <w:t xml:space="preserve">. </w:t>
      </w:r>
      <w:r w:rsidR="003C4A18">
        <w:rPr>
          <w:rFonts w:eastAsia="Malgun Gothic"/>
          <w:lang w:eastAsia="ko-KR"/>
        </w:rPr>
        <w:t xml:space="preserve">This resulted in </w:t>
      </w:r>
      <w:r w:rsidR="00E9418A" w:rsidRPr="00E9418A">
        <w:rPr>
          <w:rFonts w:eastAsia="Malgun Gothic"/>
          <w:lang w:eastAsia="ko-KR"/>
        </w:rPr>
        <w:t xml:space="preserve">56 patients who </w:t>
      </w:r>
      <w:proofErr w:type="gramStart"/>
      <w:r w:rsidR="003C4A18">
        <w:rPr>
          <w:rFonts w:eastAsia="Malgun Gothic"/>
          <w:lang w:eastAsia="ko-KR"/>
        </w:rPr>
        <w:t xml:space="preserve">actually </w:t>
      </w:r>
      <w:r w:rsidR="00E9418A" w:rsidRPr="00E9418A">
        <w:rPr>
          <w:rFonts w:eastAsia="Malgun Gothic"/>
          <w:lang w:eastAsia="ko-KR"/>
        </w:rPr>
        <w:t>followed</w:t>
      </w:r>
      <w:proofErr w:type="gramEnd"/>
      <w:r w:rsidR="00E9418A" w:rsidRPr="00E9418A">
        <w:rPr>
          <w:rFonts w:eastAsia="Malgun Gothic"/>
          <w:lang w:eastAsia="ko-KR"/>
        </w:rPr>
        <w:t xml:space="preserve"> the model</w:t>
      </w:r>
      <w:r w:rsidR="006034B7">
        <w:rPr>
          <w:rFonts w:eastAsia="Malgun Gothic"/>
          <w:lang w:eastAsia="ko-KR"/>
        </w:rPr>
        <w:t>’s</w:t>
      </w:r>
      <w:r w:rsidR="00E9418A" w:rsidRPr="00E9418A">
        <w:rPr>
          <w:rFonts w:eastAsia="Malgun Gothic"/>
          <w:lang w:eastAsia="ko-KR"/>
        </w:rPr>
        <w:t xml:space="preserve"> recommendation</w:t>
      </w:r>
      <w:r w:rsidR="006034B7">
        <w:rPr>
          <w:rFonts w:eastAsia="Malgun Gothic"/>
          <w:lang w:eastAsia="ko-KR"/>
        </w:rPr>
        <w:t xml:space="preserve"> (either ACT or OBS)</w:t>
      </w:r>
      <w:r w:rsidR="00E9418A" w:rsidRPr="00E9418A">
        <w:rPr>
          <w:rFonts w:eastAsia="Malgun Gothic"/>
          <w:lang w:eastAsia="ko-KR"/>
        </w:rPr>
        <w:t xml:space="preserve"> and 37 </w:t>
      </w:r>
      <w:r w:rsidR="003C4A18">
        <w:rPr>
          <w:rFonts w:eastAsia="Malgun Gothic"/>
          <w:lang w:eastAsia="ko-KR"/>
        </w:rPr>
        <w:t>who</w:t>
      </w:r>
      <w:r w:rsidR="00E9418A" w:rsidRPr="00E9418A">
        <w:rPr>
          <w:rFonts w:eastAsia="Malgun Gothic"/>
          <w:lang w:eastAsia="ko-KR"/>
        </w:rPr>
        <w:t xml:space="preserve"> did not. Similarly</w:t>
      </w:r>
      <w:r w:rsidR="003C4A18">
        <w:rPr>
          <w:rFonts w:eastAsia="Malgun Gothic"/>
          <w:lang w:eastAsia="ko-KR"/>
        </w:rPr>
        <w:t>,</w:t>
      </w:r>
      <w:r w:rsidR="00E9418A" w:rsidRPr="00E9418A">
        <w:rPr>
          <w:rFonts w:eastAsia="Malgun Gothic"/>
          <w:lang w:eastAsia="ko-KR"/>
        </w:rPr>
        <w:t xml:space="preserve"> for the test set, 2 patients were recommended to the </w:t>
      </w:r>
      <w:r w:rsidR="003C4A18">
        <w:rPr>
          <w:rFonts w:eastAsia="Malgun Gothic"/>
          <w:lang w:eastAsia="ko-KR"/>
        </w:rPr>
        <w:t>OBS</w:t>
      </w:r>
      <w:r w:rsidR="00E9418A" w:rsidRPr="00E9418A">
        <w:rPr>
          <w:rFonts w:eastAsia="Malgun Gothic"/>
          <w:lang w:eastAsia="ko-KR"/>
        </w:rPr>
        <w:t xml:space="preserve"> group, whereas 29 patients were recommended to the </w:t>
      </w:r>
      <w:r w:rsidR="003C4A18">
        <w:rPr>
          <w:rFonts w:eastAsia="Malgun Gothic"/>
          <w:lang w:eastAsia="ko-KR"/>
        </w:rPr>
        <w:t>ACT</w:t>
      </w:r>
      <w:r w:rsidR="00E9418A" w:rsidRPr="00E9418A">
        <w:rPr>
          <w:rFonts w:eastAsia="Malgun Gothic"/>
          <w:lang w:eastAsia="ko-KR"/>
        </w:rPr>
        <w:t xml:space="preserve"> group. Among the test set, 16 patients </w:t>
      </w:r>
      <w:proofErr w:type="gramStart"/>
      <w:r w:rsidR="003C4A18">
        <w:rPr>
          <w:rFonts w:eastAsia="Malgun Gothic"/>
          <w:lang w:eastAsia="ko-KR"/>
        </w:rPr>
        <w:t xml:space="preserve">actually </w:t>
      </w:r>
      <w:r w:rsidR="00E9418A" w:rsidRPr="00E9418A">
        <w:rPr>
          <w:rFonts w:eastAsia="Malgun Gothic"/>
          <w:lang w:eastAsia="ko-KR"/>
        </w:rPr>
        <w:t>followed</w:t>
      </w:r>
      <w:proofErr w:type="gramEnd"/>
      <w:r w:rsidR="003C4A18">
        <w:rPr>
          <w:rFonts w:eastAsia="Malgun Gothic"/>
          <w:lang w:eastAsia="ko-KR"/>
        </w:rPr>
        <w:t xml:space="preserve"> the model’s recommendation</w:t>
      </w:r>
      <w:r w:rsidR="00E9418A" w:rsidRPr="00E9418A">
        <w:rPr>
          <w:rFonts w:eastAsia="Malgun Gothic"/>
          <w:lang w:eastAsia="ko-KR"/>
        </w:rPr>
        <w:t xml:space="preserve">, and 15 patients did not follow. </w:t>
      </w:r>
      <w:r w:rsidR="006B2C24">
        <w:rPr>
          <w:rFonts w:eastAsia="Malgun Gothic"/>
          <w:lang w:eastAsia="ko-KR"/>
        </w:rPr>
        <w:t xml:space="preserve">The C-index for </w:t>
      </w:r>
      <w:proofErr w:type="spellStart"/>
      <w:r w:rsidR="006B2C24">
        <w:rPr>
          <w:rFonts w:eastAsia="Malgun Gothic"/>
          <w:lang w:eastAsia="ko-KR"/>
        </w:rPr>
        <w:t>DeepSurv</w:t>
      </w:r>
      <w:proofErr w:type="spellEnd"/>
      <w:r w:rsidR="006B2C24">
        <w:rPr>
          <w:rFonts w:eastAsia="Malgun Gothic"/>
          <w:lang w:eastAsia="ko-KR"/>
        </w:rPr>
        <w:t xml:space="preserve"> was .</w:t>
      </w:r>
      <w:r w:rsidR="00E9418A" w:rsidRPr="00E9418A">
        <w:rPr>
          <w:rFonts w:eastAsia="Malgun Gothic"/>
          <w:lang w:eastAsia="ko-KR"/>
        </w:rPr>
        <w:t>9</w:t>
      </w:r>
      <w:r w:rsidR="00B15C91">
        <w:rPr>
          <w:rFonts w:eastAsia="Malgun Gothic"/>
          <w:lang w:eastAsia="ko-KR"/>
        </w:rPr>
        <w:t>90</w:t>
      </w:r>
      <w:r w:rsidR="006B2C24">
        <w:rPr>
          <w:rFonts w:eastAsia="Malgun Gothic"/>
          <w:lang w:eastAsia="ko-KR"/>
        </w:rPr>
        <w:t xml:space="preserve"> in the training data</w:t>
      </w:r>
      <w:r w:rsidR="00E9418A" w:rsidRPr="00E9418A">
        <w:rPr>
          <w:rFonts w:eastAsia="Malgun Gothic"/>
          <w:lang w:eastAsia="ko-KR"/>
        </w:rPr>
        <w:t xml:space="preserve"> and </w:t>
      </w:r>
      <w:r w:rsidR="006B2C24">
        <w:rPr>
          <w:rFonts w:eastAsia="Malgun Gothic"/>
          <w:lang w:eastAsia="ko-KR"/>
        </w:rPr>
        <w:t>.</w:t>
      </w:r>
      <w:r w:rsidR="00E9418A" w:rsidRPr="00E9418A">
        <w:rPr>
          <w:rFonts w:eastAsia="Malgun Gothic"/>
          <w:lang w:eastAsia="ko-KR"/>
        </w:rPr>
        <w:t>9</w:t>
      </w:r>
      <w:r w:rsidR="00B15C91">
        <w:rPr>
          <w:rFonts w:eastAsia="Malgun Gothic"/>
          <w:lang w:eastAsia="ko-KR"/>
        </w:rPr>
        <w:t>82</w:t>
      </w:r>
      <w:r w:rsidR="006B2C24">
        <w:rPr>
          <w:rFonts w:eastAsia="Malgun Gothic"/>
          <w:lang w:eastAsia="ko-KR"/>
        </w:rPr>
        <w:t xml:space="preserve"> for the test data.</w:t>
      </w:r>
    </w:p>
    <w:p w14:paraId="6AA2C4E8" w14:textId="4B348E63" w:rsidR="0027652A" w:rsidRDefault="00B51C56">
      <w:pPr>
        <w:rPr>
          <w:rFonts w:eastAsia="Malgun Gothic"/>
          <w:lang w:eastAsia="ko-KR"/>
        </w:rPr>
      </w:pPr>
      <w:commentRangeStart w:id="28"/>
      <w:r>
        <w:rPr>
          <w:rFonts w:eastAsia="Malgun Gothic"/>
          <w:lang w:eastAsia="ko-KR"/>
        </w:rPr>
        <w:t>Figure 4</w:t>
      </w:r>
      <w:commentRangeEnd w:id="28"/>
      <w:r w:rsidR="00683D72">
        <w:rPr>
          <w:rStyle w:val="CommentReference"/>
          <w:rFonts w:eastAsiaTheme="minorHAnsi"/>
          <w:kern w:val="0"/>
          <w:lang w:eastAsia="en-US"/>
          <w14:ligatures w14:val="none"/>
        </w:rPr>
        <w:commentReference w:id="28"/>
      </w:r>
      <w:r w:rsidR="006246DB">
        <w:rPr>
          <w:rFonts w:eastAsia="Malgun Gothic"/>
          <w:lang w:eastAsia="ko-KR"/>
        </w:rPr>
        <w:t xml:space="preserve"> presents the survival curves </w:t>
      </w:r>
      <w:r w:rsidR="0027652A">
        <w:rPr>
          <w:rFonts w:eastAsia="Malgun Gothic"/>
          <w:lang w:eastAsia="ko-KR"/>
        </w:rPr>
        <w:t>generated using</w:t>
      </w:r>
      <w:r w:rsidR="006246DB">
        <w:rPr>
          <w:rFonts w:eastAsia="Malgun Gothic"/>
          <w:lang w:eastAsia="ko-KR"/>
        </w:rPr>
        <w:t xml:space="preserve"> the </w:t>
      </w:r>
      <w:proofErr w:type="spellStart"/>
      <w:r w:rsidR="006246DB">
        <w:rPr>
          <w:rFonts w:eastAsia="Malgun Gothic"/>
          <w:lang w:eastAsia="ko-KR"/>
        </w:rPr>
        <w:t>DeepSurv</w:t>
      </w:r>
      <w:proofErr w:type="spellEnd"/>
      <w:r w:rsidR="006246DB">
        <w:rPr>
          <w:rFonts w:eastAsia="Malgun Gothic"/>
          <w:lang w:eastAsia="ko-KR"/>
        </w:rPr>
        <w:t xml:space="preserve"> model</w:t>
      </w:r>
      <w:r w:rsidR="00F37873">
        <w:rPr>
          <w:rFonts w:eastAsia="Malgun Gothic"/>
          <w:lang w:eastAsia="ko-KR"/>
        </w:rPr>
        <w:t xml:space="preserve">, comparing the survival probabilities of patients who followed </w:t>
      </w:r>
      <w:r w:rsidR="00520137">
        <w:rPr>
          <w:rFonts w:eastAsia="Malgun Gothic"/>
          <w:lang w:eastAsia="ko-KR"/>
        </w:rPr>
        <w:t>(</w:t>
      </w:r>
      <w:r w:rsidR="001E54DA">
        <w:rPr>
          <w:rFonts w:eastAsia="Malgun Gothic"/>
          <w:lang w:eastAsia="ko-KR"/>
        </w:rPr>
        <w:t xml:space="preserve">solid line) </w:t>
      </w:r>
      <w:r w:rsidR="00F37873">
        <w:rPr>
          <w:rFonts w:eastAsia="Malgun Gothic"/>
          <w:lang w:eastAsia="ko-KR"/>
        </w:rPr>
        <w:t>versus did not follow</w:t>
      </w:r>
      <w:r w:rsidR="001E54DA">
        <w:rPr>
          <w:rFonts w:eastAsia="Malgun Gothic"/>
          <w:lang w:eastAsia="ko-KR"/>
        </w:rPr>
        <w:t xml:space="preserve"> (dashed line)</w:t>
      </w:r>
      <w:r w:rsidR="00F37873">
        <w:rPr>
          <w:rFonts w:eastAsia="Malgun Gothic"/>
          <w:lang w:eastAsia="ko-KR"/>
        </w:rPr>
        <w:t xml:space="preserve"> the model’s</w:t>
      </w:r>
      <w:r w:rsidR="001E54DA">
        <w:rPr>
          <w:rFonts w:eastAsia="Malgun Gothic"/>
          <w:lang w:eastAsia="ko-KR"/>
        </w:rPr>
        <w:t xml:space="preserve"> </w:t>
      </w:r>
      <w:r w:rsidR="001E54DA">
        <w:rPr>
          <w:rFonts w:eastAsia="Malgun Gothic"/>
          <w:lang w:eastAsia="ko-KR"/>
        </w:rPr>
        <w:lastRenderedPageBreak/>
        <w:t>treatment</w:t>
      </w:r>
      <w:r w:rsidR="00F37873">
        <w:rPr>
          <w:rFonts w:eastAsia="Malgun Gothic"/>
          <w:lang w:eastAsia="ko-KR"/>
        </w:rPr>
        <w:t xml:space="preserve"> recommendations.</w:t>
      </w:r>
      <w:r w:rsidR="00BF46EF">
        <w:rPr>
          <w:rFonts w:eastAsia="Malgun Gothic"/>
          <w:lang w:eastAsia="ko-KR"/>
        </w:rPr>
        <w:t xml:space="preserve"> The </w:t>
      </w:r>
      <w:r w:rsidR="0027652A">
        <w:rPr>
          <w:rFonts w:eastAsia="Malgun Gothic"/>
          <w:lang w:eastAsia="ko-KR"/>
        </w:rPr>
        <w:t>survival curves for the Followed and Not-Followed groups show minimal separation</w:t>
      </w:r>
      <w:r w:rsidR="00831D45">
        <w:rPr>
          <w:rFonts w:eastAsia="Malgun Gothic"/>
          <w:lang w:eastAsia="ko-KR"/>
        </w:rPr>
        <w:t xml:space="preserve">. The median survival time was estimated to 13.4 years </w:t>
      </w:r>
    </w:p>
    <w:p w14:paraId="6FCAE3DD" w14:textId="0A36929A" w:rsidR="006B2C24" w:rsidRDefault="00BF46EF">
      <w:pPr>
        <w:rPr>
          <w:rFonts w:eastAsia="Malgun Gothic"/>
          <w:lang w:eastAsia="ko-KR"/>
        </w:rPr>
      </w:pPr>
      <w:r>
        <w:rPr>
          <w:rFonts w:eastAsia="Malgun Gothic"/>
          <w:lang w:eastAsia="ko-KR"/>
        </w:rPr>
        <w:t xml:space="preserve">“Followed” group (solid line) initially shows </w:t>
      </w:r>
      <w:r w:rsidR="005552A7">
        <w:rPr>
          <w:rFonts w:eastAsia="Malgun Gothic"/>
          <w:lang w:eastAsia="ko-KR"/>
        </w:rPr>
        <w:t xml:space="preserve">slightly better survival than the “Not-Followed” group (dashed line) but eventually converges </w:t>
      </w:r>
      <w:r w:rsidR="00B8617D">
        <w:rPr>
          <w:rFonts w:eastAsia="Malgun Gothic"/>
          <w:lang w:eastAsia="ko-KR"/>
        </w:rPr>
        <w:t xml:space="preserve">near the end. Even though the trend </w:t>
      </w:r>
      <w:r w:rsidR="00D60E81">
        <w:rPr>
          <w:rFonts w:eastAsia="Malgun Gothic"/>
          <w:lang w:eastAsia="ko-KR"/>
        </w:rPr>
        <w:t xml:space="preserve">is </w:t>
      </w:r>
      <w:proofErr w:type="gramStart"/>
      <w:r w:rsidR="00D60E81">
        <w:rPr>
          <w:rFonts w:eastAsia="Malgun Gothic"/>
          <w:lang w:eastAsia="ko-KR"/>
        </w:rPr>
        <w:t>similar to</w:t>
      </w:r>
      <w:proofErr w:type="gramEnd"/>
      <w:r w:rsidR="00D60E81">
        <w:rPr>
          <w:rFonts w:eastAsia="Malgun Gothic"/>
          <w:lang w:eastAsia="ko-KR"/>
        </w:rPr>
        <w:t xml:space="preserve"> RSF </w:t>
      </w:r>
      <w:proofErr w:type="gramStart"/>
      <w:r w:rsidR="00D60E81">
        <w:rPr>
          <w:rFonts w:eastAsia="Malgun Gothic"/>
          <w:lang w:eastAsia="ko-KR"/>
        </w:rPr>
        <w:t>results, but</w:t>
      </w:r>
      <w:proofErr w:type="gramEnd"/>
      <w:r w:rsidR="00D60E81">
        <w:rPr>
          <w:rFonts w:eastAsia="Malgun Gothic"/>
          <w:lang w:eastAsia="ko-KR"/>
        </w:rPr>
        <w:t xml:space="preserve"> the separation between the two groups is less pronounced than in the RSF model.</w:t>
      </w:r>
      <w:r w:rsidR="00AD72CF">
        <w:rPr>
          <w:rFonts w:eastAsia="Malgun Gothic"/>
          <w:lang w:eastAsia="ko-KR"/>
        </w:rPr>
        <w:t xml:space="preserve"> The median survival time in this model</w:t>
      </w:r>
      <w:r w:rsidR="00C531CA">
        <w:rPr>
          <w:rFonts w:eastAsia="Malgun Gothic"/>
          <w:lang w:eastAsia="ko-KR"/>
        </w:rPr>
        <w:t xml:space="preserve"> is estimated to </w:t>
      </w:r>
      <w:proofErr w:type="gramStart"/>
      <w:r w:rsidR="00C531CA">
        <w:rPr>
          <w:rFonts w:eastAsia="Malgun Gothic"/>
          <w:lang w:eastAsia="ko-KR"/>
        </w:rPr>
        <w:t>10.9</w:t>
      </w:r>
      <w:proofErr w:type="gramEnd"/>
      <w:r w:rsidR="00C531CA">
        <w:rPr>
          <w:rFonts w:eastAsia="Malgun Gothic"/>
          <w:lang w:eastAsia="ko-KR"/>
        </w:rPr>
        <w:t xml:space="preserve"> years that is shorter than one from RSF model.</w:t>
      </w:r>
      <w:r w:rsidR="00682387">
        <w:rPr>
          <w:rFonts w:eastAsia="Malgun Gothic"/>
          <w:lang w:eastAsia="ko-KR"/>
        </w:rPr>
        <w:t xml:space="preserve"> </w:t>
      </w:r>
      <w:r w:rsidR="0078140C">
        <w:rPr>
          <w:rFonts w:eastAsia="Malgun Gothic"/>
          <w:lang w:eastAsia="ko-KR"/>
        </w:rPr>
        <w:t>The l</w:t>
      </w:r>
      <w:r w:rsidR="00682387">
        <w:rPr>
          <w:rFonts w:eastAsia="Malgun Gothic"/>
          <w:lang w:eastAsia="ko-KR"/>
        </w:rPr>
        <w:t>ack of significance</w:t>
      </w:r>
      <w:r w:rsidR="0078140C">
        <w:rPr>
          <w:rFonts w:eastAsia="Malgun Gothic"/>
          <w:lang w:eastAsia="ko-KR"/>
        </w:rPr>
        <w:t xml:space="preserve"> may be because by time 10, </w:t>
      </w:r>
      <w:r w:rsidR="000B1567">
        <w:rPr>
          <w:rFonts w:eastAsia="Malgun Gothic"/>
          <w:lang w:eastAsia="ko-KR"/>
        </w:rPr>
        <w:t>very few patients remain in either group, which may affect the reliability of estimates at later time points.</w:t>
      </w:r>
    </w:p>
    <w:tbl>
      <w:tblPr>
        <w:tblStyle w:val="TableGrid"/>
        <w:tblW w:w="0" w:type="auto"/>
        <w:tblLook w:val="04A0" w:firstRow="1" w:lastRow="0" w:firstColumn="1" w:lastColumn="0" w:noHBand="0" w:noVBand="1"/>
      </w:tblPr>
      <w:tblGrid>
        <w:gridCol w:w="8635"/>
      </w:tblGrid>
      <w:tr w:rsidR="00B86CB3" w14:paraId="1A38EC13" w14:textId="77777777" w:rsidTr="0008704A">
        <w:tc>
          <w:tcPr>
            <w:tcW w:w="8635" w:type="dxa"/>
          </w:tcPr>
          <w:p w14:paraId="53F9337C" w14:textId="0B1F6F43" w:rsidR="00B86CB3" w:rsidRDefault="008560FD">
            <w:pPr>
              <w:rPr>
                <w:rFonts w:eastAsia="Malgun Gothic"/>
                <w:lang w:eastAsia="ko-KR"/>
              </w:rPr>
            </w:pPr>
            <w:r>
              <w:rPr>
                <w:noProof/>
              </w:rPr>
              <mc:AlternateContent>
                <mc:Choice Requires="wps">
                  <w:drawing>
                    <wp:anchor distT="0" distB="0" distL="114300" distR="114300" simplePos="0" relativeHeight="251661312" behindDoc="0" locked="0" layoutInCell="1" allowOverlap="1" wp14:anchorId="3E084783" wp14:editId="5599A1AF">
                      <wp:simplePos x="0" y="0"/>
                      <wp:positionH relativeFrom="column">
                        <wp:posOffset>842645</wp:posOffset>
                      </wp:positionH>
                      <wp:positionV relativeFrom="paragraph">
                        <wp:posOffset>1568075</wp:posOffset>
                      </wp:positionV>
                      <wp:extent cx="660607" cy="264989"/>
                      <wp:effectExtent l="0" t="0" r="6350" b="1905"/>
                      <wp:wrapNone/>
                      <wp:docPr id="1847914471" name="Text Box 1"/>
                      <wp:cNvGraphicFramePr/>
                      <a:graphic xmlns:a="http://schemas.openxmlformats.org/drawingml/2006/main">
                        <a:graphicData uri="http://schemas.microsoft.com/office/word/2010/wordprocessingShape">
                          <wps:wsp>
                            <wps:cNvSpPr txBox="1"/>
                            <wps:spPr>
                              <a:xfrm>
                                <a:off x="0" y="0"/>
                                <a:ext cx="660607" cy="264989"/>
                              </a:xfrm>
                              <a:prstGeom prst="rect">
                                <a:avLst/>
                              </a:prstGeom>
                              <a:solidFill>
                                <a:schemeClr val="lt1"/>
                              </a:solidFill>
                              <a:ln w="6350">
                                <a:noFill/>
                              </a:ln>
                            </wps:spPr>
                            <wps:txbx>
                              <w:txbxContent>
                                <w:p w14:paraId="383F5971" w14:textId="77777777" w:rsidR="008560FD" w:rsidRDefault="008560FD" w:rsidP="008560FD">
                                  <m:oMath>
                                    <m:r>
                                      <w:rPr>
                                        <w:rFonts w:ascii="Cambria Math" w:hAnsi="Cambria Math"/>
                                      </w:rPr>
                                      <m:t>p&gt;.2</m:t>
                                    </m:r>
                                  </m:oMath>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84783" id="_x0000_s1027" type="#_x0000_t202" style="position:absolute;margin-left:66.35pt;margin-top:123.45pt;width:52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" fillcolor="white [3201]" stroked="f" strokeweight=".5pt">
                      <v:textbox>
                        <w:txbxContent>
                          <w:p w14:paraId="383F5971" w14:textId="77777777" w:rsidR="008560FD" w:rsidRDefault="008560FD" w:rsidP="008560FD">
                            <m:oMath>
                              <m:r>
                                <w:rPr>
                                  <w:rFonts w:ascii="Cambria Math" w:hAnsi="Cambria Math"/>
                                </w:rPr>
                                <m:t>p&gt;.2</m:t>
                              </m:r>
                            </m:oMath>
                            <w:r>
                              <w:t>0</w:t>
                            </w:r>
                          </w:p>
                        </w:txbxContent>
                      </v:textbox>
                    </v:shape>
                  </w:pict>
                </mc:Fallback>
              </mc:AlternateContent>
            </w:r>
            <w:r w:rsidR="00E44B94" w:rsidRPr="00023ECA">
              <w:rPr>
                <w:noProof/>
              </w:rPr>
              <w:drawing>
                <wp:inline distT="0" distB="0" distL="0" distR="0" wp14:anchorId="46B18ED1" wp14:editId="7CB0DAD4">
                  <wp:extent cx="4418488" cy="3085816"/>
                  <wp:effectExtent l="0" t="0" r="1270" b="635"/>
                  <wp:docPr id="2122792063" name="Picture 6" descr="A graph with numbers and lines&#10;&#10;Description automatically generated">
                    <a:extLst xmlns:a="http://schemas.openxmlformats.org/drawingml/2006/main">
                      <a:ext uri="{FF2B5EF4-FFF2-40B4-BE49-F238E27FC236}">
                        <a16:creationId xmlns:a16="http://schemas.microsoft.com/office/drawing/2014/main" id="{41C80D10-B32D-7E68-0378-ADB21F788E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numbers and lines&#10;&#10;Description automatically generated">
                            <a:extLst>
                              <a:ext uri="{FF2B5EF4-FFF2-40B4-BE49-F238E27FC236}">
                                <a16:creationId xmlns:a16="http://schemas.microsoft.com/office/drawing/2014/main" id="{41C80D10-B32D-7E68-0378-ADB21F788EE6}"/>
                              </a:ext>
                            </a:extLst>
                          </pic:cNvPr>
                          <pic:cNvPicPr>
                            <a:picLocks noChangeAspect="1"/>
                          </pic:cNvPicPr>
                        </pic:nvPicPr>
                        <pic:blipFill>
                          <a:blip r:embed="rId14"/>
                          <a:stretch>
                            <a:fillRect/>
                          </a:stretch>
                        </pic:blipFill>
                        <pic:spPr>
                          <a:xfrm>
                            <a:off x="0" y="0"/>
                            <a:ext cx="4422062" cy="3088312"/>
                          </a:xfrm>
                          <a:prstGeom prst="rect">
                            <a:avLst/>
                          </a:prstGeom>
                        </pic:spPr>
                      </pic:pic>
                    </a:graphicData>
                  </a:graphic>
                </wp:inline>
              </w:drawing>
            </w:r>
          </w:p>
        </w:tc>
      </w:tr>
      <w:tr w:rsidR="00B86CB3" w14:paraId="6F6B036D" w14:textId="77777777" w:rsidTr="0008704A">
        <w:tc>
          <w:tcPr>
            <w:tcW w:w="8635" w:type="dxa"/>
          </w:tcPr>
          <w:p w14:paraId="14C54815" w14:textId="1E244C9C" w:rsidR="00B86CB3" w:rsidRDefault="0096221C">
            <w:pPr>
              <w:rPr>
                <w:rFonts w:eastAsia="Malgun Gothic"/>
                <w:lang w:eastAsia="ko-KR"/>
              </w:rPr>
            </w:pPr>
            <w:r w:rsidRPr="001D21FD">
              <w:rPr>
                <w:b/>
                <w:bCs/>
                <w:color w:val="000000" w:themeColor="text1"/>
              </w:rPr>
              <w:t xml:space="preserve">FIGURE </w:t>
            </w:r>
            <w:r>
              <w:rPr>
                <w:b/>
                <w:bCs/>
                <w:color w:val="000000" w:themeColor="text1"/>
              </w:rPr>
              <w:t>4</w:t>
            </w:r>
            <w:r w:rsidRPr="001D21FD">
              <w:rPr>
                <w:b/>
                <w:bCs/>
                <w:color w:val="000000" w:themeColor="text1"/>
              </w:rPr>
              <w:t xml:space="preserve">. </w:t>
            </w:r>
            <w:r w:rsidR="00967BD2">
              <w:rPr>
                <w:rFonts w:eastAsiaTheme="majorEastAsia"/>
                <w:color w:val="000000" w:themeColor="text1"/>
                <w:kern w:val="24"/>
                <w:lang w:eastAsia="zh-CN"/>
              </w:rPr>
              <w:t>Survival curves of patients following versus not following model recommendations using</w:t>
            </w:r>
            <w:r w:rsidRPr="0015421C">
              <w:rPr>
                <w:rFonts w:eastAsiaTheme="majorEastAsia"/>
                <w:color w:val="000000" w:themeColor="text1"/>
                <w:kern w:val="24"/>
                <w:lang w:eastAsia="zh-CN"/>
              </w:rPr>
              <w:t xml:space="preserve"> </w:t>
            </w:r>
            <w:proofErr w:type="spellStart"/>
            <w:r>
              <w:rPr>
                <w:rFonts w:eastAsiaTheme="majorEastAsia"/>
                <w:color w:val="000000" w:themeColor="text1"/>
                <w:kern w:val="24"/>
                <w:lang w:eastAsia="zh-CN"/>
              </w:rPr>
              <w:t>DeepSurv</w:t>
            </w:r>
            <w:proofErr w:type="spellEnd"/>
            <w:r w:rsidRPr="0015421C">
              <w:rPr>
                <w:rFonts w:eastAsiaTheme="majorEastAsia"/>
                <w:color w:val="000000" w:themeColor="text1"/>
                <w:kern w:val="24"/>
                <w:lang w:eastAsia="zh-CN"/>
              </w:rPr>
              <w:t xml:space="preserve"> </w:t>
            </w:r>
            <w:r>
              <w:rPr>
                <w:rFonts w:eastAsiaTheme="majorEastAsia"/>
                <w:color w:val="000000" w:themeColor="text1"/>
                <w:kern w:val="24"/>
                <w:lang w:eastAsia="zh-CN"/>
              </w:rPr>
              <w:t xml:space="preserve">with </w:t>
            </w:r>
            <w:r w:rsidRPr="0015421C">
              <w:rPr>
                <w:rFonts w:eastAsiaTheme="majorEastAsia"/>
                <w:color w:val="000000" w:themeColor="text1"/>
                <w:kern w:val="24"/>
                <w:lang w:eastAsia="zh-CN"/>
              </w:rPr>
              <w:t>Log-rank test.</w:t>
            </w:r>
          </w:p>
        </w:tc>
      </w:tr>
    </w:tbl>
    <w:p w14:paraId="74170496" w14:textId="3B169CFB" w:rsidR="00B86CB3" w:rsidRDefault="00B86CB3">
      <w:pPr>
        <w:rPr>
          <w:rFonts w:eastAsia="Malgun Gothic"/>
          <w:lang w:eastAsia="ko-KR"/>
        </w:rPr>
      </w:pPr>
    </w:p>
    <w:p w14:paraId="61BBA849" w14:textId="6CA82EFC" w:rsidR="00E375B1" w:rsidRPr="006B0A3E" w:rsidRDefault="00E375B1" w:rsidP="00E375B1">
      <w:pPr>
        <w:pStyle w:val="ListParagraph"/>
        <w:numPr>
          <w:ilvl w:val="0"/>
          <w:numId w:val="2"/>
        </w:numPr>
        <w:ind w:left="270" w:hanging="270"/>
        <w:rPr>
          <w:rFonts w:eastAsia="Malgun Gothic"/>
          <w:b/>
          <w:bCs/>
          <w:lang w:eastAsia="ko-KR"/>
        </w:rPr>
      </w:pPr>
      <w:r>
        <w:rPr>
          <w:rFonts w:eastAsia="Malgun Gothic"/>
          <w:b/>
          <w:bCs/>
          <w:lang w:eastAsia="ko-KR"/>
        </w:rPr>
        <w:t>Conclusion</w:t>
      </w:r>
    </w:p>
    <w:p w14:paraId="5BCEC2CD" w14:textId="05D9386B" w:rsidR="001401C4" w:rsidRDefault="00BC50A1">
      <w:pPr>
        <w:rPr>
          <w:rFonts w:eastAsia="Malgun Gothic"/>
          <w:lang w:eastAsia="ko-KR"/>
        </w:rPr>
      </w:pPr>
      <w:r>
        <w:rPr>
          <w:rFonts w:eastAsia="Malgun Gothic"/>
          <w:lang w:eastAsia="ko-KR"/>
        </w:rPr>
        <w:t>This study presents an advanced clinical decision support framework for optimizing adjuvant chemotherapy (ACT) treatment in non-small lung cancer (NSCLC) patients.</w:t>
      </w:r>
      <w:r w:rsidR="003B335D">
        <w:rPr>
          <w:rFonts w:eastAsia="Malgun Gothic"/>
          <w:lang w:eastAsia="ko-KR"/>
        </w:rPr>
        <w:t xml:space="preserve"> By integrating high-dimensional genomic data</w:t>
      </w:r>
      <w:r w:rsidR="00F0091D">
        <w:rPr>
          <w:rFonts w:eastAsia="Malgun Gothic"/>
          <w:lang w:eastAsia="ko-KR"/>
        </w:rPr>
        <w:t xml:space="preserve">sets </w:t>
      </w:r>
      <w:r w:rsidR="009562AA">
        <w:rPr>
          <w:rFonts w:eastAsia="Malgun Gothic"/>
          <w:lang w:eastAsia="ko-KR"/>
        </w:rPr>
        <w:t xml:space="preserve">with </w:t>
      </w:r>
      <w:r w:rsidR="00752325">
        <w:rPr>
          <w:rFonts w:eastAsia="Malgun Gothic"/>
          <w:lang w:eastAsia="ko-KR"/>
        </w:rPr>
        <w:t xml:space="preserve">advanced machine learning algorithms such as </w:t>
      </w:r>
      <w:r w:rsidR="009562AA">
        <w:rPr>
          <w:rFonts w:eastAsia="Malgun Gothic"/>
          <w:lang w:eastAsia="ko-KR"/>
        </w:rPr>
        <w:t>regularized Cox regression models, Random Survival Forests (RSF)</w:t>
      </w:r>
      <w:r w:rsidR="00DD6CCC">
        <w:rPr>
          <w:rFonts w:eastAsia="Malgun Gothic"/>
          <w:lang w:eastAsia="ko-KR"/>
        </w:rPr>
        <w:t>, and Deep Survival Networks (</w:t>
      </w:r>
      <w:proofErr w:type="spellStart"/>
      <w:r w:rsidR="00DD6CCC">
        <w:rPr>
          <w:rFonts w:eastAsia="Malgun Gothic"/>
          <w:lang w:eastAsia="ko-KR"/>
        </w:rPr>
        <w:t>DeepSurv</w:t>
      </w:r>
      <w:proofErr w:type="spellEnd"/>
      <w:r w:rsidR="00DD6CCC">
        <w:rPr>
          <w:rFonts w:eastAsia="Malgun Gothic"/>
          <w:lang w:eastAsia="ko-KR"/>
        </w:rPr>
        <w:t xml:space="preserve">), we have developed a robust and scalable predictive model for guiding personalized chemotherapy decisions. Our findings demonstrate that machine learning-driven survival analysis </w:t>
      </w:r>
      <w:r w:rsidR="009113D2">
        <w:rPr>
          <w:rFonts w:eastAsia="Malgun Gothic"/>
          <w:lang w:eastAsia="ko-KR"/>
        </w:rPr>
        <w:t xml:space="preserve">can accurately predict patient subgroups that are more likely to benefit from ACT, thereby minimizing unnecessary chemotherapy exposure while improving </w:t>
      </w:r>
      <w:r w:rsidR="003D1DA1">
        <w:rPr>
          <w:rFonts w:eastAsia="Malgun Gothic"/>
          <w:lang w:eastAsia="ko-KR"/>
        </w:rPr>
        <w:t>survival outcomes.</w:t>
      </w:r>
    </w:p>
    <w:p w14:paraId="43DD1C6C" w14:textId="22C8F812" w:rsidR="00227FD3" w:rsidRDefault="00F6414F">
      <w:pPr>
        <w:rPr>
          <w:rFonts w:eastAsia="Malgun Gothic"/>
          <w:lang w:eastAsia="ko-KR"/>
        </w:rPr>
      </w:pPr>
      <w:r>
        <w:rPr>
          <w:rFonts w:eastAsia="Malgun Gothic"/>
          <w:lang w:eastAsia="ko-KR"/>
        </w:rPr>
        <w:t xml:space="preserve">Through a systemic evaluation using multiple independent datasets from </w:t>
      </w:r>
      <w:r w:rsidRPr="00F0091D">
        <w:rPr>
          <w:rFonts w:eastAsia="Malgun Gothic"/>
          <w:lang w:eastAsia="ko-KR"/>
        </w:rPr>
        <w:t>the National Center for Biotechnology Information</w:t>
      </w:r>
      <w:r>
        <w:rPr>
          <w:rFonts w:eastAsia="Malgun Gothic"/>
          <w:lang w:eastAsia="ko-KR"/>
        </w:rPr>
        <w:t xml:space="preserve"> (NCBI)</w:t>
      </w:r>
      <w:r w:rsidR="00900C43">
        <w:rPr>
          <w:rFonts w:eastAsia="Malgun Gothic"/>
          <w:lang w:eastAsia="ko-KR"/>
        </w:rPr>
        <w:t>, we validated that our predictive models exhibit high discriminatory power (as measured by concordance index)</w:t>
      </w:r>
      <w:r w:rsidR="00A84048">
        <w:rPr>
          <w:rFonts w:eastAsia="Malgun Gothic"/>
          <w:lang w:eastAsia="ko-KR"/>
        </w:rPr>
        <w:t xml:space="preserve"> and can significantly enhance the precision of treatment recommendations. The survival analysis high</w:t>
      </w:r>
      <w:r w:rsidR="00091BB0">
        <w:rPr>
          <w:rFonts w:eastAsia="Malgun Gothic"/>
          <w:lang w:eastAsia="ko-KR"/>
        </w:rPr>
        <w:t>lights the clinical relevance of genomic biomarkers such as TTR, MTURN</w:t>
      </w:r>
      <w:r w:rsidR="00F72CD1">
        <w:rPr>
          <w:rFonts w:eastAsia="Malgun Gothic"/>
          <w:lang w:eastAsia="ko-KR"/>
        </w:rPr>
        <w:t xml:space="preserve"> and</w:t>
      </w:r>
      <w:r w:rsidR="00A37960">
        <w:rPr>
          <w:rFonts w:eastAsia="Malgun Gothic"/>
          <w:lang w:eastAsia="ko-KR"/>
        </w:rPr>
        <w:t xml:space="preserve"> ETV3</w:t>
      </w:r>
      <w:r w:rsidR="00C65506">
        <w:rPr>
          <w:rFonts w:eastAsia="Malgun Gothic"/>
          <w:lang w:eastAsia="ko-KR"/>
        </w:rPr>
        <w:t>, which emerged as key predictors of patient response to ACT. These biomarkers</w:t>
      </w:r>
      <w:r w:rsidR="00694A1B">
        <w:rPr>
          <w:rFonts w:eastAsia="Malgun Gothic"/>
          <w:lang w:eastAsia="ko-KR"/>
        </w:rPr>
        <w:t xml:space="preserve"> in </w:t>
      </w:r>
      <w:r w:rsidR="00694A1B">
        <w:rPr>
          <w:rFonts w:eastAsia="Malgun Gothic"/>
          <w:lang w:eastAsia="ko-KR"/>
        </w:rPr>
        <w:lastRenderedPageBreak/>
        <w:t xml:space="preserve">Table 2 warrant further </w:t>
      </w:r>
      <w:r w:rsidR="008125FC">
        <w:rPr>
          <w:rFonts w:eastAsia="Malgun Gothic"/>
          <w:lang w:eastAsia="ko-KR"/>
        </w:rPr>
        <w:t>investigation targets for biomarker-driven therapeutic strategies in lung cancer treatment.</w:t>
      </w:r>
      <w:r w:rsidR="00F72CD1">
        <w:rPr>
          <w:rFonts w:eastAsia="Malgun Gothic"/>
          <w:lang w:eastAsia="ko-KR"/>
        </w:rPr>
        <w:t xml:space="preserve"> </w:t>
      </w:r>
    </w:p>
    <w:p w14:paraId="118B0C1F" w14:textId="7DFAB3E5" w:rsidR="00B55A15" w:rsidRDefault="00192903">
      <w:pPr>
        <w:rPr>
          <w:rFonts w:eastAsia="Malgun Gothic"/>
          <w:lang w:eastAsia="ko-KR"/>
        </w:rPr>
      </w:pPr>
      <w:r>
        <w:rPr>
          <w:rFonts w:eastAsia="Malgun Gothic"/>
          <w:lang w:eastAsia="ko-KR"/>
        </w:rPr>
        <w:t xml:space="preserve">From a broader perspective, our study underscores the transformative potential of artificial intelligence (AI) in precision oncology. By </w:t>
      </w:r>
      <w:r w:rsidR="00E0018B">
        <w:rPr>
          <w:rFonts w:eastAsia="Malgun Gothic"/>
          <w:lang w:eastAsia="ko-KR"/>
        </w:rPr>
        <w:t>utilizing AI-driven approaches, clinicians can better stratify NSCLC patients based on genomic risk factors</w:t>
      </w:r>
      <w:r w:rsidR="00B24FF9">
        <w:rPr>
          <w:rFonts w:eastAsia="Malgun Gothic"/>
          <w:lang w:eastAsia="ko-KR"/>
        </w:rPr>
        <w:t>, ensuring that chemotherapy interventions are more targeted and clinically justified.</w:t>
      </w:r>
      <w:r w:rsidR="00DC6537">
        <w:rPr>
          <w:rFonts w:eastAsia="Malgun Gothic"/>
          <w:lang w:eastAsia="ko-KR"/>
        </w:rPr>
        <w:t xml:space="preserve"> This advancement has profound implications for reducing chemotherapy-related toxicity, improving patient quality of life, and optimizing healthcare resource allocation.</w:t>
      </w:r>
      <w:r w:rsidR="00433E67">
        <w:rPr>
          <w:rFonts w:eastAsia="Malgun Gothic"/>
          <w:lang w:eastAsia="ko-KR"/>
        </w:rPr>
        <w:t xml:space="preserve"> </w:t>
      </w:r>
      <w:r w:rsidR="00B55A15">
        <w:rPr>
          <w:rFonts w:eastAsia="Malgun Gothic"/>
          <w:lang w:eastAsia="ko-KR"/>
        </w:rPr>
        <w:t>Future research should focus on expanding the model’s applicability to larger, more diverse patient cohorts and integrating addition</w:t>
      </w:r>
      <w:r w:rsidR="0085193B">
        <w:rPr>
          <w:rFonts w:eastAsia="Malgun Gothic"/>
          <w:lang w:eastAsia="ko-KR"/>
        </w:rPr>
        <w:t>al multi-omics data to refine predictive accuracy further.</w:t>
      </w:r>
    </w:p>
    <w:p w14:paraId="6083E5AB" w14:textId="551F3B1E" w:rsidR="00B55A15" w:rsidRDefault="00433E67">
      <w:pPr>
        <w:rPr>
          <w:rFonts w:eastAsia="Malgun Gothic"/>
          <w:lang w:eastAsia="ko-KR"/>
        </w:rPr>
      </w:pPr>
      <w:r>
        <w:rPr>
          <w:rFonts w:eastAsia="Malgun Gothic"/>
          <w:lang w:eastAsia="ko-KR"/>
        </w:rPr>
        <w:t>In conclusion, this study provides a scientifically rigorous and clinically relevant framework for data-driven chemotherapy decision-making in NSCLC. Our work paves the way for future advancements in personalized lung cancer therapy, demonstrating the potential o</w:t>
      </w:r>
      <w:r w:rsidR="00F01BFD">
        <w:rPr>
          <w:rFonts w:eastAsia="Malgun Gothic"/>
          <w:lang w:eastAsia="ko-KR"/>
        </w:rPr>
        <w:t>f genomic-guided treatment selection to significantly improve survival rates and treatment efficacy in lung cancer patients.</w:t>
      </w:r>
    </w:p>
    <w:p w14:paraId="6CCB4D22" w14:textId="77777777" w:rsidR="00F01BFD" w:rsidRDefault="00F01BFD">
      <w:pPr>
        <w:rPr>
          <w:rFonts w:eastAsia="Malgun Gothic"/>
          <w:lang w:eastAsia="ko-KR"/>
        </w:rPr>
      </w:pPr>
    </w:p>
    <w:p w14:paraId="3926F709" w14:textId="77777777" w:rsidR="00943616" w:rsidRPr="000A51B3" w:rsidRDefault="00943616" w:rsidP="00943616">
      <w:pPr>
        <w:spacing w:line="480" w:lineRule="auto"/>
        <w:rPr>
          <w:b/>
          <w:bCs/>
        </w:rPr>
      </w:pPr>
      <w:r w:rsidRPr="000A51B3">
        <w:rPr>
          <w:b/>
          <w:bCs/>
        </w:rPr>
        <w:t>Declarations</w:t>
      </w:r>
    </w:p>
    <w:p w14:paraId="26DFE02C" w14:textId="77777777" w:rsidR="00943616" w:rsidRPr="000A51B3" w:rsidRDefault="00943616" w:rsidP="00943616">
      <w:pPr>
        <w:pStyle w:val="ListParagraph"/>
        <w:spacing w:line="480" w:lineRule="auto"/>
        <w:ind w:left="0"/>
        <w:jc w:val="both"/>
        <w:rPr>
          <w:b/>
          <w:bCs/>
        </w:rPr>
      </w:pPr>
      <w:r w:rsidRPr="000A51B3">
        <w:rPr>
          <w:b/>
          <w:bCs/>
        </w:rPr>
        <w:t>Ethics approval and consent to participate</w:t>
      </w:r>
    </w:p>
    <w:p w14:paraId="75A7D1E5" w14:textId="77777777" w:rsidR="00943616" w:rsidRPr="000A51B3" w:rsidRDefault="00943616" w:rsidP="00943616">
      <w:pPr>
        <w:pStyle w:val="ListParagraph"/>
        <w:spacing w:line="480" w:lineRule="auto"/>
        <w:ind w:left="0" w:firstLine="720"/>
        <w:jc w:val="both"/>
      </w:pPr>
      <w:r w:rsidRPr="000A51B3">
        <w:t>Not applicable.</w:t>
      </w:r>
    </w:p>
    <w:p w14:paraId="422C3D32" w14:textId="77777777" w:rsidR="00943616" w:rsidRPr="000A51B3" w:rsidRDefault="00943616" w:rsidP="00943616">
      <w:pPr>
        <w:pStyle w:val="ListParagraph"/>
        <w:spacing w:line="480" w:lineRule="auto"/>
        <w:ind w:left="0"/>
        <w:jc w:val="both"/>
        <w:rPr>
          <w:b/>
          <w:bCs/>
        </w:rPr>
      </w:pPr>
    </w:p>
    <w:p w14:paraId="36347C82" w14:textId="77777777" w:rsidR="00943616" w:rsidRPr="000A51B3" w:rsidRDefault="00943616" w:rsidP="00943616">
      <w:pPr>
        <w:pStyle w:val="ListParagraph"/>
        <w:spacing w:line="480" w:lineRule="auto"/>
        <w:ind w:left="0"/>
        <w:jc w:val="both"/>
        <w:rPr>
          <w:b/>
          <w:bCs/>
        </w:rPr>
      </w:pPr>
      <w:r w:rsidRPr="000A51B3">
        <w:rPr>
          <w:b/>
          <w:bCs/>
        </w:rPr>
        <w:t>Consent for publication</w:t>
      </w:r>
    </w:p>
    <w:p w14:paraId="16995CCC" w14:textId="77777777" w:rsidR="00943616" w:rsidRPr="000A51B3" w:rsidRDefault="00943616" w:rsidP="00943616">
      <w:pPr>
        <w:pStyle w:val="ListParagraph"/>
        <w:spacing w:line="480" w:lineRule="auto"/>
        <w:ind w:left="0" w:firstLine="720"/>
        <w:jc w:val="both"/>
      </w:pPr>
      <w:r w:rsidRPr="000A51B3">
        <w:t>Not applicable.</w:t>
      </w:r>
    </w:p>
    <w:p w14:paraId="1489C239" w14:textId="77777777" w:rsidR="00943616" w:rsidRPr="000A51B3" w:rsidRDefault="00943616" w:rsidP="00943616">
      <w:pPr>
        <w:pStyle w:val="ListParagraph"/>
        <w:spacing w:line="480" w:lineRule="auto"/>
        <w:ind w:left="0"/>
        <w:jc w:val="both"/>
        <w:rPr>
          <w:b/>
          <w:bCs/>
        </w:rPr>
      </w:pPr>
    </w:p>
    <w:p w14:paraId="03ECBC75" w14:textId="77777777" w:rsidR="00943616" w:rsidRPr="000A51B3" w:rsidRDefault="00943616" w:rsidP="00943616">
      <w:pPr>
        <w:pStyle w:val="ListParagraph"/>
        <w:spacing w:line="480" w:lineRule="auto"/>
        <w:ind w:left="0"/>
        <w:jc w:val="both"/>
        <w:rPr>
          <w:b/>
          <w:bCs/>
        </w:rPr>
      </w:pPr>
      <w:r w:rsidRPr="000A51B3">
        <w:rPr>
          <w:b/>
          <w:bCs/>
        </w:rPr>
        <w:t>Author contribution(s)</w:t>
      </w:r>
    </w:p>
    <w:p w14:paraId="2C068D60" w14:textId="77777777" w:rsidR="00943616" w:rsidRPr="000A51B3" w:rsidRDefault="00943616" w:rsidP="00943616">
      <w:pPr>
        <w:spacing w:line="480" w:lineRule="auto"/>
        <w:rPr>
          <w:rFonts w:cstheme="minorHAnsi"/>
        </w:rPr>
      </w:pPr>
      <w:r w:rsidRPr="000A51B3">
        <w:rPr>
          <w:b/>
          <w:bCs/>
        </w:rPr>
        <w:tab/>
      </w:r>
      <w:r w:rsidRPr="000A51B3">
        <w:rPr>
          <w:rFonts w:cstheme="minorHAnsi"/>
        </w:rPr>
        <w:t xml:space="preserve">Hojin Moon and Lauren Tran had full access to </w:t>
      </w:r>
      <w:proofErr w:type="gramStart"/>
      <w:r w:rsidRPr="000A51B3">
        <w:rPr>
          <w:rFonts w:cstheme="minorHAnsi"/>
        </w:rPr>
        <w:t>all of</w:t>
      </w:r>
      <w:proofErr w:type="gramEnd"/>
      <w:r w:rsidRPr="000A51B3">
        <w:rPr>
          <w:rFonts w:cstheme="minorHAnsi"/>
        </w:rPr>
        <w:t xml:space="preserve"> the data in the study and </w:t>
      </w:r>
      <w:proofErr w:type="gramStart"/>
      <w:r w:rsidRPr="000A51B3">
        <w:rPr>
          <w:rFonts w:cstheme="minorHAnsi"/>
        </w:rPr>
        <w:t>take</w:t>
      </w:r>
      <w:proofErr w:type="gramEnd"/>
      <w:r w:rsidRPr="000A51B3">
        <w:rPr>
          <w:rFonts w:cstheme="minorHAnsi"/>
        </w:rPr>
        <w:t xml:space="preserve"> responsibility for the integrity of the data and the accuracy of the data analysis. </w:t>
      </w:r>
    </w:p>
    <w:p w14:paraId="126A708C" w14:textId="77777777" w:rsidR="00943616" w:rsidRPr="000A51B3" w:rsidRDefault="00943616" w:rsidP="00943616">
      <w:pPr>
        <w:spacing w:line="480" w:lineRule="auto"/>
        <w:rPr>
          <w:rFonts w:cstheme="minorHAnsi"/>
          <w:i/>
          <w:iCs/>
        </w:rPr>
      </w:pPr>
      <w:r w:rsidRPr="000A51B3">
        <w:rPr>
          <w:rFonts w:cstheme="minorHAnsi"/>
          <w:i/>
          <w:iCs/>
        </w:rPr>
        <w:t xml:space="preserve">Concept and design: Moon and Tran. </w:t>
      </w:r>
    </w:p>
    <w:p w14:paraId="186C6814" w14:textId="77777777" w:rsidR="00943616" w:rsidRPr="000A51B3" w:rsidRDefault="00943616" w:rsidP="00943616">
      <w:pPr>
        <w:spacing w:line="480" w:lineRule="auto"/>
        <w:rPr>
          <w:rFonts w:cstheme="minorHAnsi"/>
          <w:i/>
          <w:iCs/>
        </w:rPr>
      </w:pPr>
      <w:r w:rsidRPr="000A51B3">
        <w:rPr>
          <w:rFonts w:cstheme="minorHAnsi"/>
          <w:i/>
          <w:iCs/>
        </w:rPr>
        <w:t xml:space="preserve">Acquisition, analysis or interpretation of data: All authors. </w:t>
      </w:r>
    </w:p>
    <w:p w14:paraId="11E18A1B" w14:textId="77777777" w:rsidR="00943616" w:rsidRPr="000A51B3" w:rsidRDefault="00943616" w:rsidP="00943616">
      <w:pPr>
        <w:spacing w:line="480" w:lineRule="auto"/>
        <w:rPr>
          <w:rFonts w:cstheme="minorHAnsi"/>
          <w:i/>
          <w:iCs/>
        </w:rPr>
      </w:pPr>
      <w:r w:rsidRPr="000A51B3">
        <w:rPr>
          <w:rFonts w:cstheme="minorHAnsi"/>
          <w:i/>
          <w:iCs/>
        </w:rPr>
        <w:t xml:space="preserve">Drafting of manuscript: Moon and Tran. </w:t>
      </w:r>
    </w:p>
    <w:p w14:paraId="147BE230" w14:textId="77777777" w:rsidR="00943616" w:rsidRPr="000A51B3" w:rsidRDefault="00943616" w:rsidP="00943616">
      <w:pPr>
        <w:spacing w:line="480" w:lineRule="auto"/>
        <w:rPr>
          <w:rFonts w:cstheme="minorHAnsi"/>
          <w:i/>
          <w:iCs/>
        </w:rPr>
      </w:pPr>
      <w:r w:rsidRPr="000A51B3">
        <w:rPr>
          <w:rFonts w:cstheme="minorHAnsi"/>
          <w:i/>
          <w:iCs/>
        </w:rPr>
        <w:t>Critical Review of the Manuscript for important intellectual content: Moon and Tran.</w:t>
      </w:r>
    </w:p>
    <w:p w14:paraId="6FA0FDA3" w14:textId="77777777" w:rsidR="00943616" w:rsidRPr="000A51B3" w:rsidRDefault="00943616" w:rsidP="00943616">
      <w:pPr>
        <w:spacing w:line="480" w:lineRule="auto"/>
        <w:rPr>
          <w:rFonts w:cstheme="minorHAnsi"/>
          <w:i/>
          <w:iCs/>
        </w:rPr>
      </w:pPr>
      <w:r w:rsidRPr="000A51B3">
        <w:rPr>
          <w:rFonts w:cstheme="minorHAnsi"/>
          <w:i/>
          <w:iCs/>
        </w:rPr>
        <w:lastRenderedPageBreak/>
        <w:t xml:space="preserve">Statistical analyses and Visualization: All authors. </w:t>
      </w:r>
    </w:p>
    <w:p w14:paraId="0E2F4AE2" w14:textId="77777777" w:rsidR="00943616" w:rsidRPr="000A51B3" w:rsidRDefault="00943616" w:rsidP="00943616">
      <w:pPr>
        <w:spacing w:line="480" w:lineRule="auto"/>
        <w:rPr>
          <w:rFonts w:cstheme="minorHAnsi"/>
          <w:i/>
          <w:iCs/>
        </w:rPr>
      </w:pPr>
      <w:r w:rsidRPr="000A51B3">
        <w:rPr>
          <w:rFonts w:cstheme="minorHAnsi"/>
          <w:i/>
          <w:iCs/>
        </w:rPr>
        <w:t xml:space="preserve">Administrative, technical, or material support: Moon </w:t>
      </w:r>
    </w:p>
    <w:p w14:paraId="47586C89" w14:textId="77777777" w:rsidR="00943616" w:rsidRPr="000A51B3" w:rsidRDefault="00943616" w:rsidP="00943616">
      <w:pPr>
        <w:spacing w:line="480" w:lineRule="auto"/>
        <w:rPr>
          <w:rFonts w:cstheme="minorHAnsi"/>
          <w:i/>
          <w:iCs/>
        </w:rPr>
      </w:pPr>
      <w:r w:rsidRPr="000A51B3">
        <w:rPr>
          <w:rFonts w:cstheme="minorHAnsi"/>
          <w:i/>
          <w:iCs/>
        </w:rPr>
        <w:t>Supervision: Moon</w:t>
      </w:r>
    </w:p>
    <w:p w14:paraId="26489299" w14:textId="77777777" w:rsidR="00943616" w:rsidRPr="000A51B3" w:rsidRDefault="00943616" w:rsidP="00943616">
      <w:pPr>
        <w:spacing w:line="480" w:lineRule="auto"/>
        <w:rPr>
          <w:rFonts w:cstheme="minorHAnsi"/>
        </w:rPr>
      </w:pPr>
      <w:r w:rsidRPr="000A51B3">
        <w:rPr>
          <w:rFonts w:cstheme="minorHAnsi"/>
        </w:rPr>
        <w:t>All authors have read and agreed to the published version of the manuscript.</w:t>
      </w:r>
    </w:p>
    <w:p w14:paraId="492CAE5B" w14:textId="77777777" w:rsidR="00943616" w:rsidRPr="000A51B3" w:rsidRDefault="00943616" w:rsidP="00943616">
      <w:pPr>
        <w:pStyle w:val="ListParagraph"/>
        <w:spacing w:line="480" w:lineRule="auto"/>
        <w:ind w:left="0"/>
        <w:jc w:val="both"/>
        <w:rPr>
          <w:b/>
          <w:bCs/>
        </w:rPr>
      </w:pPr>
    </w:p>
    <w:p w14:paraId="5229AA6E" w14:textId="77777777" w:rsidR="00943616" w:rsidRPr="000A51B3" w:rsidRDefault="00943616" w:rsidP="00943616">
      <w:pPr>
        <w:pStyle w:val="ListParagraph"/>
        <w:spacing w:line="480" w:lineRule="auto"/>
        <w:ind w:left="0"/>
        <w:rPr>
          <w:b/>
          <w:bCs/>
        </w:rPr>
      </w:pPr>
      <w:r w:rsidRPr="000A51B3">
        <w:rPr>
          <w:b/>
          <w:bCs/>
        </w:rPr>
        <w:t>Acknowledgments</w:t>
      </w:r>
    </w:p>
    <w:p w14:paraId="237C21D8" w14:textId="77777777" w:rsidR="00943616" w:rsidRPr="000A51B3" w:rsidRDefault="00943616" w:rsidP="00943616">
      <w:pPr>
        <w:autoSpaceDE w:val="0"/>
        <w:autoSpaceDN w:val="0"/>
        <w:adjustRightInd w:val="0"/>
        <w:spacing w:line="480" w:lineRule="auto"/>
        <w:ind w:firstLine="720"/>
        <w:jc w:val="both"/>
        <w:rPr>
          <w:rFonts w:ascii="TimesTen-Roman" w:hAnsi="TimesTen-Roman" w:cs="TimesTen-Roman"/>
        </w:rPr>
      </w:pPr>
      <w:r w:rsidRPr="000A51B3">
        <w:rPr>
          <w:rFonts w:ascii="TimesTen-Roman" w:hAnsi="TimesTen-Roman" w:cs="TimesTen-Roman"/>
        </w:rPr>
        <w:t>Hojin Moon’s research was partially supported by the Research, Scholarship, and Creative Activity (RSCA) Award from CSULB.</w:t>
      </w:r>
    </w:p>
    <w:p w14:paraId="6C2B13D0" w14:textId="77777777" w:rsidR="00943616" w:rsidRPr="000A51B3" w:rsidRDefault="00943616" w:rsidP="00943616">
      <w:pPr>
        <w:pStyle w:val="ListParagraph"/>
        <w:spacing w:line="480" w:lineRule="auto"/>
        <w:ind w:left="0"/>
        <w:jc w:val="both"/>
        <w:rPr>
          <w:b/>
          <w:bCs/>
        </w:rPr>
      </w:pPr>
    </w:p>
    <w:p w14:paraId="4BA4032E" w14:textId="77777777" w:rsidR="00943616" w:rsidRPr="000A51B3" w:rsidRDefault="00943616" w:rsidP="00943616">
      <w:pPr>
        <w:pStyle w:val="ListParagraph"/>
        <w:spacing w:line="480" w:lineRule="auto"/>
        <w:ind w:left="0"/>
        <w:rPr>
          <w:b/>
          <w:bCs/>
        </w:rPr>
      </w:pPr>
      <w:r w:rsidRPr="000A51B3">
        <w:rPr>
          <w:b/>
          <w:bCs/>
        </w:rPr>
        <w:t>Funding</w:t>
      </w:r>
    </w:p>
    <w:p w14:paraId="6E1AD5D9" w14:textId="77777777" w:rsidR="00943616" w:rsidRPr="000A51B3" w:rsidRDefault="00943616" w:rsidP="00943616">
      <w:pPr>
        <w:autoSpaceDE w:val="0"/>
        <w:autoSpaceDN w:val="0"/>
        <w:adjustRightInd w:val="0"/>
        <w:spacing w:line="480" w:lineRule="auto"/>
        <w:ind w:firstLine="720"/>
        <w:jc w:val="both"/>
        <w:rPr>
          <w:rFonts w:ascii="TimesTen-Roman" w:hAnsi="TimesTen-Roman" w:cs="TimesTen-Roman"/>
        </w:rPr>
      </w:pPr>
      <w:bookmarkStart w:id="29" w:name="_Hlk167034936"/>
      <w:r w:rsidRPr="000A51B3">
        <w:rPr>
          <w:rFonts w:ascii="TimesTen-Roman" w:hAnsi="TimesTen-Roman" w:cs="TimesTen-Roman"/>
        </w:rPr>
        <w:t>The author(s) received no financial support for the research, authorship, and/or publication of this article.</w:t>
      </w:r>
      <w:bookmarkEnd w:id="29"/>
    </w:p>
    <w:p w14:paraId="168AD361" w14:textId="77777777" w:rsidR="00943616" w:rsidRPr="000A51B3" w:rsidRDefault="00943616" w:rsidP="00943616">
      <w:pPr>
        <w:pStyle w:val="ListParagraph"/>
        <w:spacing w:line="480" w:lineRule="auto"/>
        <w:ind w:left="0"/>
        <w:jc w:val="both"/>
        <w:rPr>
          <w:b/>
          <w:bCs/>
        </w:rPr>
      </w:pPr>
    </w:p>
    <w:p w14:paraId="66DBF94B" w14:textId="77777777" w:rsidR="00943616" w:rsidRPr="000A51B3" w:rsidRDefault="00943616" w:rsidP="00943616">
      <w:pPr>
        <w:pStyle w:val="ListParagraph"/>
        <w:spacing w:line="480" w:lineRule="auto"/>
        <w:ind w:left="0"/>
        <w:jc w:val="both"/>
        <w:rPr>
          <w:b/>
          <w:bCs/>
        </w:rPr>
      </w:pPr>
      <w:r w:rsidRPr="000A51B3">
        <w:rPr>
          <w:b/>
          <w:bCs/>
        </w:rPr>
        <w:t>Declaration of conflicting interest</w:t>
      </w:r>
    </w:p>
    <w:p w14:paraId="1FF78FE9" w14:textId="77777777" w:rsidR="00943616" w:rsidRPr="000A51B3" w:rsidRDefault="00943616" w:rsidP="00943616">
      <w:pPr>
        <w:pStyle w:val="ListParagraph"/>
        <w:spacing w:line="480" w:lineRule="auto"/>
        <w:ind w:left="0" w:firstLine="720"/>
        <w:jc w:val="both"/>
      </w:pPr>
      <w:bookmarkStart w:id="30" w:name="_Hlk167035048"/>
      <w:r w:rsidRPr="000A51B3">
        <w:t>The authors declared no potential conflicts of interest with respect to the research, authorship, and/or publication of this article.</w:t>
      </w:r>
    </w:p>
    <w:p w14:paraId="77589311" w14:textId="77777777" w:rsidR="00943616" w:rsidRPr="000A51B3" w:rsidRDefault="00943616" w:rsidP="00943616">
      <w:pPr>
        <w:pStyle w:val="ListParagraph"/>
        <w:spacing w:line="480" w:lineRule="auto"/>
        <w:ind w:left="0" w:firstLine="720"/>
        <w:jc w:val="both"/>
      </w:pPr>
    </w:p>
    <w:bookmarkEnd w:id="30"/>
    <w:p w14:paraId="1C0EE093" w14:textId="77777777" w:rsidR="00943616" w:rsidRPr="000A51B3" w:rsidRDefault="00943616" w:rsidP="00943616">
      <w:pPr>
        <w:spacing w:line="480" w:lineRule="auto"/>
        <w:jc w:val="both"/>
        <w:rPr>
          <w:b/>
          <w:bCs/>
        </w:rPr>
      </w:pPr>
      <w:r w:rsidRPr="000A51B3">
        <w:rPr>
          <w:b/>
          <w:bCs/>
        </w:rPr>
        <w:t>Availability of data and materials</w:t>
      </w:r>
    </w:p>
    <w:p w14:paraId="01CA2260" w14:textId="77777777" w:rsidR="00943616" w:rsidRPr="000A51B3" w:rsidRDefault="00943616" w:rsidP="00943616">
      <w:pPr>
        <w:spacing w:line="480" w:lineRule="auto"/>
        <w:ind w:firstLine="720"/>
        <w:jc w:val="both"/>
        <w:rPr>
          <w:rFonts w:eastAsia="Malgun Gothic"/>
          <w:lang w:eastAsia="ko-KR"/>
        </w:rPr>
      </w:pPr>
      <w:r w:rsidRPr="000A51B3">
        <w:t xml:space="preserve">Data </w:t>
      </w:r>
      <w:proofErr w:type="gramStart"/>
      <w:r w:rsidRPr="000A51B3">
        <w:t>are</w:t>
      </w:r>
      <w:proofErr w:type="gramEnd"/>
      <w:r w:rsidRPr="000A51B3">
        <w:t xml:space="preserve"> available upon reasonable request for access to the datasets used in this study.</w:t>
      </w:r>
    </w:p>
    <w:p w14:paraId="4F76097E" w14:textId="77777777" w:rsidR="00943616" w:rsidRDefault="00943616">
      <w:pPr>
        <w:rPr>
          <w:rFonts w:eastAsia="Malgun Gothic"/>
          <w:lang w:eastAsia="ko-KR"/>
        </w:rPr>
      </w:pPr>
    </w:p>
    <w:p w14:paraId="6B54D1FB" w14:textId="77777777" w:rsidR="00943616" w:rsidRDefault="00943616">
      <w:pPr>
        <w:rPr>
          <w:rFonts w:eastAsia="Malgun Gothic"/>
          <w:lang w:eastAsia="ko-KR"/>
        </w:rPr>
      </w:pPr>
    </w:p>
    <w:p w14:paraId="77F22ACD" w14:textId="183FBEB5" w:rsidR="000E1F28" w:rsidRPr="004D7B9E" w:rsidRDefault="000E1F28">
      <w:pPr>
        <w:rPr>
          <w:rFonts w:eastAsia="Malgun Gothic"/>
          <w:b/>
          <w:bCs/>
          <w:lang w:eastAsia="ko-KR"/>
        </w:rPr>
      </w:pPr>
      <w:r w:rsidRPr="004D7B9E">
        <w:rPr>
          <w:rFonts w:eastAsia="Malgun Gothic" w:hint="eastAsia"/>
          <w:b/>
          <w:bCs/>
          <w:lang w:eastAsia="ko-KR"/>
        </w:rPr>
        <w:lastRenderedPageBreak/>
        <w:t>Reference</w:t>
      </w:r>
    </w:p>
    <w:p w14:paraId="15FBCBE7" w14:textId="6AADCEA5" w:rsidR="00234817" w:rsidRPr="00E76EC4" w:rsidRDefault="00BE7204" w:rsidP="00E76EC4">
      <w:pPr>
        <w:pStyle w:val="ListParagraph"/>
        <w:numPr>
          <w:ilvl w:val="0"/>
          <w:numId w:val="1"/>
        </w:numPr>
        <w:rPr>
          <w:rFonts w:eastAsia="Malgun Gothic"/>
          <w:lang w:eastAsia="ko-KR"/>
        </w:rPr>
      </w:pPr>
      <w:r w:rsidRPr="00BE7204">
        <w:rPr>
          <w:rFonts w:eastAsia="Malgun Gothic"/>
          <w:lang w:eastAsia="ko-KR"/>
        </w:rPr>
        <w:t xml:space="preserve">Bray, F., </w:t>
      </w:r>
      <w:proofErr w:type="spellStart"/>
      <w:r w:rsidRPr="00BE7204">
        <w:rPr>
          <w:rFonts w:eastAsia="Malgun Gothic"/>
          <w:lang w:eastAsia="ko-KR"/>
        </w:rPr>
        <w:t>Ferlay</w:t>
      </w:r>
      <w:proofErr w:type="spellEnd"/>
      <w:r w:rsidRPr="00BE7204">
        <w:rPr>
          <w:rFonts w:eastAsia="Malgun Gothic"/>
          <w:lang w:eastAsia="ko-KR"/>
        </w:rPr>
        <w:t xml:space="preserve">, J., </w:t>
      </w:r>
      <w:proofErr w:type="spellStart"/>
      <w:r w:rsidRPr="00BE7204">
        <w:rPr>
          <w:rFonts w:eastAsia="Malgun Gothic"/>
          <w:lang w:eastAsia="ko-KR"/>
        </w:rPr>
        <w:t>Soerjomataram</w:t>
      </w:r>
      <w:proofErr w:type="spellEnd"/>
      <w:r w:rsidRPr="00BE7204">
        <w:rPr>
          <w:rFonts w:eastAsia="Malgun Gothic"/>
          <w:lang w:eastAsia="ko-KR"/>
        </w:rPr>
        <w:t xml:space="preserve">, I., Siegel, R. L., Torre, L. A., &amp; Jemal, A. (2018). Global cancer statistics 2018: GLOBOCAN estimates of incidence and mortality worldwide for 36 cancers in 185 countries. </w:t>
      </w:r>
      <w:r w:rsidR="00E76EC4" w:rsidRPr="00D600D1">
        <w:rPr>
          <w:rFonts w:eastAsia="Malgun Gothic"/>
          <w:i/>
          <w:iCs/>
          <w:lang w:eastAsia="ko-KR"/>
        </w:rPr>
        <w:t>CA Cancer J Clin</w:t>
      </w:r>
      <w:r w:rsidR="00E76EC4" w:rsidRPr="00E76EC4">
        <w:rPr>
          <w:rFonts w:eastAsia="Malgun Gothic"/>
          <w:lang w:eastAsia="ko-KR"/>
        </w:rPr>
        <w:t>. 2018;68(6):394-424</w:t>
      </w:r>
      <w:r w:rsidRPr="00E76EC4">
        <w:rPr>
          <w:rFonts w:eastAsia="Malgun Gothic"/>
          <w:lang w:eastAsia="ko-KR"/>
        </w:rPr>
        <w:t>.</w:t>
      </w:r>
    </w:p>
    <w:p w14:paraId="3C0E750B" w14:textId="77777777" w:rsidR="00D600D1" w:rsidRDefault="00D600D1" w:rsidP="00D600D1">
      <w:pPr>
        <w:pStyle w:val="ListParagraph"/>
        <w:numPr>
          <w:ilvl w:val="0"/>
          <w:numId w:val="1"/>
        </w:numPr>
        <w:rPr>
          <w:rFonts w:eastAsia="Malgun Gothic"/>
          <w:lang w:eastAsia="ko-KR"/>
        </w:rPr>
      </w:pPr>
      <w:proofErr w:type="spellStart"/>
      <w:r w:rsidRPr="00F732D8">
        <w:rPr>
          <w:rFonts w:eastAsia="Malgun Gothic"/>
          <w:lang w:eastAsia="ko-KR"/>
        </w:rPr>
        <w:t>Thandra</w:t>
      </w:r>
      <w:proofErr w:type="spellEnd"/>
      <w:r w:rsidRPr="00F732D8">
        <w:rPr>
          <w:rFonts w:eastAsia="Malgun Gothic"/>
          <w:lang w:eastAsia="ko-KR"/>
        </w:rPr>
        <w:t xml:space="preserve"> KC, </w:t>
      </w:r>
      <w:proofErr w:type="spellStart"/>
      <w:r w:rsidRPr="00F732D8">
        <w:rPr>
          <w:rFonts w:eastAsia="Malgun Gothic"/>
          <w:lang w:eastAsia="ko-KR"/>
        </w:rPr>
        <w:t>Barsouk</w:t>
      </w:r>
      <w:proofErr w:type="spellEnd"/>
      <w:r w:rsidRPr="00F732D8">
        <w:rPr>
          <w:rFonts w:eastAsia="Malgun Gothic"/>
          <w:lang w:eastAsia="ko-KR"/>
        </w:rPr>
        <w:t xml:space="preserve"> A, Saginala K, Aluru JS, </w:t>
      </w:r>
      <w:proofErr w:type="spellStart"/>
      <w:r w:rsidRPr="00F732D8">
        <w:rPr>
          <w:rFonts w:eastAsia="Malgun Gothic"/>
          <w:lang w:eastAsia="ko-KR"/>
        </w:rPr>
        <w:t>Barsouk</w:t>
      </w:r>
      <w:proofErr w:type="spellEnd"/>
      <w:r w:rsidRPr="00F732D8">
        <w:rPr>
          <w:rFonts w:eastAsia="Malgun Gothic"/>
          <w:lang w:eastAsia="ko-KR"/>
        </w:rPr>
        <w:t xml:space="preserve"> A. Epidemiology of lung cancer. </w:t>
      </w:r>
      <w:proofErr w:type="spellStart"/>
      <w:r w:rsidRPr="007238D7">
        <w:rPr>
          <w:rFonts w:eastAsia="Malgun Gothic"/>
          <w:i/>
          <w:iCs/>
          <w:lang w:eastAsia="ko-KR"/>
        </w:rPr>
        <w:t>Contemp</w:t>
      </w:r>
      <w:proofErr w:type="spellEnd"/>
      <w:r w:rsidRPr="007238D7">
        <w:rPr>
          <w:rFonts w:eastAsia="Malgun Gothic"/>
          <w:i/>
          <w:iCs/>
          <w:lang w:eastAsia="ko-KR"/>
        </w:rPr>
        <w:t xml:space="preserve"> Oncol (</w:t>
      </w:r>
      <w:proofErr w:type="spellStart"/>
      <w:r w:rsidRPr="007238D7">
        <w:rPr>
          <w:rFonts w:eastAsia="Malgun Gothic"/>
          <w:i/>
          <w:iCs/>
          <w:lang w:eastAsia="ko-KR"/>
        </w:rPr>
        <w:t>Pozn</w:t>
      </w:r>
      <w:proofErr w:type="spellEnd"/>
      <w:r w:rsidRPr="007238D7">
        <w:rPr>
          <w:rFonts w:eastAsia="Malgun Gothic"/>
          <w:i/>
          <w:iCs/>
          <w:lang w:eastAsia="ko-KR"/>
        </w:rPr>
        <w:t>)</w:t>
      </w:r>
      <w:r w:rsidRPr="00F732D8">
        <w:rPr>
          <w:rFonts w:eastAsia="Malgun Gothic"/>
          <w:lang w:eastAsia="ko-KR"/>
        </w:rPr>
        <w:t>. 2021;25(1):45-52.</w:t>
      </w:r>
    </w:p>
    <w:p w14:paraId="0DE68E30" w14:textId="398DF4F9" w:rsidR="00F732D8" w:rsidRPr="00174043" w:rsidRDefault="00F732D8" w:rsidP="00F732D8">
      <w:pPr>
        <w:pStyle w:val="ListParagraph"/>
        <w:numPr>
          <w:ilvl w:val="0"/>
          <w:numId w:val="1"/>
        </w:numPr>
        <w:rPr>
          <w:rFonts w:eastAsia="Malgun Gothic"/>
          <w:lang w:eastAsia="ko-KR"/>
        </w:rPr>
      </w:pPr>
      <w:proofErr w:type="spellStart"/>
      <w:r>
        <w:t>Lemjabbar</w:t>
      </w:r>
      <w:proofErr w:type="spellEnd"/>
      <w:r>
        <w:t xml:space="preserve">-Alaoui H, Hassan OU, Yang YW, Buchanan P. Lung cancer: Biology and treatment options. </w:t>
      </w:r>
      <w:proofErr w:type="spellStart"/>
      <w:r w:rsidRPr="007238D7">
        <w:rPr>
          <w:i/>
          <w:iCs/>
        </w:rPr>
        <w:t>Biochim</w:t>
      </w:r>
      <w:proofErr w:type="spellEnd"/>
      <w:r w:rsidRPr="007238D7">
        <w:rPr>
          <w:i/>
          <w:iCs/>
        </w:rPr>
        <w:t xml:space="preserve"> </w:t>
      </w:r>
      <w:proofErr w:type="spellStart"/>
      <w:r w:rsidRPr="007238D7">
        <w:rPr>
          <w:i/>
          <w:iCs/>
        </w:rPr>
        <w:t>Biophys</w:t>
      </w:r>
      <w:proofErr w:type="spellEnd"/>
      <w:r w:rsidRPr="007238D7">
        <w:rPr>
          <w:i/>
          <w:iCs/>
        </w:rPr>
        <w:t xml:space="preserve"> Acta</w:t>
      </w:r>
      <w:r>
        <w:t>. 2015;1856(2):189-210.</w:t>
      </w:r>
    </w:p>
    <w:p w14:paraId="16009E76" w14:textId="77777777" w:rsidR="00E12184" w:rsidRDefault="00E12184" w:rsidP="00E12184">
      <w:pPr>
        <w:pStyle w:val="ListParagraph"/>
        <w:numPr>
          <w:ilvl w:val="0"/>
          <w:numId w:val="1"/>
        </w:numPr>
        <w:rPr>
          <w:rFonts w:eastAsia="Malgun Gothic"/>
          <w:lang w:eastAsia="ko-KR"/>
        </w:rPr>
      </w:pPr>
      <w:r w:rsidRPr="0024439D">
        <w:rPr>
          <w:rFonts w:eastAsia="Malgun Gothic"/>
          <w:lang w:eastAsia="ko-KR"/>
        </w:rPr>
        <w:t xml:space="preserve">Uramoto H, Tanaka F. Recurrence after surgery in patients with NSCLC. </w:t>
      </w:r>
      <w:proofErr w:type="spellStart"/>
      <w:r w:rsidRPr="0024439D">
        <w:rPr>
          <w:rFonts w:eastAsia="Malgun Gothic"/>
          <w:i/>
          <w:iCs/>
          <w:lang w:eastAsia="ko-KR"/>
        </w:rPr>
        <w:t>Transl</w:t>
      </w:r>
      <w:proofErr w:type="spellEnd"/>
      <w:r w:rsidRPr="0024439D">
        <w:rPr>
          <w:rFonts w:eastAsia="Malgun Gothic"/>
          <w:i/>
          <w:iCs/>
          <w:lang w:eastAsia="ko-KR"/>
        </w:rPr>
        <w:t xml:space="preserve"> Lung Cancer Res</w:t>
      </w:r>
      <w:r w:rsidRPr="0024439D">
        <w:rPr>
          <w:rFonts w:eastAsia="Malgun Gothic"/>
          <w:lang w:eastAsia="ko-KR"/>
        </w:rPr>
        <w:t xml:space="preserve"> 2014;3(4):242-249.</w:t>
      </w:r>
    </w:p>
    <w:p w14:paraId="55A106D3" w14:textId="77777777" w:rsidR="005F3AFD" w:rsidRPr="00F732D8" w:rsidRDefault="005F3AFD" w:rsidP="005F3AFD">
      <w:pPr>
        <w:pStyle w:val="ListParagraph"/>
        <w:numPr>
          <w:ilvl w:val="0"/>
          <w:numId w:val="1"/>
        </w:numPr>
        <w:rPr>
          <w:rFonts w:eastAsia="Malgun Gothic"/>
          <w:lang w:eastAsia="ko-KR"/>
        </w:rPr>
      </w:pPr>
      <w:r w:rsidRPr="002C3F6F">
        <w:rPr>
          <w:rFonts w:eastAsia="Malgun Gothic"/>
          <w:lang w:eastAsia="ko-KR"/>
        </w:rPr>
        <w:t xml:space="preserve">Zhu CQ, Ding K, Strumpf D, Weir BA, Meyerson M, Pennell N, Thomas RK, Naoki K, Ladd-Acosta C, Liu N, Pintilie M, Der S, Seymour L, </w:t>
      </w:r>
      <w:proofErr w:type="spellStart"/>
      <w:r w:rsidRPr="002C3F6F">
        <w:rPr>
          <w:rFonts w:eastAsia="Malgun Gothic"/>
          <w:lang w:eastAsia="ko-KR"/>
        </w:rPr>
        <w:t>Jurisica</w:t>
      </w:r>
      <w:proofErr w:type="spellEnd"/>
      <w:r w:rsidRPr="002C3F6F">
        <w:rPr>
          <w:rFonts w:eastAsia="Malgun Gothic"/>
          <w:lang w:eastAsia="ko-KR"/>
        </w:rPr>
        <w:t xml:space="preserve"> I, Shepherd FA, Tsao MS. Prognostic and predictive gene signature for adjuvant chemotherapy in resected non-small-cell lung cancer. </w:t>
      </w:r>
      <w:r w:rsidRPr="002C3F6F">
        <w:rPr>
          <w:rFonts w:eastAsia="Malgun Gothic"/>
          <w:i/>
          <w:iCs/>
          <w:lang w:eastAsia="ko-KR"/>
        </w:rPr>
        <w:t>J Clin Oncol</w:t>
      </w:r>
      <w:r w:rsidRPr="002C3F6F">
        <w:rPr>
          <w:rFonts w:eastAsia="Malgun Gothic"/>
          <w:lang w:eastAsia="ko-KR"/>
        </w:rPr>
        <w:t>. 2010;28(29):4417-24.</w:t>
      </w:r>
    </w:p>
    <w:p w14:paraId="02DAB6BF" w14:textId="77777777" w:rsidR="005F3AFD" w:rsidRPr="00F732D8" w:rsidRDefault="005F3AFD" w:rsidP="005F3AFD">
      <w:pPr>
        <w:pStyle w:val="ListParagraph"/>
        <w:numPr>
          <w:ilvl w:val="0"/>
          <w:numId w:val="1"/>
        </w:numPr>
        <w:rPr>
          <w:rFonts w:eastAsia="Malgun Gothic"/>
          <w:lang w:eastAsia="ko-KR"/>
        </w:rPr>
      </w:pPr>
      <w:r w:rsidRPr="00360E15">
        <w:rPr>
          <w:rFonts w:eastAsia="Malgun Gothic"/>
          <w:lang w:eastAsia="ko-KR"/>
        </w:rPr>
        <w:t xml:space="preserve">Pirker R, Filipits M. Adjuvant Therapy in Patients </w:t>
      </w:r>
      <w:proofErr w:type="gramStart"/>
      <w:r w:rsidRPr="00360E15">
        <w:rPr>
          <w:rFonts w:eastAsia="Malgun Gothic"/>
          <w:lang w:eastAsia="ko-KR"/>
        </w:rPr>
        <w:t>With</w:t>
      </w:r>
      <w:proofErr w:type="gramEnd"/>
      <w:r w:rsidRPr="00360E15">
        <w:rPr>
          <w:rFonts w:eastAsia="Malgun Gothic"/>
          <w:lang w:eastAsia="ko-KR"/>
        </w:rPr>
        <w:t xml:space="preserve"> Completely Resected Non-small-cell Lung Cancer: Current Status and Perspectives. </w:t>
      </w:r>
      <w:r w:rsidRPr="00360E15">
        <w:rPr>
          <w:rFonts w:eastAsia="Malgun Gothic"/>
          <w:i/>
          <w:iCs/>
          <w:lang w:eastAsia="ko-KR"/>
        </w:rPr>
        <w:t>Clin Lung Cancer</w:t>
      </w:r>
      <w:r w:rsidRPr="00360E15">
        <w:rPr>
          <w:rFonts w:eastAsia="Malgun Gothic"/>
          <w:lang w:eastAsia="ko-KR"/>
        </w:rPr>
        <w:t>. 2019;20(1):1-6.</w:t>
      </w:r>
    </w:p>
    <w:p w14:paraId="0F9E97BA" w14:textId="426764DE" w:rsidR="00BD4E3D" w:rsidRDefault="0026413B" w:rsidP="00F732D8">
      <w:pPr>
        <w:pStyle w:val="ListParagraph"/>
        <w:numPr>
          <w:ilvl w:val="0"/>
          <w:numId w:val="1"/>
        </w:numPr>
        <w:rPr>
          <w:rFonts w:eastAsia="Malgun Gothic"/>
          <w:lang w:eastAsia="ko-KR"/>
        </w:rPr>
      </w:pPr>
      <w:r w:rsidRPr="0026413B">
        <w:rPr>
          <w:rFonts w:eastAsia="Malgun Gothic"/>
          <w:lang w:eastAsia="ko-KR"/>
        </w:rPr>
        <w:t xml:space="preserve">Moon H, Zhao Y, Pluta D, Ahn H. Subgroup analysis based on prognostic and predictive gene signatures for adjuvant chemotherapy in early-stage non-small-cell lung cancer patients. </w:t>
      </w:r>
      <w:r w:rsidRPr="0026413B">
        <w:rPr>
          <w:rFonts w:eastAsia="Malgun Gothic"/>
          <w:i/>
          <w:iCs/>
          <w:lang w:eastAsia="ko-KR"/>
        </w:rPr>
        <w:t xml:space="preserve">J </w:t>
      </w:r>
      <w:proofErr w:type="spellStart"/>
      <w:r w:rsidRPr="0026413B">
        <w:rPr>
          <w:rFonts w:eastAsia="Malgun Gothic"/>
          <w:i/>
          <w:iCs/>
          <w:lang w:eastAsia="ko-KR"/>
        </w:rPr>
        <w:t>Biopharm</w:t>
      </w:r>
      <w:proofErr w:type="spellEnd"/>
      <w:r w:rsidRPr="0026413B">
        <w:rPr>
          <w:rFonts w:eastAsia="Malgun Gothic"/>
          <w:i/>
          <w:iCs/>
          <w:lang w:eastAsia="ko-KR"/>
        </w:rPr>
        <w:t xml:space="preserve"> Stat.</w:t>
      </w:r>
      <w:r w:rsidRPr="0026413B">
        <w:rPr>
          <w:rFonts w:eastAsia="Malgun Gothic"/>
          <w:lang w:eastAsia="ko-KR"/>
        </w:rPr>
        <w:t xml:space="preserve"> 2018;28(4):750-762.</w:t>
      </w:r>
    </w:p>
    <w:p w14:paraId="7FC31DDB" w14:textId="4166CB2F" w:rsidR="00BD4E3D" w:rsidRDefault="00BA549F" w:rsidP="00F732D8">
      <w:pPr>
        <w:pStyle w:val="ListParagraph"/>
        <w:numPr>
          <w:ilvl w:val="0"/>
          <w:numId w:val="1"/>
        </w:numPr>
        <w:rPr>
          <w:rFonts w:eastAsia="Malgun Gothic"/>
          <w:lang w:eastAsia="ko-KR"/>
        </w:rPr>
      </w:pPr>
      <w:r w:rsidRPr="00BA549F">
        <w:rPr>
          <w:rFonts w:eastAsia="Malgun Gothic"/>
          <w:lang w:eastAsia="ko-KR"/>
        </w:rPr>
        <w:t xml:space="preserve">Moon H, Chao T, Ahn H. Identification of Risk Factors and Likelihood of Benefit from Adjuvant Chemotherapy for </w:t>
      </w:r>
      <w:proofErr w:type="gramStart"/>
      <w:r w:rsidRPr="00BA549F">
        <w:rPr>
          <w:rFonts w:eastAsia="Malgun Gothic"/>
          <w:lang w:eastAsia="ko-KR"/>
        </w:rPr>
        <w:t>Early Stage</w:t>
      </w:r>
      <w:proofErr w:type="gramEnd"/>
      <w:r w:rsidRPr="00BA549F">
        <w:rPr>
          <w:rFonts w:eastAsia="Malgun Gothic"/>
          <w:lang w:eastAsia="ko-KR"/>
        </w:rPr>
        <w:t xml:space="preserve"> Lung Cancer Patients. </w:t>
      </w:r>
      <w:r w:rsidRPr="00BA549F">
        <w:rPr>
          <w:rFonts w:eastAsia="Malgun Gothic"/>
          <w:i/>
          <w:iCs/>
          <w:lang w:eastAsia="ko-KR"/>
        </w:rPr>
        <w:t xml:space="preserve">J </w:t>
      </w:r>
      <w:proofErr w:type="spellStart"/>
      <w:r w:rsidRPr="00BA549F">
        <w:rPr>
          <w:rFonts w:eastAsia="Malgun Gothic"/>
          <w:i/>
          <w:iCs/>
          <w:lang w:eastAsia="ko-KR"/>
        </w:rPr>
        <w:t>Biopharm</w:t>
      </w:r>
      <w:proofErr w:type="spellEnd"/>
      <w:r w:rsidRPr="00BA549F">
        <w:rPr>
          <w:rFonts w:eastAsia="Malgun Gothic"/>
          <w:i/>
          <w:iCs/>
          <w:lang w:eastAsia="ko-KR"/>
        </w:rPr>
        <w:t xml:space="preserve"> Stat.</w:t>
      </w:r>
      <w:r w:rsidRPr="00BA549F">
        <w:rPr>
          <w:rFonts w:eastAsia="Malgun Gothic"/>
          <w:lang w:eastAsia="ko-KR"/>
        </w:rPr>
        <w:t xml:space="preserve"> 2020 May 3;30(3):430-444.</w:t>
      </w:r>
    </w:p>
    <w:p w14:paraId="72EA6F5B" w14:textId="73F1A1F8" w:rsidR="00174043" w:rsidRDefault="00174043" w:rsidP="00F732D8">
      <w:pPr>
        <w:pStyle w:val="ListParagraph"/>
        <w:numPr>
          <w:ilvl w:val="0"/>
          <w:numId w:val="1"/>
        </w:numPr>
        <w:rPr>
          <w:rFonts w:eastAsia="Malgun Gothic"/>
          <w:lang w:eastAsia="ko-KR"/>
        </w:rPr>
      </w:pPr>
      <w:r w:rsidRPr="00174043">
        <w:rPr>
          <w:rFonts w:eastAsia="Malgun Gothic"/>
          <w:lang w:eastAsia="ko-KR"/>
        </w:rPr>
        <w:t>Moon H, Nguyen</w:t>
      </w:r>
      <w:r w:rsidR="00B535CE">
        <w:rPr>
          <w:rFonts w:eastAsia="Malgun Gothic"/>
          <w:lang w:eastAsia="ko-KR"/>
        </w:rPr>
        <w:t xml:space="preserve"> A</w:t>
      </w:r>
      <w:r w:rsidRPr="00174043">
        <w:rPr>
          <w:rFonts w:eastAsia="Malgun Gothic"/>
          <w:lang w:eastAsia="ko-KR"/>
        </w:rPr>
        <w:t>, Lee</w:t>
      </w:r>
      <w:r w:rsidR="009317A5">
        <w:rPr>
          <w:rFonts w:eastAsia="Malgun Gothic"/>
          <w:lang w:eastAsia="ko-KR"/>
        </w:rPr>
        <w:t xml:space="preserve"> E</w:t>
      </w:r>
      <w:r w:rsidRPr="00174043">
        <w:rPr>
          <w:rFonts w:eastAsia="Malgun Gothic"/>
          <w:lang w:eastAsia="ko-KR"/>
        </w:rPr>
        <w:t xml:space="preserve">. Prognostic Genomic Predictive Biomarkers for Early-Stage Lung Cancer Patients. </w:t>
      </w:r>
      <w:r w:rsidRPr="009317A5">
        <w:rPr>
          <w:rFonts w:eastAsia="Malgun Gothic"/>
          <w:i/>
          <w:iCs/>
          <w:lang w:eastAsia="ko-KR"/>
        </w:rPr>
        <w:t>The Open Biomarkers Journal</w:t>
      </w:r>
      <w:r w:rsidR="009317A5">
        <w:rPr>
          <w:rFonts w:eastAsia="Malgun Gothic"/>
          <w:lang w:eastAsia="ko-KR"/>
        </w:rPr>
        <w:t>.</w:t>
      </w:r>
      <w:r w:rsidRPr="00174043">
        <w:rPr>
          <w:rFonts w:eastAsia="Malgun Gothic"/>
          <w:lang w:eastAsia="ko-KR"/>
        </w:rPr>
        <w:t xml:space="preserve"> </w:t>
      </w:r>
      <w:r w:rsidR="009317A5">
        <w:rPr>
          <w:rFonts w:eastAsia="Malgun Gothic"/>
          <w:lang w:eastAsia="ko-KR"/>
        </w:rPr>
        <w:t>2021;</w:t>
      </w:r>
      <w:r w:rsidRPr="00174043">
        <w:rPr>
          <w:rFonts w:eastAsia="Malgun Gothic"/>
          <w:lang w:eastAsia="ko-KR"/>
        </w:rPr>
        <w:t>11</w:t>
      </w:r>
      <w:r w:rsidR="009317A5">
        <w:rPr>
          <w:rFonts w:eastAsia="Malgun Gothic"/>
          <w:lang w:eastAsia="ko-KR"/>
        </w:rPr>
        <w:t>(</w:t>
      </w:r>
      <w:r w:rsidRPr="00174043">
        <w:rPr>
          <w:rFonts w:eastAsia="Malgun Gothic"/>
          <w:lang w:eastAsia="ko-KR"/>
        </w:rPr>
        <w:t>1</w:t>
      </w:r>
      <w:r w:rsidR="009317A5">
        <w:rPr>
          <w:rFonts w:eastAsia="Malgun Gothic"/>
          <w:lang w:eastAsia="ko-KR"/>
        </w:rPr>
        <w:t>):</w:t>
      </w:r>
      <w:r w:rsidRPr="00174043">
        <w:rPr>
          <w:rFonts w:eastAsia="Malgun Gothic"/>
          <w:lang w:eastAsia="ko-KR"/>
        </w:rPr>
        <w:t>69–78.</w:t>
      </w:r>
    </w:p>
    <w:p w14:paraId="0B61451D" w14:textId="476D3EE0" w:rsidR="00FA7368" w:rsidRDefault="00FA7368" w:rsidP="00F732D8">
      <w:pPr>
        <w:pStyle w:val="ListParagraph"/>
        <w:numPr>
          <w:ilvl w:val="0"/>
          <w:numId w:val="1"/>
        </w:numPr>
        <w:rPr>
          <w:rFonts w:eastAsia="Malgun Gothic"/>
          <w:lang w:eastAsia="ko-KR"/>
        </w:rPr>
      </w:pPr>
      <w:r w:rsidRPr="00FA7368">
        <w:rPr>
          <w:rFonts w:eastAsia="Malgun Gothic"/>
          <w:lang w:eastAsia="ko-KR"/>
        </w:rPr>
        <w:t xml:space="preserve">Cox, D. R. Regression Models and </w:t>
      </w:r>
      <w:proofErr w:type="gramStart"/>
      <w:r w:rsidRPr="00FA7368">
        <w:rPr>
          <w:rFonts w:eastAsia="Malgun Gothic"/>
          <w:lang w:eastAsia="ko-KR"/>
        </w:rPr>
        <w:t>Life-Tables</w:t>
      </w:r>
      <w:proofErr w:type="gramEnd"/>
      <w:r w:rsidRPr="00FA7368">
        <w:rPr>
          <w:rFonts w:eastAsia="Malgun Gothic"/>
          <w:lang w:eastAsia="ko-KR"/>
        </w:rPr>
        <w:t xml:space="preserve">. </w:t>
      </w:r>
      <w:r w:rsidRPr="00BA5974">
        <w:rPr>
          <w:rFonts w:eastAsia="Malgun Gothic"/>
          <w:i/>
          <w:iCs/>
          <w:lang w:eastAsia="ko-KR"/>
        </w:rPr>
        <w:t>Journal of the Royal Statistical Society: Series B (Methodological)</w:t>
      </w:r>
      <w:r w:rsidR="00BA5974">
        <w:rPr>
          <w:rFonts w:eastAsia="Malgun Gothic" w:hint="eastAsia"/>
          <w:i/>
          <w:iCs/>
          <w:lang w:eastAsia="ko-KR"/>
        </w:rPr>
        <w:t>.</w:t>
      </w:r>
      <w:r w:rsidRPr="00FA7368">
        <w:rPr>
          <w:rFonts w:eastAsia="Malgun Gothic"/>
          <w:lang w:eastAsia="ko-KR"/>
        </w:rPr>
        <w:t xml:space="preserve"> </w:t>
      </w:r>
      <w:r w:rsidR="008E50F1">
        <w:rPr>
          <w:rFonts w:eastAsia="Malgun Gothic" w:hint="eastAsia"/>
          <w:lang w:eastAsia="ko-KR"/>
        </w:rPr>
        <w:t>1972;</w:t>
      </w:r>
      <w:r w:rsidRPr="00FA7368">
        <w:rPr>
          <w:rFonts w:eastAsia="Malgun Gothic"/>
          <w:lang w:eastAsia="ko-KR"/>
        </w:rPr>
        <w:t>34</w:t>
      </w:r>
      <w:r w:rsidR="008E50F1">
        <w:rPr>
          <w:rFonts w:eastAsia="Malgun Gothic" w:hint="eastAsia"/>
          <w:lang w:eastAsia="ko-KR"/>
        </w:rPr>
        <w:t>(2)</w:t>
      </w:r>
      <w:r w:rsidRPr="00FA7368">
        <w:rPr>
          <w:rFonts w:eastAsia="Malgun Gothic"/>
          <w:lang w:eastAsia="ko-KR"/>
        </w:rPr>
        <w:t>:187–202.</w:t>
      </w:r>
    </w:p>
    <w:p w14:paraId="68CFE14F" w14:textId="1F0B009E" w:rsidR="00CE0BCD" w:rsidRDefault="00CE0BCD" w:rsidP="00F732D8">
      <w:pPr>
        <w:pStyle w:val="ListParagraph"/>
        <w:numPr>
          <w:ilvl w:val="0"/>
          <w:numId w:val="1"/>
        </w:numPr>
        <w:rPr>
          <w:rFonts w:eastAsia="Malgun Gothic"/>
          <w:lang w:eastAsia="ko-KR"/>
        </w:rPr>
      </w:pPr>
      <w:r w:rsidRPr="00CE0BCD">
        <w:rPr>
          <w:rFonts w:eastAsia="Malgun Gothic"/>
          <w:lang w:eastAsia="ko-KR"/>
        </w:rPr>
        <w:t xml:space="preserve">Zou H, Hastie T. Regularization and variable selection via the elastic net. </w:t>
      </w:r>
      <w:r w:rsidRPr="00CE0BCD">
        <w:rPr>
          <w:rFonts w:eastAsia="Malgun Gothic"/>
          <w:i/>
          <w:iCs/>
          <w:lang w:eastAsia="ko-KR"/>
        </w:rPr>
        <w:t xml:space="preserve">J R Stat Soc Series B Stat </w:t>
      </w:r>
      <w:proofErr w:type="spellStart"/>
      <w:r w:rsidRPr="00CE0BCD">
        <w:rPr>
          <w:rFonts w:eastAsia="Malgun Gothic"/>
          <w:i/>
          <w:iCs/>
          <w:lang w:eastAsia="ko-KR"/>
        </w:rPr>
        <w:t>Methodol</w:t>
      </w:r>
      <w:proofErr w:type="spellEnd"/>
      <w:r w:rsidRPr="00CE0BCD">
        <w:rPr>
          <w:rFonts w:eastAsia="Malgun Gothic"/>
          <w:lang w:eastAsia="ko-KR"/>
        </w:rPr>
        <w:t>. 2005;67(2):301-20. doi:10.1111/j.1467-9868.2005.</w:t>
      </w:r>
      <w:proofErr w:type="gramStart"/>
      <w:r w:rsidRPr="00CE0BCD">
        <w:rPr>
          <w:rFonts w:eastAsia="Malgun Gothic"/>
          <w:lang w:eastAsia="ko-KR"/>
        </w:rPr>
        <w:t>00503.x.</w:t>
      </w:r>
      <w:proofErr w:type="gramEnd"/>
    </w:p>
    <w:p w14:paraId="01825568" w14:textId="77777777" w:rsidR="00983B16" w:rsidRDefault="00983B16" w:rsidP="00983B16">
      <w:pPr>
        <w:pStyle w:val="ListParagraph"/>
        <w:numPr>
          <w:ilvl w:val="0"/>
          <w:numId w:val="1"/>
        </w:numPr>
        <w:rPr>
          <w:rFonts w:eastAsia="Malgun Gothic"/>
          <w:lang w:eastAsia="ko-KR"/>
        </w:rPr>
      </w:pPr>
      <w:proofErr w:type="spellStart"/>
      <w:r w:rsidRPr="005D0A6C">
        <w:rPr>
          <w:rFonts w:eastAsia="Malgun Gothic"/>
          <w:lang w:eastAsia="ko-KR"/>
        </w:rPr>
        <w:t>Breiman</w:t>
      </w:r>
      <w:proofErr w:type="spellEnd"/>
      <w:r w:rsidRPr="005D0A6C">
        <w:rPr>
          <w:rFonts w:eastAsia="Malgun Gothic"/>
          <w:lang w:eastAsia="ko-KR"/>
        </w:rPr>
        <w:t xml:space="preserve"> L. Random Forests. </w:t>
      </w:r>
      <w:r w:rsidRPr="005D0A6C">
        <w:rPr>
          <w:rFonts w:eastAsia="Malgun Gothic"/>
          <w:i/>
          <w:iCs/>
          <w:lang w:eastAsia="ko-KR"/>
        </w:rPr>
        <w:t>Mach Learn</w:t>
      </w:r>
      <w:r w:rsidRPr="005D0A6C">
        <w:rPr>
          <w:rFonts w:eastAsia="Malgun Gothic"/>
          <w:lang w:eastAsia="ko-KR"/>
        </w:rPr>
        <w:t>. 2001;45(1):5-32. doi:10.1023/A:1010933404324.</w:t>
      </w:r>
    </w:p>
    <w:p w14:paraId="0013295D" w14:textId="77777777" w:rsidR="00983B16" w:rsidRDefault="00983B16" w:rsidP="00983B16">
      <w:pPr>
        <w:pStyle w:val="ListParagraph"/>
        <w:numPr>
          <w:ilvl w:val="0"/>
          <w:numId w:val="1"/>
        </w:numPr>
        <w:rPr>
          <w:rFonts w:eastAsia="Malgun Gothic"/>
          <w:lang w:eastAsia="ko-KR"/>
        </w:rPr>
      </w:pPr>
      <w:proofErr w:type="spellStart"/>
      <w:r w:rsidRPr="00B05BD3">
        <w:rPr>
          <w:rFonts w:eastAsia="Malgun Gothic"/>
          <w:lang w:eastAsia="ko-KR"/>
        </w:rPr>
        <w:t>Breiman</w:t>
      </w:r>
      <w:proofErr w:type="spellEnd"/>
      <w:r w:rsidRPr="00B05BD3">
        <w:rPr>
          <w:rFonts w:eastAsia="Malgun Gothic"/>
          <w:lang w:eastAsia="ko-KR"/>
        </w:rPr>
        <w:t xml:space="preserve"> L. Bagging predictors. </w:t>
      </w:r>
      <w:r w:rsidRPr="00B05BD3">
        <w:rPr>
          <w:rFonts w:eastAsia="Malgun Gothic"/>
          <w:i/>
          <w:iCs/>
          <w:lang w:eastAsia="ko-KR"/>
        </w:rPr>
        <w:t>Machine Learning</w:t>
      </w:r>
      <w:r w:rsidRPr="00B05BD3">
        <w:rPr>
          <w:rFonts w:eastAsia="Malgun Gothic"/>
          <w:lang w:eastAsia="ko-KR"/>
        </w:rPr>
        <w:t>. 1996;24(2):123–40. doi:10.1007/BF00058655.</w:t>
      </w:r>
    </w:p>
    <w:p w14:paraId="0CD12AEB" w14:textId="4C60D6CA" w:rsidR="00A001F4" w:rsidRDefault="00A001F4" w:rsidP="00F732D8">
      <w:pPr>
        <w:pStyle w:val="ListParagraph"/>
        <w:numPr>
          <w:ilvl w:val="0"/>
          <w:numId w:val="1"/>
        </w:numPr>
        <w:rPr>
          <w:rFonts w:eastAsia="Malgun Gothic"/>
          <w:lang w:eastAsia="ko-KR"/>
        </w:rPr>
      </w:pPr>
      <w:r w:rsidRPr="00A001F4">
        <w:rPr>
          <w:rFonts w:eastAsia="Malgun Gothic"/>
          <w:lang w:eastAsia="ko-KR"/>
        </w:rPr>
        <w:t xml:space="preserve">Friedman J, Hastie T, </w:t>
      </w:r>
      <w:proofErr w:type="spellStart"/>
      <w:r w:rsidRPr="00A001F4">
        <w:rPr>
          <w:rFonts w:eastAsia="Malgun Gothic"/>
          <w:lang w:eastAsia="ko-KR"/>
        </w:rPr>
        <w:t>Tibshirani</w:t>
      </w:r>
      <w:proofErr w:type="spellEnd"/>
      <w:r w:rsidRPr="00A001F4">
        <w:rPr>
          <w:rFonts w:eastAsia="Malgun Gothic"/>
          <w:lang w:eastAsia="ko-KR"/>
        </w:rPr>
        <w:t xml:space="preserve"> R. Regularization paths for generalized linear models via coordinate descent. </w:t>
      </w:r>
      <w:r w:rsidRPr="00A001F4">
        <w:rPr>
          <w:rFonts w:eastAsia="Malgun Gothic"/>
          <w:i/>
          <w:iCs/>
          <w:lang w:eastAsia="ko-KR"/>
        </w:rPr>
        <w:t>Journal of Statistical Software</w:t>
      </w:r>
      <w:r w:rsidRPr="00A001F4">
        <w:rPr>
          <w:rFonts w:eastAsia="Malgun Gothic"/>
          <w:lang w:eastAsia="ko-KR"/>
        </w:rPr>
        <w:t>. 2010;33(1):1–22. doi:10.18637/</w:t>
      </w:r>
      <w:proofErr w:type="gramStart"/>
      <w:r w:rsidRPr="00A001F4">
        <w:rPr>
          <w:rFonts w:eastAsia="Malgun Gothic"/>
          <w:lang w:eastAsia="ko-KR"/>
        </w:rPr>
        <w:t>jss.v033.i</w:t>
      </w:r>
      <w:proofErr w:type="gramEnd"/>
      <w:r w:rsidRPr="00A001F4">
        <w:rPr>
          <w:rFonts w:eastAsia="Malgun Gothic"/>
          <w:lang w:eastAsia="ko-KR"/>
        </w:rPr>
        <w:t>01.</w:t>
      </w:r>
    </w:p>
    <w:p w14:paraId="35B98C37" w14:textId="1FC58EE5" w:rsidR="00A76C73" w:rsidRDefault="00913175" w:rsidP="00F732D8">
      <w:pPr>
        <w:pStyle w:val="ListParagraph"/>
        <w:numPr>
          <w:ilvl w:val="0"/>
          <w:numId w:val="1"/>
        </w:numPr>
        <w:rPr>
          <w:rFonts w:eastAsia="Malgun Gothic"/>
          <w:lang w:eastAsia="ko-KR"/>
        </w:rPr>
      </w:pPr>
      <w:r w:rsidRPr="00913175">
        <w:rPr>
          <w:rFonts w:eastAsia="Malgun Gothic"/>
          <w:lang w:eastAsia="ko-KR"/>
        </w:rPr>
        <w:t xml:space="preserve">Ishwaran H, </w:t>
      </w:r>
      <w:proofErr w:type="spellStart"/>
      <w:r w:rsidRPr="00913175">
        <w:rPr>
          <w:rFonts w:eastAsia="Malgun Gothic"/>
          <w:lang w:eastAsia="ko-KR"/>
        </w:rPr>
        <w:t>Kogalur</w:t>
      </w:r>
      <w:proofErr w:type="spellEnd"/>
      <w:r w:rsidRPr="00913175">
        <w:rPr>
          <w:rFonts w:eastAsia="Malgun Gothic"/>
          <w:lang w:eastAsia="ko-KR"/>
        </w:rPr>
        <w:t xml:space="preserve"> UB, Blackstone EH, Lauer MS. Random survival forests. </w:t>
      </w:r>
      <w:r w:rsidRPr="00913175">
        <w:rPr>
          <w:rFonts w:eastAsia="Malgun Gothic"/>
          <w:i/>
          <w:iCs/>
          <w:lang w:eastAsia="ko-KR"/>
        </w:rPr>
        <w:t>Ann Appl Stat</w:t>
      </w:r>
      <w:r w:rsidRPr="00913175">
        <w:rPr>
          <w:rFonts w:eastAsia="Malgun Gothic"/>
          <w:lang w:eastAsia="ko-KR"/>
        </w:rPr>
        <w:t>. 2008;2(3):841-60. doi:10.1214/08-AOAS169.</w:t>
      </w:r>
    </w:p>
    <w:p w14:paraId="730200F4" w14:textId="47B1AAA8" w:rsidR="003076C5" w:rsidRDefault="003E63E3" w:rsidP="00F732D8">
      <w:pPr>
        <w:pStyle w:val="ListParagraph"/>
        <w:numPr>
          <w:ilvl w:val="0"/>
          <w:numId w:val="1"/>
        </w:numPr>
        <w:rPr>
          <w:rFonts w:eastAsia="Malgun Gothic"/>
          <w:lang w:eastAsia="ko-KR"/>
        </w:rPr>
      </w:pPr>
      <w:r w:rsidRPr="003E63E3">
        <w:rPr>
          <w:rFonts w:eastAsia="Malgun Gothic"/>
          <w:lang w:eastAsia="ko-KR"/>
        </w:rPr>
        <w:t xml:space="preserve">Mantel N. Evaluation of survival data and two new rank order statistics arising in its consideration. </w:t>
      </w:r>
      <w:r w:rsidRPr="003E63E3">
        <w:rPr>
          <w:rFonts w:eastAsia="Malgun Gothic"/>
          <w:i/>
          <w:iCs/>
          <w:lang w:eastAsia="ko-KR"/>
        </w:rPr>
        <w:t xml:space="preserve">Cancer </w:t>
      </w:r>
      <w:proofErr w:type="spellStart"/>
      <w:r w:rsidRPr="003E63E3">
        <w:rPr>
          <w:rFonts w:eastAsia="Malgun Gothic"/>
          <w:i/>
          <w:iCs/>
          <w:lang w:eastAsia="ko-KR"/>
        </w:rPr>
        <w:t>Chemother</w:t>
      </w:r>
      <w:proofErr w:type="spellEnd"/>
      <w:r w:rsidRPr="003E63E3">
        <w:rPr>
          <w:rFonts w:eastAsia="Malgun Gothic"/>
          <w:i/>
          <w:iCs/>
          <w:lang w:eastAsia="ko-KR"/>
        </w:rPr>
        <w:t xml:space="preserve"> Rep</w:t>
      </w:r>
      <w:r w:rsidRPr="003E63E3">
        <w:rPr>
          <w:rFonts w:eastAsia="Malgun Gothic"/>
          <w:lang w:eastAsia="ko-KR"/>
        </w:rPr>
        <w:t>. 1966;50(3):163–70.</w:t>
      </w:r>
    </w:p>
    <w:p w14:paraId="4048F586" w14:textId="6A1968E0" w:rsidR="00501E12" w:rsidRDefault="00501E12" w:rsidP="00F732D8">
      <w:pPr>
        <w:pStyle w:val="ListParagraph"/>
        <w:numPr>
          <w:ilvl w:val="0"/>
          <w:numId w:val="1"/>
        </w:numPr>
        <w:rPr>
          <w:rFonts w:eastAsia="Malgun Gothic"/>
          <w:lang w:eastAsia="ko-KR"/>
        </w:rPr>
      </w:pPr>
      <w:r w:rsidRPr="00501E12">
        <w:rPr>
          <w:rFonts w:eastAsia="Malgun Gothic"/>
          <w:lang w:eastAsia="ko-KR"/>
        </w:rPr>
        <w:t xml:space="preserve">Katzman JL, Shaham U, Cloninger A, Bates J, Jiang T, Kluger Y. </w:t>
      </w:r>
      <w:proofErr w:type="spellStart"/>
      <w:r w:rsidRPr="00501E12">
        <w:rPr>
          <w:rFonts w:eastAsia="Malgun Gothic"/>
          <w:lang w:eastAsia="ko-KR"/>
        </w:rPr>
        <w:t>DeepSurv</w:t>
      </w:r>
      <w:proofErr w:type="spellEnd"/>
      <w:r w:rsidRPr="00501E12">
        <w:rPr>
          <w:rFonts w:eastAsia="Malgun Gothic"/>
          <w:lang w:eastAsia="ko-KR"/>
        </w:rPr>
        <w:t xml:space="preserve">: personalized treatment recommender system using a Cox proportional hazards deep neural network. </w:t>
      </w:r>
      <w:r w:rsidRPr="00501E12">
        <w:rPr>
          <w:rFonts w:eastAsia="Malgun Gothic"/>
          <w:i/>
          <w:iCs/>
          <w:lang w:eastAsia="ko-KR"/>
        </w:rPr>
        <w:t>BMC Medical Research Methodology</w:t>
      </w:r>
      <w:r w:rsidRPr="00501E12">
        <w:rPr>
          <w:rFonts w:eastAsia="Malgun Gothic"/>
          <w:lang w:eastAsia="ko-KR"/>
        </w:rPr>
        <w:t>. 2018;18(1):24. doi:10.1186/s12874-018-0482-1.</w:t>
      </w:r>
    </w:p>
    <w:p w14:paraId="48EAC154" w14:textId="51B9D6C9" w:rsidR="00552484" w:rsidRDefault="00552484" w:rsidP="00F732D8">
      <w:pPr>
        <w:pStyle w:val="ListParagraph"/>
        <w:numPr>
          <w:ilvl w:val="0"/>
          <w:numId w:val="1"/>
        </w:numPr>
        <w:rPr>
          <w:rFonts w:eastAsia="Malgun Gothic"/>
          <w:lang w:eastAsia="ko-KR"/>
        </w:rPr>
      </w:pPr>
      <w:r w:rsidRPr="00552484">
        <w:rPr>
          <w:rFonts w:eastAsia="Malgun Gothic"/>
          <w:lang w:eastAsia="ko-KR"/>
        </w:rPr>
        <w:t xml:space="preserve">Snoek J, Larochelle H, Adams RP. Practical Bayesian Optimization of Machine Learning Algorithms. </w:t>
      </w:r>
      <w:r w:rsidRPr="00552484">
        <w:rPr>
          <w:rFonts w:eastAsia="Malgun Gothic"/>
          <w:i/>
          <w:iCs/>
          <w:lang w:eastAsia="ko-KR"/>
        </w:rPr>
        <w:t>Adv Neural Inf Process Syst</w:t>
      </w:r>
      <w:r w:rsidRPr="00552484">
        <w:rPr>
          <w:rFonts w:eastAsia="Malgun Gothic"/>
          <w:lang w:eastAsia="ko-KR"/>
        </w:rPr>
        <w:t xml:space="preserve">. </w:t>
      </w:r>
      <w:proofErr w:type="gramStart"/>
      <w:r w:rsidRPr="00552484">
        <w:rPr>
          <w:rFonts w:eastAsia="Malgun Gothic"/>
          <w:lang w:eastAsia="ko-KR"/>
        </w:rPr>
        <w:t>2012;25:2951</w:t>
      </w:r>
      <w:proofErr w:type="gramEnd"/>
      <w:r w:rsidRPr="00552484">
        <w:rPr>
          <w:rFonts w:eastAsia="Malgun Gothic"/>
          <w:lang w:eastAsia="ko-KR"/>
        </w:rPr>
        <w:t>–9.</w:t>
      </w:r>
    </w:p>
    <w:p w14:paraId="14F2599A" w14:textId="6723A8E4" w:rsidR="007B6C94" w:rsidRDefault="00922FE3" w:rsidP="00F732D8">
      <w:pPr>
        <w:pStyle w:val="ListParagraph"/>
        <w:numPr>
          <w:ilvl w:val="0"/>
          <w:numId w:val="1"/>
        </w:numPr>
        <w:rPr>
          <w:rFonts w:eastAsia="Malgun Gothic"/>
          <w:lang w:eastAsia="ko-KR"/>
        </w:rPr>
      </w:pPr>
      <w:r w:rsidRPr="00922FE3">
        <w:rPr>
          <w:rFonts w:eastAsia="Malgun Gothic"/>
          <w:lang w:eastAsia="ko-KR"/>
        </w:rPr>
        <w:t xml:space="preserve">Jepkoech J, Mugo DM, </w:t>
      </w:r>
      <w:proofErr w:type="spellStart"/>
      <w:r w:rsidRPr="00922FE3">
        <w:rPr>
          <w:rFonts w:eastAsia="Malgun Gothic"/>
          <w:lang w:eastAsia="ko-KR"/>
        </w:rPr>
        <w:t>Kenduiywo</w:t>
      </w:r>
      <w:proofErr w:type="spellEnd"/>
      <w:r w:rsidRPr="00922FE3">
        <w:rPr>
          <w:rFonts w:eastAsia="Malgun Gothic"/>
          <w:lang w:eastAsia="ko-KR"/>
        </w:rPr>
        <w:t xml:space="preserve"> BK, Too EC. The effect of adaptive learning </w:t>
      </w:r>
      <w:proofErr w:type="gramStart"/>
      <w:r w:rsidRPr="00922FE3">
        <w:rPr>
          <w:rFonts w:eastAsia="Malgun Gothic"/>
          <w:lang w:eastAsia="ko-KR"/>
        </w:rPr>
        <w:t>rate</w:t>
      </w:r>
      <w:proofErr w:type="gramEnd"/>
      <w:r w:rsidRPr="00922FE3">
        <w:rPr>
          <w:rFonts w:eastAsia="Malgun Gothic"/>
          <w:lang w:eastAsia="ko-KR"/>
        </w:rPr>
        <w:t xml:space="preserve"> on the accuracy of neural networks. </w:t>
      </w:r>
      <w:r w:rsidRPr="00922FE3">
        <w:rPr>
          <w:rFonts w:eastAsia="Malgun Gothic"/>
          <w:i/>
          <w:iCs/>
          <w:lang w:eastAsia="ko-KR"/>
        </w:rPr>
        <w:t xml:space="preserve">Int J Adv </w:t>
      </w:r>
      <w:proofErr w:type="spellStart"/>
      <w:r w:rsidRPr="00922FE3">
        <w:rPr>
          <w:rFonts w:eastAsia="Malgun Gothic"/>
          <w:i/>
          <w:iCs/>
          <w:lang w:eastAsia="ko-KR"/>
        </w:rPr>
        <w:t>Comput</w:t>
      </w:r>
      <w:proofErr w:type="spellEnd"/>
      <w:r w:rsidRPr="00922FE3">
        <w:rPr>
          <w:rFonts w:eastAsia="Malgun Gothic"/>
          <w:i/>
          <w:iCs/>
          <w:lang w:eastAsia="ko-KR"/>
        </w:rPr>
        <w:t xml:space="preserve"> Sci Appl</w:t>
      </w:r>
      <w:r w:rsidRPr="00922FE3">
        <w:rPr>
          <w:rFonts w:eastAsia="Malgun Gothic"/>
          <w:lang w:eastAsia="ko-KR"/>
        </w:rPr>
        <w:t xml:space="preserve">. 2021;12(8). Available from: </w:t>
      </w:r>
      <w:hyperlink r:id="rId15" w:history="1">
        <w:r w:rsidRPr="005E4654">
          <w:rPr>
            <w:rStyle w:val="Hyperlink"/>
            <w:rFonts w:eastAsia="Malgun Gothic"/>
            <w:lang w:eastAsia="ko-KR"/>
          </w:rPr>
          <w:t>https://doi.org/10.14569/ijacsa.2021.0120885</w:t>
        </w:r>
      </w:hyperlink>
    </w:p>
    <w:p w14:paraId="7B205128" w14:textId="7730AF93" w:rsidR="00EF032D" w:rsidRDefault="00277E66" w:rsidP="00F732D8">
      <w:pPr>
        <w:pStyle w:val="ListParagraph"/>
        <w:numPr>
          <w:ilvl w:val="0"/>
          <w:numId w:val="1"/>
        </w:numPr>
        <w:rPr>
          <w:rFonts w:eastAsia="Malgun Gothic"/>
          <w:lang w:eastAsia="ko-KR"/>
        </w:rPr>
      </w:pPr>
      <w:proofErr w:type="spellStart"/>
      <w:r w:rsidRPr="00277E66">
        <w:rPr>
          <w:rFonts w:eastAsia="Malgun Gothic"/>
          <w:lang w:eastAsia="ko-KR"/>
        </w:rPr>
        <w:lastRenderedPageBreak/>
        <w:t>Bjorck</w:t>
      </w:r>
      <w:proofErr w:type="spellEnd"/>
      <w:r w:rsidRPr="00277E66">
        <w:rPr>
          <w:rFonts w:eastAsia="Malgun Gothic"/>
          <w:lang w:eastAsia="ko-KR"/>
        </w:rPr>
        <w:t xml:space="preserve"> J, Gomes</w:t>
      </w:r>
      <w:r w:rsidR="000A4C6D">
        <w:rPr>
          <w:rFonts w:eastAsia="Malgun Gothic"/>
          <w:lang w:eastAsia="ko-KR"/>
        </w:rPr>
        <w:t xml:space="preserve"> C</w:t>
      </w:r>
      <w:r w:rsidRPr="00277E66">
        <w:rPr>
          <w:rFonts w:eastAsia="Malgun Gothic"/>
          <w:lang w:eastAsia="ko-KR"/>
        </w:rPr>
        <w:t>, Selman</w:t>
      </w:r>
      <w:r w:rsidR="000A4C6D">
        <w:rPr>
          <w:rFonts w:eastAsia="Malgun Gothic"/>
          <w:lang w:eastAsia="ko-KR"/>
        </w:rPr>
        <w:t xml:space="preserve"> B</w:t>
      </w:r>
      <w:r w:rsidRPr="00277E66">
        <w:rPr>
          <w:rFonts w:eastAsia="Malgun Gothic"/>
          <w:lang w:eastAsia="ko-KR"/>
        </w:rPr>
        <w:t>, Weinberger</w:t>
      </w:r>
      <w:r w:rsidR="000A4C6D">
        <w:rPr>
          <w:rFonts w:eastAsia="Malgun Gothic"/>
          <w:lang w:eastAsia="ko-KR"/>
        </w:rPr>
        <w:t xml:space="preserve"> K</w:t>
      </w:r>
      <w:r w:rsidRPr="00277E66">
        <w:rPr>
          <w:rFonts w:eastAsia="Malgun Gothic"/>
          <w:lang w:eastAsia="ko-KR"/>
        </w:rPr>
        <w:t>. Understanding Batch Normalization. In Proceedings of the 32nd International Conference on Neural Information Processing Systems</w:t>
      </w:r>
      <w:r w:rsidR="00F217C2">
        <w:rPr>
          <w:rFonts w:eastAsia="Malgun Gothic"/>
          <w:lang w:eastAsia="ko-KR"/>
        </w:rPr>
        <w:t xml:space="preserve"> (</w:t>
      </w:r>
      <w:r w:rsidR="00401AA5" w:rsidRPr="00401AA5">
        <w:rPr>
          <w:rFonts w:eastAsia="Malgun Gothic"/>
          <w:lang w:eastAsia="ko-KR"/>
        </w:rPr>
        <w:t>NIPS’18</w:t>
      </w:r>
      <w:r w:rsidR="00401AA5">
        <w:rPr>
          <w:rFonts w:eastAsia="Malgun Gothic"/>
          <w:lang w:eastAsia="ko-KR"/>
        </w:rPr>
        <w:t>).</w:t>
      </w:r>
      <w:r w:rsidRPr="00277E66">
        <w:rPr>
          <w:rFonts w:eastAsia="Malgun Gothic"/>
          <w:lang w:eastAsia="ko-KR"/>
        </w:rPr>
        <w:t xml:space="preserve"> Red Hook, NY</w:t>
      </w:r>
      <w:r w:rsidR="00750EC1">
        <w:rPr>
          <w:rFonts w:eastAsia="Malgun Gothic"/>
          <w:lang w:eastAsia="ko-KR"/>
        </w:rPr>
        <w:t>:</w:t>
      </w:r>
      <w:r w:rsidRPr="00277E66">
        <w:rPr>
          <w:rFonts w:eastAsia="Malgun Gothic"/>
          <w:lang w:eastAsia="ko-KR"/>
        </w:rPr>
        <w:t xml:space="preserve"> Curran Associates Inc.</w:t>
      </w:r>
      <w:r w:rsidR="00750EC1">
        <w:rPr>
          <w:rFonts w:eastAsia="Malgun Gothic"/>
          <w:lang w:eastAsia="ko-KR"/>
        </w:rPr>
        <w:t>: 2018:</w:t>
      </w:r>
      <w:r w:rsidR="00750EC1" w:rsidRPr="00277E66">
        <w:rPr>
          <w:rFonts w:eastAsia="Malgun Gothic"/>
          <w:lang w:eastAsia="ko-KR"/>
        </w:rPr>
        <w:t>7705–16</w:t>
      </w:r>
      <w:r w:rsidR="00BD2698">
        <w:rPr>
          <w:rFonts w:eastAsia="Malgun Gothic"/>
          <w:lang w:eastAsia="ko-KR"/>
        </w:rPr>
        <w:t xml:space="preserve">. Available from: </w:t>
      </w:r>
      <w:hyperlink r:id="rId16" w:history="1">
        <w:r w:rsidR="00BD2698" w:rsidRPr="003458D1">
          <w:rPr>
            <w:rStyle w:val="Hyperlink"/>
            <w:rFonts w:eastAsia="Malgun Gothic"/>
            <w:lang w:eastAsia="ko-KR"/>
          </w:rPr>
          <w:t>https://dl.acm.org/doi/pdf/10.5555/3327757.3327868</w:t>
        </w:r>
      </w:hyperlink>
      <w:r w:rsidR="004E4605">
        <w:rPr>
          <w:rFonts w:eastAsia="Malgun Gothic"/>
          <w:lang w:eastAsia="ko-KR"/>
        </w:rPr>
        <w:t>.</w:t>
      </w:r>
    </w:p>
    <w:p w14:paraId="341C0CF6" w14:textId="0D6CFEC1" w:rsidR="00BD2698" w:rsidRDefault="000A06B6" w:rsidP="00F732D8">
      <w:pPr>
        <w:pStyle w:val="ListParagraph"/>
        <w:numPr>
          <w:ilvl w:val="0"/>
          <w:numId w:val="1"/>
        </w:numPr>
        <w:rPr>
          <w:rFonts w:eastAsia="Malgun Gothic"/>
          <w:lang w:eastAsia="ko-KR"/>
        </w:rPr>
      </w:pPr>
      <w:proofErr w:type="spellStart"/>
      <w:r w:rsidRPr="000A06B6">
        <w:rPr>
          <w:rFonts w:eastAsia="Malgun Gothic"/>
          <w:lang w:eastAsia="ko-KR"/>
        </w:rPr>
        <w:t>Klambauer</w:t>
      </w:r>
      <w:proofErr w:type="spellEnd"/>
      <w:r w:rsidRPr="000A06B6">
        <w:rPr>
          <w:rFonts w:eastAsia="Malgun Gothic"/>
          <w:lang w:eastAsia="ko-KR"/>
        </w:rPr>
        <w:t xml:space="preserve"> G, </w:t>
      </w:r>
      <w:proofErr w:type="spellStart"/>
      <w:r w:rsidRPr="000A06B6">
        <w:rPr>
          <w:rFonts w:eastAsia="Malgun Gothic"/>
          <w:lang w:eastAsia="ko-KR"/>
        </w:rPr>
        <w:t>Unterthiner</w:t>
      </w:r>
      <w:proofErr w:type="spellEnd"/>
      <w:r w:rsidRPr="000A06B6">
        <w:rPr>
          <w:rFonts w:eastAsia="Malgun Gothic"/>
          <w:lang w:eastAsia="ko-KR"/>
        </w:rPr>
        <w:t xml:space="preserve"> T, Mayr A, Hochreiter S. Self-normalizing neural networks. In: Advances in Neural Information Processing Systems 30 (NIPS 2017). Long Beach, CA: Curran Associates Inc.; 2017</w:t>
      </w:r>
      <w:r w:rsidR="0075440E">
        <w:rPr>
          <w:rFonts w:eastAsia="Malgun Gothic"/>
          <w:lang w:eastAsia="ko-KR"/>
        </w:rPr>
        <w:t>:</w:t>
      </w:r>
      <w:r w:rsidRPr="000A06B6">
        <w:rPr>
          <w:rFonts w:eastAsia="Malgun Gothic"/>
          <w:lang w:eastAsia="ko-KR"/>
        </w:rPr>
        <w:t xml:space="preserve">971-80. Available from: </w:t>
      </w:r>
      <w:hyperlink r:id="rId17" w:history="1">
        <w:r w:rsidRPr="003458D1">
          <w:rPr>
            <w:rStyle w:val="Hyperlink"/>
            <w:rFonts w:eastAsia="Malgun Gothic"/>
            <w:lang w:eastAsia="ko-KR"/>
          </w:rPr>
          <w:t>https://proceedings.neurips.cc/paper/2017/file/5d44ee6f2c3f71b73125876103c8f6c4-Paper.pdf</w:t>
        </w:r>
      </w:hyperlink>
    </w:p>
    <w:p w14:paraId="285DF440" w14:textId="77777777" w:rsidR="00C36D6E" w:rsidRDefault="00C36D6E" w:rsidP="00C36D6E">
      <w:pPr>
        <w:pStyle w:val="ListParagraph"/>
        <w:numPr>
          <w:ilvl w:val="0"/>
          <w:numId w:val="1"/>
        </w:numPr>
        <w:rPr>
          <w:rFonts w:eastAsia="Malgun Gothic"/>
          <w:lang w:eastAsia="ko-KR"/>
        </w:rPr>
      </w:pPr>
      <w:r w:rsidRPr="00983B16">
        <w:rPr>
          <w:rFonts w:eastAsia="Malgun Gothic"/>
          <w:lang w:eastAsia="ko-KR"/>
        </w:rPr>
        <w:t xml:space="preserve">Harrell FE Jr, Califf RM, Pryor DB, Lee KL, Rosati RA. Evaluating the yield of medical tests. </w:t>
      </w:r>
      <w:r w:rsidRPr="00983B16">
        <w:rPr>
          <w:rFonts w:eastAsia="Malgun Gothic"/>
          <w:i/>
          <w:iCs/>
          <w:lang w:eastAsia="ko-KR"/>
        </w:rPr>
        <w:t>JAMA</w:t>
      </w:r>
      <w:r w:rsidRPr="00983B16">
        <w:rPr>
          <w:rFonts w:eastAsia="Malgun Gothic"/>
          <w:lang w:eastAsia="ko-KR"/>
        </w:rPr>
        <w:t>. 1982;247(18):2543–6. doi:10.1001/jama.1982.03320430047030.</w:t>
      </w:r>
    </w:p>
    <w:p w14:paraId="0C5DB75D" w14:textId="18014C82" w:rsidR="00061ACD" w:rsidRPr="00061ACD" w:rsidRDefault="0055661E" w:rsidP="00061ACD">
      <w:pPr>
        <w:pStyle w:val="ListParagraph"/>
        <w:numPr>
          <w:ilvl w:val="0"/>
          <w:numId w:val="1"/>
        </w:numPr>
        <w:rPr>
          <w:rFonts w:eastAsia="Malgun Gothic"/>
          <w:lang w:eastAsia="ko-KR"/>
        </w:rPr>
      </w:pPr>
      <w:r w:rsidRPr="0055661E">
        <w:rPr>
          <w:rFonts w:eastAsia="Malgun Gothic"/>
          <w:lang w:eastAsia="ko-KR"/>
        </w:rPr>
        <w:t xml:space="preserve">Uno H, Cai T, </w:t>
      </w:r>
      <w:proofErr w:type="spellStart"/>
      <w:r w:rsidRPr="0055661E">
        <w:rPr>
          <w:rFonts w:eastAsia="Malgun Gothic"/>
          <w:lang w:eastAsia="ko-KR"/>
        </w:rPr>
        <w:t>Pencina</w:t>
      </w:r>
      <w:proofErr w:type="spellEnd"/>
      <w:r w:rsidRPr="0055661E">
        <w:rPr>
          <w:rFonts w:eastAsia="Malgun Gothic"/>
          <w:lang w:eastAsia="ko-KR"/>
        </w:rPr>
        <w:t xml:space="preserve"> MJ, D’Agostino RB, Wei LJ. On the C-</w:t>
      </w:r>
      <w:proofErr w:type="gramStart"/>
      <w:r w:rsidRPr="0055661E">
        <w:rPr>
          <w:rFonts w:eastAsia="Malgun Gothic"/>
          <w:lang w:eastAsia="ko-KR"/>
        </w:rPr>
        <w:t>statistic</w:t>
      </w:r>
      <w:proofErr w:type="gramEnd"/>
      <w:r w:rsidRPr="0055661E">
        <w:rPr>
          <w:rFonts w:eastAsia="Malgun Gothic"/>
          <w:lang w:eastAsia="ko-KR"/>
        </w:rPr>
        <w:t xml:space="preserve"> for evaluating overall adequacy of risk prediction procedures with censored survival data. </w:t>
      </w:r>
      <w:r w:rsidRPr="0055661E">
        <w:rPr>
          <w:rFonts w:eastAsia="Malgun Gothic"/>
          <w:i/>
          <w:iCs/>
          <w:lang w:eastAsia="ko-KR"/>
        </w:rPr>
        <w:t>Stat Med</w:t>
      </w:r>
      <w:r w:rsidRPr="0055661E">
        <w:rPr>
          <w:rFonts w:eastAsia="Malgun Gothic"/>
          <w:lang w:eastAsia="ko-KR"/>
        </w:rPr>
        <w:t>. 2011;30(10):1105–1117. doi:</w:t>
      </w:r>
      <w:hyperlink r:id="rId18" w:tgtFrame="_blank" w:history="1">
        <w:r w:rsidR="00061ACD" w:rsidRPr="00061ACD">
          <w:rPr>
            <w:rStyle w:val="Hyperlink"/>
            <w:rFonts w:eastAsia="Malgun Gothic"/>
            <w:lang w:eastAsia="ko-KR"/>
          </w:rPr>
          <w:t>10.1002/sim.4154</w:t>
        </w:r>
      </w:hyperlink>
    </w:p>
    <w:p w14:paraId="0AB3AD5E" w14:textId="6F08F28E" w:rsidR="00DB4092" w:rsidRPr="00DB4092" w:rsidRDefault="00E22436" w:rsidP="00DB4092">
      <w:pPr>
        <w:pStyle w:val="ListParagraph"/>
        <w:numPr>
          <w:ilvl w:val="0"/>
          <w:numId w:val="1"/>
        </w:numPr>
        <w:rPr>
          <w:rFonts w:eastAsia="Malgun Gothic"/>
          <w:lang w:eastAsia="ko-KR"/>
        </w:rPr>
      </w:pPr>
      <w:r w:rsidRPr="00E22436">
        <w:rPr>
          <w:rFonts w:eastAsia="Malgun Gothic"/>
          <w:lang w:eastAsia="ko-KR"/>
        </w:rPr>
        <w:t>Harrell FE Jr, Lee KL, Mark DB. Multivariable prognostic models: Issues in developing models, evaluating assumptions and adequacy, and measuring and reducing errors. Stat Med. 1996;15(4):361–387. doi:</w:t>
      </w:r>
      <w:hyperlink r:id="rId19" w:tgtFrame="_blank" w:history="1">
        <w:r w:rsidR="00DB4092" w:rsidRPr="00DB4092">
          <w:rPr>
            <w:rStyle w:val="Hyperlink"/>
            <w:rFonts w:eastAsia="Malgun Gothic"/>
            <w:lang w:eastAsia="ko-KR"/>
          </w:rPr>
          <w:t>10.1002/(SICI)1097-0258(19960229)15:4&lt;361::AID-SIM168&gt;3.0.CO;2-4</w:t>
        </w:r>
      </w:hyperlink>
    </w:p>
    <w:p w14:paraId="3A7AD41F" w14:textId="1AF174C1" w:rsidR="004F5AF1" w:rsidRPr="004F5AF1" w:rsidRDefault="004F5AF1" w:rsidP="004F5AF1">
      <w:pPr>
        <w:pStyle w:val="ListParagraph"/>
        <w:numPr>
          <w:ilvl w:val="0"/>
          <w:numId w:val="1"/>
        </w:numPr>
        <w:rPr>
          <w:rFonts w:eastAsia="Malgun Gothic"/>
          <w:lang w:eastAsia="ko-KR"/>
        </w:rPr>
      </w:pPr>
      <w:proofErr w:type="spellStart"/>
      <w:r w:rsidRPr="004F5AF1">
        <w:rPr>
          <w:rFonts w:eastAsia="Malgun Gothic"/>
          <w:lang w:eastAsia="ko-KR"/>
        </w:rPr>
        <w:t>Pencina</w:t>
      </w:r>
      <w:proofErr w:type="spellEnd"/>
      <w:r w:rsidRPr="004F5AF1">
        <w:rPr>
          <w:rFonts w:eastAsia="Malgun Gothic"/>
          <w:lang w:eastAsia="ko-KR"/>
        </w:rPr>
        <w:t xml:space="preserve"> MJ, D’Agostino RB. Overall C as a measure of discrimination in survival analysis: Model specific population value and confidence interval estimation. Stat Med. 2004;23(13):2109–2123. doi:</w:t>
      </w:r>
      <w:hyperlink r:id="rId20" w:tgtFrame="_blank" w:history="1">
        <w:r w:rsidRPr="004F5AF1">
          <w:rPr>
            <w:rStyle w:val="Hyperlink"/>
            <w:rFonts w:eastAsia="Malgun Gothic"/>
            <w:lang w:eastAsia="ko-KR"/>
          </w:rPr>
          <w:t>10.1002/sim.1802</w:t>
        </w:r>
      </w:hyperlink>
    </w:p>
    <w:p w14:paraId="280A8E9E" w14:textId="5FB6EEA7" w:rsidR="00BD54A8" w:rsidRPr="00BD54A8" w:rsidRDefault="00205B9E" w:rsidP="00BD54A8">
      <w:pPr>
        <w:pStyle w:val="ListParagraph"/>
        <w:numPr>
          <w:ilvl w:val="0"/>
          <w:numId w:val="1"/>
        </w:numPr>
        <w:rPr>
          <w:rFonts w:eastAsia="Malgun Gothic"/>
          <w:lang w:eastAsia="ko-KR"/>
        </w:rPr>
      </w:pPr>
      <w:proofErr w:type="spellStart"/>
      <w:r w:rsidRPr="00205B9E">
        <w:rPr>
          <w:rFonts w:eastAsia="Malgun Gothic"/>
          <w:lang w:eastAsia="ko-KR"/>
        </w:rPr>
        <w:t>Steyerberg</w:t>
      </w:r>
      <w:proofErr w:type="spellEnd"/>
      <w:r w:rsidRPr="00205B9E">
        <w:rPr>
          <w:rFonts w:eastAsia="Malgun Gothic"/>
          <w:lang w:eastAsia="ko-KR"/>
        </w:rPr>
        <w:t xml:space="preserve"> EW, Van </w:t>
      </w:r>
      <w:proofErr w:type="spellStart"/>
      <w:r w:rsidRPr="00205B9E">
        <w:rPr>
          <w:rFonts w:eastAsia="Malgun Gothic"/>
          <w:lang w:eastAsia="ko-KR"/>
        </w:rPr>
        <w:t>Calster</w:t>
      </w:r>
      <w:proofErr w:type="spellEnd"/>
      <w:r w:rsidRPr="00205B9E">
        <w:rPr>
          <w:rFonts w:eastAsia="Malgun Gothic"/>
          <w:lang w:eastAsia="ko-KR"/>
        </w:rPr>
        <w:t xml:space="preserve"> B, </w:t>
      </w:r>
      <w:proofErr w:type="spellStart"/>
      <w:r w:rsidRPr="00205B9E">
        <w:rPr>
          <w:rFonts w:eastAsia="Malgun Gothic"/>
          <w:lang w:eastAsia="ko-KR"/>
        </w:rPr>
        <w:t>Pencina</w:t>
      </w:r>
      <w:proofErr w:type="spellEnd"/>
      <w:r w:rsidRPr="00205B9E">
        <w:rPr>
          <w:rFonts w:eastAsia="Malgun Gothic"/>
          <w:lang w:eastAsia="ko-KR"/>
        </w:rPr>
        <w:t xml:space="preserve"> MJ. Performance measures for prediction models and their evaluation in the presence of censoring. Stat Methods Med Res. 2018;27(9):2504–2525. doi:</w:t>
      </w:r>
      <w:hyperlink r:id="rId21" w:tgtFrame="_blank" w:history="1">
        <w:r w:rsidR="00BD54A8" w:rsidRPr="00BD54A8">
          <w:rPr>
            <w:rStyle w:val="Hyperlink"/>
            <w:rFonts w:eastAsia="Malgun Gothic"/>
            <w:lang w:eastAsia="ko-KR"/>
          </w:rPr>
          <w:t>10.1016/j.recesp.2011.04.017</w:t>
        </w:r>
      </w:hyperlink>
    </w:p>
    <w:p w14:paraId="34DE3406" w14:textId="58AA9383" w:rsidR="002A0F75" w:rsidRPr="002A0F75" w:rsidRDefault="002A0F75" w:rsidP="002A0F75">
      <w:pPr>
        <w:pStyle w:val="ListParagraph"/>
        <w:numPr>
          <w:ilvl w:val="0"/>
          <w:numId w:val="1"/>
        </w:numPr>
        <w:rPr>
          <w:rFonts w:eastAsia="Malgun Gothic"/>
          <w:lang w:eastAsia="ko-KR"/>
        </w:rPr>
      </w:pPr>
      <w:proofErr w:type="spellStart"/>
      <w:r w:rsidRPr="002A0F75">
        <w:rPr>
          <w:rFonts w:eastAsia="Malgun Gothic"/>
          <w:lang w:eastAsia="ko-KR"/>
        </w:rPr>
        <w:t>SynGO</w:t>
      </w:r>
      <w:proofErr w:type="spellEnd"/>
      <w:r w:rsidRPr="002A0F75">
        <w:rPr>
          <w:rFonts w:eastAsia="Malgun Gothic"/>
          <w:lang w:eastAsia="ko-KR"/>
        </w:rPr>
        <w:t xml:space="preserve"> Consortium. </w:t>
      </w:r>
      <w:proofErr w:type="spellStart"/>
      <w:r w:rsidRPr="002A0F75">
        <w:rPr>
          <w:rFonts w:eastAsia="Malgun Gothic"/>
          <w:lang w:eastAsia="ko-KR"/>
        </w:rPr>
        <w:t>SynGO</w:t>
      </w:r>
      <w:proofErr w:type="spellEnd"/>
      <w:r w:rsidRPr="002A0F75">
        <w:rPr>
          <w:rFonts w:eastAsia="Malgun Gothic"/>
          <w:lang w:eastAsia="ko-KR"/>
        </w:rPr>
        <w:t xml:space="preserve"> - ID Conversion Tool. SynGo.org; 2019. Available from: </w:t>
      </w:r>
      <w:hyperlink r:id="rId22" w:history="1">
        <w:r w:rsidRPr="00C90676">
          <w:rPr>
            <w:rStyle w:val="Hyperlink"/>
            <w:rFonts w:eastAsia="Malgun Gothic"/>
            <w:lang w:eastAsia="ko-KR"/>
          </w:rPr>
          <w:t>https://www.syngoportal.org/convert</w:t>
        </w:r>
      </w:hyperlink>
      <w:r w:rsidRPr="002A0F75">
        <w:rPr>
          <w:rFonts w:eastAsia="Malgun Gothic"/>
          <w:lang w:eastAsia="ko-KR"/>
        </w:rPr>
        <w:t>.</w:t>
      </w:r>
    </w:p>
    <w:p w14:paraId="778D2DF3" w14:textId="2A0EACD1" w:rsidR="000A06B6" w:rsidRDefault="000A06B6" w:rsidP="00F732D8">
      <w:pPr>
        <w:pStyle w:val="ListParagraph"/>
        <w:numPr>
          <w:ilvl w:val="0"/>
          <w:numId w:val="1"/>
        </w:numPr>
        <w:rPr>
          <w:rFonts w:eastAsia="Malgun Gothic"/>
          <w:lang w:eastAsia="ko-KR"/>
        </w:rPr>
      </w:pPr>
    </w:p>
    <w:p w14:paraId="293912C4" w14:textId="77777777" w:rsidR="00B05BD3" w:rsidRDefault="00B05BD3" w:rsidP="00B05BD3">
      <w:pPr>
        <w:pStyle w:val="ListParagraph"/>
        <w:rPr>
          <w:rFonts w:eastAsia="Malgun Gothic"/>
          <w:lang w:eastAsia="ko-KR"/>
        </w:rPr>
      </w:pPr>
    </w:p>
    <w:p w14:paraId="6241D40D" w14:textId="77777777" w:rsidR="00BD4E3D" w:rsidRPr="00CD4FCE" w:rsidRDefault="00BD4E3D" w:rsidP="00CD4FCE">
      <w:pPr>
        <w:pStyle w:val="ListParagraph"/>
        <w:rPr>
          <w:rFonts w:eastAsia="Malgun Gothic"/>
          <w:lang w:eastAsia="ko-KR"/>
        </w:rPr>
      </w:pPr>
    </w:p>
    <w:sectPr w:rsidR="00BD4E3D" w:rsidRPr="00CD4FCE">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ojin Moon" w:date="2025-02-09T14:29:00Z" w:initials="HM">
    <w:p w14:paraId="26580659" w14:textId="77777777" w:rsidR="005203ED" w:rsidRDefault="005203ED" w:rsidP="005203ED">
      <w:pPr>
        <w:pStyle w:val="CommentText"/>
      </w:pPr>
      <w:r>
        <w:rPr>
          <w:rStyle w:val="CommentReference"/>
        </w:rPr>
        <w:annotationRef/>
      </w:r>
      <w:r>
        <w:rPr>
          <w:color w:val="1B1B1B"/>
          <w:highlight w:val="white"/>
        </w:rPr>
        <w:t>Lee CC, Ding X, Zhao T, Wu L, Perkins S, Du H, Yan C. Transthyretin Stimulates Tumor Growth through Regulation of Tumor, Immune, and Endothelial Cells. J Immunol. 2019 Feb 1;202(3):991-1002. doi: 10.4049/jimmunol.1800736.</w:t>
      </w:r>
      <w:r>
        <w:t xml:space="preserve"> </w:t>
      </w:r>
    </w:p>
    <w:p w14:paraId="19F839C2" w14:textId="77777777" w:rsidR="005203ED" w:rsidRDefault="005203ED" w:rsidP="005203ED">
      <w:pPr>
        <w:pStyle w:val="CommentText"/>
      </w:pPr>
    </w:p>
    <w:p w14:paraId="3A1D882C" w14:textId="77777777" w:rsidR="005203ED" w:rsidRDefault="005203ED" w:rsidP="005203ED">
      <w:pPr>
        <w:pStyle w:val="CommentText"/>
      </w:pPr>
      <w:r>
        <w:rPr>
          <w:color w:val="1B1B1B"/>
          <w:highlight w:val="white"/>
        </w:rPr>
        <w:t>Shimura T, Shibata M, Inoue T, Owada-Ozaki Y, Yamaura T, Muto S, Hasegawa T, Shio Y, Suzuki H. Prognostic impact of serum transthyretin in patients with non-small cell lung cancer. Mol Clin Oncol. 2019 Jun;10(6):597-604. doi: 10.3892/mco.2019.1837.</w:t>
      </w:r>
      <w:r>
        <w:t xml:space="preserve"> </w:t>
      </w:r>
    </w:p>
  </w:comment>
  <w:comment w:id="1" w:author="Hojin Moon" w:date="2025-02-15T09:49:00Z" w:initials="HM">
    <w:p w14:paraId="3F942B00" w14:textId="77777777" w:rsidR="00F64A30" w:rsidRDefault="00F64A30" w:rsidP="00F64A30">
      <w:pPr>
        <w:pStyle w:val="CommentText"/>
      </w:pPr>
      <w:r>
        <w:rPr>
          <w:rStyle w:val="CommentReference"/>
        </w:rPr>
        <w:annotationRef/>
      </w:r>
      <w:r>
        <w:t xml:space="preserve">Sedo A, Krepela E, Kasafírek E. Dipeptidyl peptidase IV, prolyl endopeptidase and cathepsin B activities in primary human lung tumors and lung parenchyma. J Cancer Res Clin Oncol. 1991;117(3):249-53. doi: 10.1007/BF01625433. </w:t>
      </w:r>
    </w:p>
  </w:comment>
  <w:comment w:id="2" w:author="Hojin Moon" w:date="2025-02-15T09:53:00Z" w:initials="HM">
    <w:p w14:paraId="644CCFE5" w14:textId="77777777" w:rsidR="00D91951" w:rsidRDefault="00D91951" w:rsidP="00D91951">
      <w:pPr>
        <w:pStyle w:val="CommentText"/>
      </w:pPr>
      <w:r>
        <w:rPr>
          <w:rStyle w:val="CommentReference"/>
        </w:rPr>
        <w:annotationRef/>
      </w:r>
      <w:r>
        <w:t xml:space="preserve">Liu L, Song X, Li X, Xue L, Ding S, Niu L, Xie L, Song X. A three-platelet mRNA set: MAX, MTURN and HLA-B as biomarker for lung cancer. J Cancer Res Clin Oncol. 2019 Nov;145(11):2713-2723. doi: 10.1007/s00432-019-03032-9. </w:t>
      </w:r>
    </w:p>
  </w:comment>
  <w:comment w:id="3" w:author="Hojin Moon" w:date="2025-02-15T10:22:00Z" w:initials="HM">
    <w:p w14:paraId="534756E8" w14:textId="77777777" w:rsidR="00A37960" w:rsidRDefault="00A37960" w:rsidP="00A37960">
      <w:pPr>
        <w:pStyle w:val="CommentText"/>
      </w:pPr>
      <w:r>
        <w:rPr>
          <w:rStyle w:val="CommentReference"/>
        </w:rPr>
        <w:annotationRef/>
      </w:r>
      <w:r>
        <w:t xml:space="preserve">Enfield, K.S.S., Marshall, E.A., Anderson, C. </w:t>
      </w:r>
      <w:r>
        <w:rPr>
          <w:i/>
          <w:iCs/>
        </w:rPr>
        <w:t>et al.</w:t>
      </w:r>
      <w:r>
        <w:t xml:space="preserve"> Epithelial tumor suppressor ELF3 is a lineage-specific amplified oncogene in lung adenocarcinoma. </w:t>
      </w:r>
      <w:r>
        <w:rPr>
          <w:i/>
          <w:iCs/>
        </w:rPr>
        <w:t>Nat Commun</w:t>
      </w:r>
      <w:r>
        <w:t xml:space="preserve"> </w:t>
      </w:r>
      <w:r>
        <w:rPr>
          <w:b/>
          <w:bCs/>
        </w:rPr>
        <w:t>10</w:t>
      </w:r>
      <w:r>
        <w:t xml:space="preserve">, 5438 (2019). https://doi.org/10.1038/s41467-019-13295-y </w:t>
      </w:r>
    </w:p>
  </w:comment>
  <w:comment w:id="4" w:author="Hojin Moon" w:date="2025-02-16T12:32:00Z" w:initials="HM">
    <w:p w14:paraId="15D6B9BC" w14:textId="77777777" w:rsidR="00116385" w:rsidRDefault="00116385" w:rsidP="00116385">
      <w:pPr>
        <w:pStyle w:val="CommentText"/>
      </w:pPr>
      <w:r>
        <w:rPr>
          <w:rStyle w:val="CommentReference"/>
        </w:rPr>
        <w:annotationRef/>
      </w:r>
      <w:r>
        <w:rPr>
          <w:color w:val="1B1B1B"/>
          <w:highlight w:val="white"/>
        </w:rPr>
        <w:t>Ay A.S., Benzerdjeb N., Sevestre H., Ahidouch A., Ouadid-Ahidouch H. Orai3 constitutes a native store-operated calcium entry that regulates non small cell lung adenocarcinoma cell proliferation. PLoS ONE. 2013;8:e72889. doi: 10.1371/journal.pone.0072889.</w:t>
      </w:r>
      <w:r>
        <w:t xml:space="preserve"> </w:t>
      </w:r>
    </w:p>
  </w:comment>
  <w:comment w:id="5" w:author="Hojin Moon" w:date="2025-02-16T14:04:00Z" w:initials="HM">
    <w:p w14:paraId="3BA8ABC0" w14:textId="77777777" w:rsidR="00627D2B" w:rsidRDefault="00627D2B" w:rsidP="00627D2B">
      <w:pPr>
        <w:pStyle w:val="CommentText"/>
      </w:pPr>
      <w:r>
        <w:rPr>
          <w:rStyle w:val="CommentReference"/>
        </w:rPr>
        <w:annotationRef/>
      </w:r>
      <w:r>
        <w:rPr>
          <w:color w:val="1B1B1B"/>
          <w:highlight w:val="white"/>
        </w:rPr>
        <w:t>Kim DS, Kwon NS, Yun HY. Leucine rich repeat LGI family member 3: Integrative analyses reveal its prognostic association with non-small cell lung cancer. Oncol Lett. 2019 Sep;18(3):3388-3398. doi: 10.3892/ol.2019.10648.</w:t>
      </w:r>
      <w:r>
        <w:rPr>
          <w:color w:val="333333"/>
          <w:highlight w:val="white"/>
        </w:rPr>
        <w:t xml:space="preserve"> </w:t>
      </w:r>
    </w:p>
  </w:comment>
  <w:comment w:id="6" w:author="Hojin Moon" w:date="2025-02-16T14:11:00Z" w:initials="HM">
    <w:p w14:paraId="1CFD50D9" w14:textId="77777777" w:rsidR="00D00A7B" w:rsidRDefault="00D00A7B" w:rsidP="00D00A7B">
      <w:pPr>
        <w:pStyle w:val="CommentText"/>
      </w:pPr>
      <w:r>
        <w:rPr>
          <w:rStyle w:val="CommentReference"/>
        </w:rPr>
        <w:annotationRef/>
      </w:r>
      <w:r>
        <w:rPr>
          <w:color w:val="212121"/>
          <w:highlight w:val="white"/>
        </w:rPr>
        <w:t xml:space="preserve">Xu C, Wang W, Zhang YZ, Huang JM, Xie YJ, Wang QQ, Fan XX, Yao XJ, Xie C, Wang XR, Yan PY, Ma YP, Wu QB, Leung EL. Plumbagin suppresses non-small cell lung cancer progression through downregulating ARF1 and by elevating CD8+ T cells. Pharmacol Res. 2021 Jul;169:105656. doi: 10.1016/j.phrs.2021.105656. </w:t>
      </w:r>
    </w:p>
  </w:comment>
  <w:comment w:id="7" w:author="Hojin Moon" w:date="2025-02-16T14:12:00Z" w:initials="HM">
    <w:p w14:paraId="3FEFABAE" w14:textId="77777777" w:rsidR="006A4D32" w:rsidRDefault="006A4D32" w:rsidP="006A4D32">
      <w:pPr>
        <w:pStyle w:val="CommentText"/>
      </w:pPr>
      <w:r>
        <w:rPr>
          <w:rStyle w:val="CommentReference"/>
        </w:rPr>
        <w:annotationRef/>
      </w:r>
      <w:r>
        <w:rPr>
          <w:color w:val="212121"/>
          <w:highlight w:val="white"/>
        </w:rPr>
        <w:t xml:space="preserve">Zhou W, Zhao L, Yuan H, Xu L, Tan W, Song Y, Fang X. A new small cell lung cancer biomarker identified by Cell-SELEX generated aptamers. Exp Cell Res. 2019 Sep 15;382(2):111478. doi: 10.1016/j.yexcr.2019.06.023. </w:t>
      </w:r>
    </w:p>
  </w:comment>
  <w:comment w:id="8" w:author="Hojin Moon" w:date="2025-02-16T14:14:00Z" w:initials="HM">
    <w:p w14:paraId="7030953E" w14:textId="77777777" w:rsidR="0024424B" w:rsidRDefault="0024424B" w:rsidP="0024424B">
      <w:pPr>
        <w:pStyle w:val="CommentText"/>
      </w:pPr>
      <w:r>
        <w:rPr>
          <w:rStyle w:val="CommentReference"/>
        </w:rPr>
        <w:annotationRef/>
      </w:r>
      <w:r>
        <w:rPr>
          <w:color w:val="1B1B1B"/>
          <w:highlight w:val="white"/>
        </w:rPr>
        <w:t>Ren W, Yue C, Liu L, Du L, Xu K, Zhou Y. Overexpression of Bruton Tyrosine Kinase Inhibits the Proliferation, Migration, and Invasion of Non-Small Cell Lung Cancer Cells. Anal Cell Pathol (Amst). 2023 Aug 18;2023:3377316. doi: 10.1155/2023/3377316.</w:t>
      </w:r>
      <w:r>
        <w:rPr>
          <w:color w:val="333333"/>
          <w:highlight w:val="white"/>
        </w:rPr>
        <w:t xml:space="preserve"> </w:t>
      </w:r>
    </w:p>
  </w:comment>
  <w:comment w:id="9" w:author="Hojin Moon" w:date="2025-02-16T14:14:00Z" w:initials="HM">
    <w:p w14:paraId="209766AB" w14:textId="77777777" w:rsidR="00EC566F" w:rsidRDefault="00EC566F" w:rsidP="00EC566F">
      <w:pPr>
        <w:pStyle w:val="CommentText"/>
      </w:pPr>
      <w:r>
        <w:rPr>
          <w:rStyle w:val="CommentReference"/>
        </w:rPr>
        <w:annotationRef/>
      </w:r>
      <w:r>
        <w:rPr>
          <w:color w:val="1B1B1B"/>
          <w:highlight w:val="white"/>
        </w:rPr>
        <w:t>Xu F, Gu J, Lu C, Mao W, Wang L, Zhu Q, Liu Z, Chu Y, Liu R, Ge D. Calpain-2 Enhances Non-Small Cell Lung Cancer Progression and Chemoresistance to Paclitaxel via EGFR-pAKT Pathway. Int J Biol Sci. 2019 Jan 6;15(1):127-137. doi: 10.7150/ijbs.28834.</w:t>
      </w:r>
      <w:r>
        <w:t xml:space="preserve"> </w:t>
      </w:r>
    </w:p>
  </w:comment>
  <w:comment w:id="10" w:author="Hojin Moon" w:date="2025-02-16T14:21:00Z" w:initials="HM">
    <w:p w14:paraId="209771C7" w14:textId="77777777" w:rsidR="00627D72" w:rsidRDefault="00627D72" w:rsidP="00627D72">
      <w:pPr>
        <w:pStyle w:val="CommentText"/>
      </w:pPr>
      <w:r>
        <w:rPr>
          <w:rStyle w:val="CommentReference"/>
        </w:rPr>
        <w:annotationRef/>
      </w:r>
      <w:r>
        <w:rPr>
          <w:color w:val="212121"/>
          <w:highlight w:val="white"/>
        </w:rPr>
        <w:t>Chen Q, Shen L, Li S. Emerging role of inositol monophosphatase in cancer. Biomed Pharmacother. 2023 May;161:114442. doi: 10.1016/j.biopha.2023.114442.</w:t>
      </w:r>
      <w:r>
        <w:t xml:space="preserve"> </w:t>
      </w:r>
    </w:p>
  </w:comment>
  <w:comment w:id="11" w:author="Hojin Moon" w:date="2025-02-16T14:21:00Z" w:initials="HM">
    <w:p w14:paraId="30BF18D9" w14:textId="77777777" w:rsidR="00211012" w:rsidRDefault="00211012" w:rsidP="00211012">
      <w:pPr>
        <w:pStyle w:val="CommentText"/>
      </w:pPr>
      <w:r>
        <w:rPr>
          <w:rStyle w:val="CommentReference"/>
        </w:rPr>
        <w:annotationRef/>
      </w:r>
      <w:r>
        <w:rPr>
          <w:color w:val="212121"/>
          <w:highlight w:val="white"/>
        </w:rPr>
        <w:t>Huang H, Gu J, Kuang X, Yu Y, Rao B, Fang S, Lu J, Qiu F. An integrative pan-cancer analysis of WWC family genes and functional validation in lung cancer. Cell Signal. 2024 Mar;115:111034. doi: 10.1016/j.cellsig.2024.111034. </w:t>
      </w:r>
      <w:r>
        <w:t xml:space="preserve"> </w:t>
      </w:r>
    </w:p>
  </w:comment>
  <w:comment w:id="12" w:author="Hojin Moon" w:date="2025-02-09T14:39:00Z" w:initials="HM">
    <w:p w14:paraId="04DB4A1D" w14:textId="47801F46" w:rsidR="00B61222" w:rsidRDefault="00B61222" w:rsidP="00B61222">
      <w:pPr>
        <w:pStyle w:val="CommentText"/>
      </w:pPr>
      <w:r>
        <w:rPr>
          <w:rStyle w:val="CommentReference"/>
        </w:rPr>
        <w:annotationRef/>
      </w:r>
      <w:r>
        <w:t xml:space="preserve">Zhu J, Mou Y, Ye S, Hu H, Wang R, Yang Q, Hu Y. Identification of a Six-Gene SLC Family Signature With Prognostic Value in Patients With Lung Adenocarcinoma. Front Cell Dev Biol. 2021 Dec 15;9:803198. doi: 10.3389/fcell.2021.803198. </w:t>
      </w:r>
    </w:p>
  </w:comment>
  <w:comment w:id="13" w:author="Hojin Moon" w:date="2025-02-16T14:26:00Z" w:initials="HM">
    <w:p w14:paraId="40103D9F" w14:textId="77777777" w:rsidR="008D02BF" w:rsidRDefault="008D02BF" w:rsidP="008D02BF">
      <w:pPr>
        <w:pStyle w:val="CommentText"/>
      </w:pPr>
      <w:r>
        <w:rPr>
          <w:rStyle w:val="CommentReference"/>
        </w:rPr>
        <w:annotationRef/>
      </w:r>
      <w:r>
        <w:rPr>
          <w:color w:val="222222"/>
          <w:highlight w:val="white"/>
        </w:rPr>
        <w:t>Harjes, U. E-selectin fills two needs for metastasis. </w:t>
      </w:r>
      <w:r>
        <w:rPr>
          <w:i/>
          <w:iCs/>
          <w:color w:val="222222"/>
          <w:highlight w:val="white"/>
        </w:rPr>
        <w:t>Nat Rev Cancer</w:t>
      </w:r>
      <w:r>
        <w:rPr>
          <w:color w:val="222222"/>
          <w:highlight w:val="white"/>
        </w:rPr>
        <w:t> </w:t>
      </w:r>
      <w:r>
        <w:rPr>
          <w:b/>
          <w:bCs/>
          <w:color w:val="222222"/>
          <w:highlight w:val="white"/>
        </w:rPr>
        <w:t>19</w:t>
      </w:r>
      <w:r>
        <w:rPr>
          <w:color w:val="222222"/>
          <w:highlight w:val="white"/>
        </w:rPr>
        <w:t>, 301 (2019). https://doi.org/10.1038/s41568-019-0151-7</w:t>
      </w:r>
      <w:r>
        <w:t xml:space="preserve"> </w:t>
      </w:r>
    </w:p>
  </w:comment>
  <w:comment w:id="14" w:author="Hojin Moon" w:date="2025-02-16T14:34:00Z" w:initials="HM">
    <w:p w14:paraId="675C3551" w14:textId="77777777" w:rsidR="00CF1E38" w:rsidRDefault="00CF1E38" w:rsidP="00CF1E38">
      <w:pPr>
        <w:pStyle w:val="CommentText"/>
      </w:pPr>
      <w:r>
        <w:rPr>
          <w:rStyle w:val="CommentReference"/>
        </w:rPr>
        <w:annotationRef/>
      </w:r>
      <w:r>
        <w:rPr>
          <w:color w:val="212121"/>
          <w:highlight w:val="white"/>
        </w:rPr>
        <w:t>Sansregret L, Patterson JO, Dewhurst S, López-García C, Koch A, McGranahan N, Chao WCH, Barry DJ, Rowan A, Instrell R, Horswell S, Way M, Howell M, Singleton MR, Medema RH, Nurse P, Petronczki M, Swanton C. APC/C Dysfunction Limits Excessive Cancer Chromosomal Instability. Cancer Discov. 2017 Feb;7(2):218-233. doi: 10.1158/2159-8290.CD-16-0645. </w:t>
      </w:r>
      <w:r>
        <w:t xml:space="preserve"> </w:t>
      </w:r>
    </w:p>
  </w:comment>
  <w:comment w:id="15" w:author="Hojin Moon" w:date="2025-02-16T14:34:00Z" w:initials="HM">
    <w:p w14:paraId="4378A9F9" w14:textId="77777777" w:rsidR="00D20FC6" w:rsidRDefault="00D20FC6" w:rsidP="00D20FC6">
      <w:pPr>
        <w:pStyle w:val="CommentText"/>
      </w:pPr>
      <w:r>
        <w:rPr>
          <w:rStyle w:val="CommentReference"/>
        </w:rPr>
        <w:annotationRef/>
      </w:r>
      <w:r>
        <w:rPr>
          <w:color w:val="1B1B1B"/>
          <w:highlight w:val="white"/>
        </w:rPr>
        <w:t>Cascone R, Carlucci A, Pierdiluca M, Santini M, Fiorelli A. Prognostic value of soluble major histocompatibility complex class I polypeptide-related sequence A in non-small-cell lung cancer - significance and development. Lung Cancer (Auckl). 2017 Oct 10;8:161-167. doi: 10.2147/LCTT.S105623.</w:t>
      </w:r>
      <w:r>
        <w:rPr>
          <w:color w:val="333333"/>
          <w:highlight w:val="white"/>
        </w:rPr>
        <w:t xml:space="preserve"> </w:t>
      </w:r>
    </w:p>
  </w:comment>
  <w:comment w:id="16" w:author="Hojin Moon" w:date="2025-02-16T14:35:00Z" w:initials="HM">
    <w:p w14:paraId="5B0B1908" w14:textId="77777777" w:rsidR="00355E42" w:rsidRDefault="00355E42" w:rsidP="00355E42">
      <w:pPr>
        <w:pStyle w:val="CommentText"/>
      </w:pPr>
      <w:r>
        <w:rPr>
          <w:rStyle w:val="CommentReference"/>
        </w:rPr>
        <w:annotationRef/>
      </w:r>
      <w:r>
        <w:rPr>
          <w:color w:val="1B1B1B"/>
          <w:highlight w:val="white"/>
        </w:rPr>
        <w:t>Dai J, Gu J, Lu C, Lin J, Stewart D, Chang D, Roth JA, Wu X. Genetic variations in the regulator of G-protein signaling genes are associated with survival in late-stage non-small cell lung cancer. PLoS One. 2011;6(6):e21120. doi: 10.1371/journal.pone.0021120.</w:t>
      </w:r>
      <w:r>
        <w:rPr>
          <w:color w:val="333333"/>
          <w:highlight w:val="white"/>
        </w:rPr>
        <w:t xml:space="preserve"> </w:t>
      </w:r>
    </w:p>
  </w:comment>
  <w:comment w:id="17" w:author="Hojin Moon" w:date="2025-02-16T14:35:00Z" w:initials="HM">
    <w:p w14:paraId="01AD2229" w14:textId="77777777" w:rsidR="00212CFC" w:rsidRDefault="00212CFC" w:rsidP="00212CFC">
      <w:pPr>
        <w:pStyle w:val="CommentText"/>
      </w:pPr>
      <w:r>
        <w:rPr>
          <w:rStyle w:val="CommentReference"/>
        </w:rPr>
        <w:annotationRef/>
      </w:r>
      <w:r>
        <w:rPr>
          <w:color w:val="1B1B1B"/>
          <w:highlight w:val="white"/>
        </w:rPr>
        <w:t>Lian Z, Yan X, Diao Y, Cui D, Liu H. T cell differentiation protein 2 facilitates cell proliferation by enhancing mTOR-mediated ribosome biogenesis in non-small cell lung cancer. Discov Oncol. 2022 Apr 18;13(1):26. doi: 10.1007/s12672-022-00488-z.</w:t>
      </w:r>
      <w:r>
        <w:rPr>
          <w:color w:val="333333"/>
          <w:highlight w:val="white"/>
        </w:rPr>
        <w:t xml:space="preserve"> </w:t>
      </w:r>
    </w:p>
  </w:comment>
  <w:comment w:id="18" w:author="Hojin Moon" w:date="2025-02-16T14:40:00Z" w:initials="HM">
    <w:p w14:paraId="2D6D153F" w14:textId="77777777" w:rsidR="00E05261" w:rsidRDefault="00E05261" w:rsidP="00E05261">
      <w:pPr>
        <w:pStyle w:val="CommentText"/>
      </w:pPr>
      <w:r>
        <w:rPr>
          <w:rStyle w:val="CommentReference"/>
        </w:rPr>
        <w:annotationRef/>
      </w:r>
      <w:r>
        <w:rPr>
          <w:color w:val="1B1B1B"/>
          <w:highlight w:val="white"/>
        </w:rPr>
        <w:t>Zhang B, Zhang Z, Li L, Qin YR, Liu H, Jiang C, Zeng TT, Li MQ, Xie D, Li Y, Guan XY, Zhu YH. TSPAN15 interacts with BTRC to promote oesophageal squamous cell carcinoma metastasis via activating NF-κB signaling. Nat Commun. 2018 Apr 12;9(1):1423. doi: 10.1038/s41467-018-03716-9. </w:t>
      </w:r>
      <w:r>
        <w:rPr>
          <w:color w:val="000000"/>
        </w:rPr>
        <w:t xml:space="preserve"> </w:t>
      </w:r>
    </w:p>
  </w:comment>
  <w:comment w:id="19" w:author="Hojin Moon" w:date="2025-02-16T14:48:00Z" w:initials="HM">
    <w:p w14:paraId="2B16E2CB" w14:textId="77777777" w:rsidR="00976EA8" w:rsidRDefault="00976EA8" w:rsidP="00976EA8">
      <w:pPr>
        <w:pStyle w:val="CommentText"/>
      </w:pPr>
      <w:r>
        <w:rPr>
          <w:rStyle w:val="CommentReference"/>
        </w:rPr>
        <w:annotationRef/>
      </w:r>
      <w:r>
        <w:rPr>
          <w:color w:val="333333"/>
          <w:highlight w:val="white"/>
        </w:rPr>
        <w:t>Jen, J., Wang, YC. Zinc finger proteins in cancer progression. </w:t>
      </w:r>
      <w:r>
        <w:rPr>
          <w:i/>
          <w:iCs/>
          <w:color w:val="333333"/>
          <w:highlight w:val="white"/>
        </w:rPr>
        <w:t>J Biomed Sci</w:t>
      </w:r>
      <w:r>
        <w:rPr>
          <w:color w:val="333333"/>
          <w:highlight w:val="white"/>
        </w:rPr>
        <w:t> </w:t>
      </w:r>
      <w:r>
        <w:rPr>
          <w:b/>
          <w:bCs/>
          <w:color w:val="333333"/>
          <w:highlight w:val="white"/>
        </w:rPr>
        <w:t>23</w:t>
      </w:r>
      <w:r>
        <w:rPr>
          <w:color w:val="333333"/>
          <w:highlight w:val="white"/>
        </w:rPr>
        <w:t>, 53 (2016). https://doi.org/10.1186/s12929-016-0269-9</w:t>
      </w:r>
      <w:r>
        <w:t xml:space="preserve"> </w:t>
      </w:r>
    </w:p>
  </w:comment>
  <w:comment w:id="20" w:author="Hojin Moon" w:date="2025-02-16T14:50:00Z" w:initials="HM">
    <w:p w14:paraId="796DE329" w14:textId="77777777" w:rsidR="009610D4" w:rsidRDefault="00AA4DF9" w:rsidP="009610D4">
      <w:pPr>
        <w:pStyle w:val="CommentText"/>
      </w:pPr>
      <w:r>
        <w:rPr>
          <w:rStyle w:val="CommentReference"/>
        </w:rPr>
        <w:annotationRef/>
      </w:r>
      <w:r w:rsidR="009610D4">
        <w:rPr>
          <w:color w:val="1B1B1B"/>
          <w:highlight w:val="white"/>
        </w:rPr>
        <w:t>Takata Y, Xiang YB, Burk RF, Li H, Hill KE, Cai H, Gao J, Zheng W, Shu XO, Cai Q. Plasma selenoprotein P concentration and lung cancer risk: results from a case-control study nested within the Shanghai Men's Health Study. Carcinogenesis. 2018 Dec 13;39(11):1352-1358. doi: 10.1093/carcin/bgy103.</w:t>
      </w:r>
      <w:r w:rsidR="009610D4">
        <w:t xml:space="preserve"> </w:t>
      </w:r>
    </w:p>
    <w:p w14:paraId="07B09954" w14:textId="77777777" w:rsidR="009610D4" w:rsidRDefault="009610D4" w:rsidP="009610D4">
      <w:pPr>
        <w:pStyle w:val="CommentText"/>
      </w:pPr>
    </w:p>
    <w:p w14:paraId="1CF6E1B1" w14:textId="77777777" w:rsidR="009610D4" w:rsidRDefault="009610D4" w:rsidP="009610D4">
      <w:pPr>
        <w:pStyle w:val="CommentText"/>
      </w:pPr>
    </w:p>
    <w:p w14:paraId="20F0590B" w14:textId="77777777" w:rsidR="009610D4" w:rsidRDefault="009610D4" w:rsidP="009610D4">
      <w:pPr>
        <w:pStyle w:val="CommentText"/>
      </w:pPr>
      <w:r>
        <w:t xml:space="preserve">Schöttker, B., Holleczek, B., Hybsier, S. </w:t>
      </w:r>
      <w:r>
        <w:rPr>
          <w:i/>
          <w:iCs/>
        </w:rPr>
        <w:t>et al.</w:t>
      </w:r>
      <w:r>
        <w:t xml:space="preserve"> Strong associations of serum selenoprotein P with all-cause mortality and mortality due to cancer, cardiovascular, respiratory and gastrointestinal diseases in older German adults. </w:t>
      </w:r>
      <w:r>
        <w:rPr>
          <w:i/>
          <w:iCs/>
        </w:rPr>
        <w:t>Eur J Epidemiol</w:t>
      </w:r>
      <w:r>
        <w:t xml:space="preserve"> </w:t>
      </w:r>
      <w:r>
        <w:rPr>
          <w:b/>
          <w:bCs/>
        </w:rPr>
        <w:t>39</w:t>
      </w:r>
      <w:r>
        <w:t xml:space="preserve">, 121–136 (2024). https://doi.org/10.1007/s10654-023-01091-4 </w:t>
      </w:r>
    </w:p>
  </w:comment>
  <w:comment w:id="21" w:author="Hojin Moon" w:date="2025-02-16T14:56:00Z" w:initials="HM">
    <w:p w14:paraId="2B749BEA" w14:textId="77777777" w:rsidR="003E286B" w:rsidRDefault="00A65471" w:rsidP="003E286B">
      <w:pPr>
        <w:pStyle w:val="CommentText"/>
      </w:pPr>
      <w:r>
        <w:rPr>
          <w:rStyle w:val="CommentReference"/>
        </w:rPr>
        <w:annotationRef/>
      </w:r>
      <w:r w:rsidR="003E286B">
        <w:rPr>
          <w:color w:val="1B1B1B"/>
          <w:highlight w:val="white"/>
        </w:rPr>
        <w:t>Bui QT, Hong JH, Kwak M, Lee JY, Lee PC. Ubiquitin-Conjugating Enzymes in Cancer. Cells. 2021 Jun 4;10(6):1383. doi: 10.3390/cells10061383.</w:t>
      </w:r>
      <w:r w:rsidR="003E286B">
        <w:t xml:space="preserve"> </w:t>
      </w:r>
    </w:p>
    <w:p w14:paraId="338E3414" w14:textId="77777777" w:rsidR="003E286B" w:rsidRDefault="003E286B" w:rsidP="003E286B">
      <w:pPr>
        <w:pStyle w:val="CommentText"/>
      </w:pPr>
    </w:p>
    <w:p w14:paraId="6145C52D" w14:textId="77777777" w:rsidR="003E286B" w:rsidRDefault="003E286B" w:rsidP="003E286B">
      <w:pPr>
        <w:pStyle w:val="CommentText"/>
      </w:pPr>
      <w:r>
        <w:t xml:space="preserve">Yen, M.-C.; Wu, K.-L.; Liu, Y.-W.; Chang, Y.-Y.; Chang, C.-Y.; Hung, J.-Y.; Tsai, Y.-M.; Hsu, Y.-L. Ubiquitin Conjugating Enzyme E2 H (UBE2H) Is Linked to Poor Outcomes and Metastasis in Lung Adenocarcinoma. </w:t>
      </w:r>
      <w:r>
        <w:rPr>
          <w:i/>
          <w:iCs/>
        </w:rPr>
        <w:t>Biology</w:t>
      </w:r>
      <w:r>
        <w:t xml:space="preserve"> </w:t>
      </w:r>
      <w:r>
        <w:rPr>
          <w:b/>
          <w:bCs/>
        </w:rPr>
        <w:t>2021</w:t>
      </w:r>
      <w:r>
        <w:t xml:space="preserve">, </w:t>
      </w:r>
      <w:r>
        <w:rPr>
          <w:i/>
          <w:iCs/>
        </w:rPr>
        <w:t>10</w:t>
      </w:r>
      <w:r>
        <w:t xml:space="preserve">, 378. https://doi.org/10.3390/biology10050378 </w:t>
      </w:r>
    </w:p>
  </w:comment>
  <w:comment w:id="22" w:author="Hojin Moon" w:date="2025-02-16T14:58:00Z" w:initials="HM">
    <w:p w14:paraId="27C482D3" w14:textId="0BEE53AD" w:rsidR="00B740C6" w:rsidRDefault="00B740C6" w:rsidP="00B740C6">
      <w:pPr>
        <w:pStyle w:val="CommentText"/>
      </w:pPr>
      <w:r>
        <w:rPr>
          <w:rStyle w:val="CommentReference"/>
        </w:rPr>
        <w:annotationRef/>
      </w:r>
      <w:r>
        <w:rPr>
          <w:color w:val="1B1B1B"/>
          <w:highlight w:val="white"/>
        </w:rPr>
        <w:t>Zou Z, Zhang B, Li Z, Lei L, Sun G, Jiang X, Guan J, Zhang Y, Xu S, Li Q. KBTBD7 promotes non-small cell lung carcinoma progression by enhancing ubiquitin-dependent degradation of PTEN. Cancer Med. 2022 Dec;11(23):4544-4554. doi: 10.1002/cam4.4794.</w:t>
      </w:r>
      <w:r>
        <w:t xml:space="preserve"> </w:t>
      </w:r>
    </w:p>
  </w:comment>
  <w:comment w:id="23" w:author="Hojin Moon" w:date="2025-02-16T14:59:00Z" w:initials="HM">
    <w:p w14:paraId="602FC338" w14:textId="77777777" w:rsidR="00860357" w:rsidRDefault="006F0778" w:rsidP="00860357">
      <w:pPr>
        <w:pStyle w:val="CommentText"/>
      </w:pPr>
      <w:r>
        <w:rPr>
          <w:rStyle w:val="CommentReference"/>
        </w:rPr>
        <w:annotationRef/>
      </w:r>
      <w:r w:rsidR="00860357">
        <w:rPr>
          <w:color w:val="1B1B1B"/>
          <w:highlight w:val="white"/>
        </w:rPr>
        <w:t>Cui Y, Song Y, Yan S, Cao M, Huang J, Jia D, Liu Y, Zhang S, Fan W, Cai L, Li C, Xing Y. CUEDC1 inhibits epithelial-mesenchymal transition via the TβRI/Smad signaling pathway and suppresses tumor progression in non-small cell lung cancer. Aging (Albany NY). 2020 Oct 25;12(20):20047-20068. doi: 10.18632/aging.103329.</w:t>
      </w:r>
      <w:r w:rsidR="00860357">
        <w:rPr>
          <w:color w:val="333333"/>
          <w:highlight w:val="white"/>
        </w:rPr>
        <w:t xml:space="preserve"> </w:t>
      </w:r>
    </w:p>
    <w:p w14:paraId="2361364E" w14:textId="77777777" w:rsidR="00860357" w:rsidRDefault="00860357" w:rsidP="00860357">
      <w:pPr>
        <w:pStyle w:val="CommentText"/>
      </w:pPr>
    </w:p>
    <w:p w14:paraId="37740B2A" w14:textId="77777777" w:rsidR="00860357" w:rsidRDefault="00860357" w:rsidP="00860357">
      <w:pPr>
        <w:pStyle w:val="CommentText"/>
      </w:pPr>
      <w:r>
        <w:t xml:space="preserve">Kalluri R, Weinberg RA. The basics of epithelial-mesenchymal transition. J Clin Invest. 2009 Jun;119(6):1420-8. doi: 10.1172/JCI39104. Erratum in: J Clin Invest. 2010 May 3;120(5):1786. PMID: 19487818; PMCID: PMC2689101. </w:t>
      </w:r>
    </w:p>
  </w:comment>
  <w:comment w:id="24" w:author="Hojin Moon" w:date="2025-02-16T15:01:00Z" w:initials="HM">
    <w:p w14:paraId="24626F72" w14:textId="6855B572" w:rsidR="0076782D" w:rsidRDefault="0076782D" w:rsidP="0076782D">
      <w:pPr>
        <w:pStyle w:val="CommentText"/>
      </w:pPr>
      <w:r>
        <w:rPr>
          <w:rStyle w:val="CommentReference"/>
        </w:rPr>
        <w:annotationRef/>
      </w:r>
      <w:r>
        <w:rPr>
          <w:color w:val="1B1B1B"/>
          <w:highlight w:val="white"/>
        </w:rPr>
        <w:t>Ochieng JK, Kundu ST, Bajaj R, Leticia Rodriguez B, Fradette JJ, Gibbons DL. MBIP (MAP3K12 binding inhibitory protein) drives NSCLC metastasis by JNK-dependent activation of MMPs. Oncogene. 2020 Oct;39(43):6719-6732. doi: 10.1038/s41388-020-01463-0.</w:t>
      </w:r>
      <w:r>
        <w:t xml:space="preserve"> </w:t>
      </w:r>
    </w:p>
  </w:comment>
  <w:comment w:id="25" w:author="Hojin Moon" w:date="2025-02-16T15:04:00Z" w:initials="HM">
    <w:p w14:paraId="5DF2DBE7" w14:textId="77777777" w:rsidR="00547433" w:rsidRDefault="00547433" w:rsidP="00547433">
      <w:pPr>
        <w:pStyle w:val="CommentText"/>
      </w:pPr>
      <w:r>
        <w:rPr>
          <w:rStyle w:val="CommentReference"/>
        </w:rPr>
        <w:annotationRef/>
      </w:r>
      <w:r>
        <w:rPr>
          <w:color w:val="1B1B1B"/>
          <w:highlight w:val="white"/>
        </w:rPr>
        <w:t>Shen S, Zhang R, Guo Y, Loehrer E, Wei Y, Zhu Y, Yuan Q, Moran S, Fleischer T, Bjaanaes MM, Karlsson A, Planck M, Staaf J, Helland Å, Esteller M, Su L, Chen F, Christiani DC. A multi-omic study reveals BTG2 as a reliable prognostic marker for early-stage non-small cell lung cancer. Mol Oncol. 2018 Jun;12(6):913-924. doi: 10.1002/1878-0261.12204.</w:t>
      </w:r>
      <w:r>
        <w:t xml:space="preserve"> </w:t>
      </w:r>
    </w:p>
  </w:comment>
  <w:comment w:id="26" w:author="Hojin Moon" w:date="2025-02-16T15:04:00Z" w:initials="HM">
    <w:p w14:paraId="7D09F573" w14:textId="77777777" w:rsidR="004B784D" w:rsidRDefault="004B784D" w:rsidP="004B784D">
      <w:pPr>
        <w:pStyle w:val="CommentText"/>
      </w:pPr>
      <w:r>
        <w:rPr>
          <w:rStyle w:val="CommentReference"/>
        </w:rPr>
        <w:annotationRef/>
      </w:r>
      <w:r>
        <w:rPr>
          <w:color w:val="1B1B1B"/>
          <w:highlight w:val="white"/>
        </w:rPr>
        <w:t>El-Khoury V, Béland M, Schritz A, Kim SY, Nazarov PV, Gaboury L, Sertamo K, Bernardin F, Batutu R, Antunes L, Bennett CW, Faÿs F, Berchem G, Kim YJ. Identification of beta-arrestin-1 as a diagnostic biomarker in lung cancer. Br J Cancer. 2018 Aug;119(5):580-590. doi: 10.1038/s41416-018-0200-0.</w:t>
      </w:r>
      <w:r>
        <w:rPr>
          <w:color w:val="333333"/>
          <w:highlight w:val="white"/>
        </w:rPr>
        <w:t xml:space="preserve"> </w:t>
      </w:r>
    </w:p>
  </w:comment>
  <w:comment w:id="27" w:author="Hojin Moon" w:date="2025-02-16T15:06:00Z" w:initials="HM">
    <w:p w14:paraId="4FD0D02A" w14:textId="77777777" w:rsidR="005B2FF7" w:rsidRDefault="005B2FF7" w:rsidP="005B2FF7">
      <w:pPr>
        <w:pStyle w:val="CommentText"/>
      </w:pPr>
      <w:r>
        <w:rPr>
          <w:rStyle w:val="CommentReference"/>
        </w:rPr>
        <w:annotationRef/>
      </w:r>
      <w:r>
        <w:rPr>
          <w:color w:val="1B1B1B"/>
          <w:highlight w:val="white"/>
        </w:rPr>
        <w:t>Shi Y, Wang X, Xu Z, He Y, Guo C, He L, Huan C, Cai C, Huang J, Zhang J, Li Y, Zeng C, Zhang X, Wang L, Ke Y, Cheng H. PDLIM5 inhibits STUB1-mediated degradation of SMAD3 and promotes the migration and invasion of lung cancer cells. J Biol Chem. 2020 Oct 2;295(40):13798-13811. doi: 10.1074/jbc.RA120.014976. </w:t>
      </w:r>
      <w:r>
        <w:t xml:space="preserve"> </w:t>
      </w:r>
    </w:p>
  </w:comment>
  <w:comment w:id="28" w:author="Hojin Moon" w:date="2025-02-09T15:00:00Z" w:initials="HM">
    <w:p w14:paraId="6C647257" w14:textId="6766F776" w:rsidR="00683D72" w:rsidRDefault="00683D72" w:rsidP="00683D72">
      <w:pPr>
        <w:pStyle w:val="CommentText"/>
      </w:pPr>
      <w:r>
        <w:rPr>
          <w:rStyle w:val="CommentReference"/>
        </w:rPr>
        <w:annotationRef/>
      </w:r>
      <w:r>
        <w:t xml:space="preserve">Check with Phanny: If she has a result using only training and test 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D882C" w15:done="0"/>
  <w15:commentEx w15:paraId="3F942B00" w15:done="0"/>
  <w15:commentEx w15:paraId="644CCFE5" w15:done="0"/>
  <w15:commentEx w15:paraId="534756E8" w15:done="0"/>
  <w15:commentEx w15:paraId="15D6B9BC" w15:done="0"/>
  <w15:commentEx w15:paraId="3BA8ABC0" w15:done="0"/>
  <w15:commentEx w15:paraId="1CFD50D9" w15:done="0"/>
  <w15:commentEx w15:paraId="3FEFABAE" w15:done="0"/>
  <w15:commentEx w15:paraId="7030953E" w15:done="0"/>
  <w15:commentEx w15:paraId="209766AB" w15:done="0"/>
  <w15:commentEx w15:paraId="209771C7" w15:done="0"/>
  <w15:commentEx w15:paraId="30BF18D9" w15:done="0"/>
  <w15:commentEx w15:paraId="04DB4A1D" w15:done="0"/>
  <w15:commentEx w15:paraId="40103D9F" w15:done="0"/>
  <w15:commentEx w15:paraId="675C3551" w15:done="0"/>
  <w15:commentEx w15:paraId="4378A9F9" w15:done="0"/>
  <w15:commentEx w15:paraId="5B0B1908" w15:done="0"/>
  <w15:commentEx w15:paraId="01AD2229" w15:done="0"/>
  <w15:commentEx w15:paraId="2D6D153F" w15:done="0"/>
  <w15:commentEx w15:paraId="2B16E2CB" w15:done="0"/>
  <w15:commentEx w15:paraId="20F0590B" w15:done="0"/>
  <w15:commentEx w15:paraId="6145C52D" w15:done="0"/>
  <w15:commentEx w15:paraId="27C482D3" w15:done="0"/>
  <w15:commentEx w15:paraId="37740B2A" w15:done="0"/>
  <w15:commentEx w15:paraId="24626F72" w15:done="0"/>
  <w15:commentEx w15:paraId="5DF2DBE7" w15:done="0"/>
  <w15:commentEx w15:paraId="7D09F573" w15:done="0"/>
  <w15:commentEx w15:paraId="4FD0D02A" w15:done="0"/>
  <w15:commentEx w15:paraId="6C6472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B164B2" w16cex:dateUtc="2025-02-09T22:29:00Z"/>
  <w16cex:commentExtensible w16cex:durableId="26E04CF3" w16cex:dateUtc="2025-02-15T17:49:00Z"/>
  <w16cex:commentExtensible w16cex:durableId="2726A75A" w16cex:dateUtc="2025-02-15T17:53:00Z"/>
  <w16cex:commentExtensible w16cex:durableId="78D04301" w16cex:dateUtc="2025-02-15T18:22:00Z"/>
  <w16cex:commentExtensible w16cex:durableId="3CBD458F" w16cex:dateUtc="2025-02-16T20:32:00Z"/>
  <w16cex:commentExtensible w16cex:durableId="3528C91E" w16cex:dateUtc="2025-02-16T22:04:00Z"/>
  <w16cex:commentExtensible w16cex:durableId="2FDABC0E" w16cex:dateUtc="2025-02-16T22:11:00Z"/>
  <w16cex:commentExtensible w16cex:durableId="27E13293" w16cex:dateUtc="2025-02-16T22:12:00Z"/>
  <w16cex:commentExtensible w16cex:durableId="72321589" w16cex:dateUtc="2025-02-16T22:14:00Z"/>
  <w16cex:commentExtensible w16cex:durableId="24E2C7FB" w16cex:dateUtc="2025-02-16T22:14:00Z"/>
  <w16cex:commentExtensible w16cex:durableId="5B305D65" w16cex:dateUtc="2025-02-16T22:21:00Z"/>
  <w16cex:commentExtensible w16cex:durableId="2C7F1F73" w16cex:dateUtc="2025-02-16T22:21:00Z"/>
  <w16cex:commentExtensible w16cex:durableId="35EB9096" w16cex:dateUtc="2025-02-09T22:39:00Z"/>
  <w16cex:commentExtensible w16cex:durableId="49B4AACC" w16cex:dateUtc="2025-02-16T22:26:00Z"/>
  <w16cex:commentExtensible w16cex:durableId="0BCF04BA" w16cex:dateUtc="2025-02-16T22:34:00Z"/>
  <w16cex:commentExtensible w16cex:durableId="03771B3F" w16cex:dateUtc="2025-02-16T22:34:00Z"/>
  <w16cex:commentExtensible w16cex:durableId="6D21312C" w16cex:dateUtc="2025-02-16T22:35:00Z"/>
  <w16cex:commentExtensible w16cex:durableId="317D3162" w16cex:dateUtc="2025-02-16T22:35:00Z"/>
  <w16cex:commentExtensible w16cex:durableId="2E245F0F" w16cex:dateUtc="2025-02-16T22:40:00Z"/>
  <w16cex:commentExtensible w16cex:durableId="37FA13EB" w16cex:dateUtc="2025-02-16T22:48:00Z"/>
  <w16cex:commentExtensible w16cex:durableId="2A75901C" w16cex:dateUtc="2025-02-16T22:50:00Z"/>
  <w16cex:commentExtensible w16cex:durableId="1F23A351" w16cex:dateUtc="2025-02-16T22:56:00Z"/>
  <w16cex:commentExtensible w16cex:durableId="5836D4B7" w16cex:dateUtc="2025-02-16T22:58:00Z"/>
  <w16cex:commentExtensible w16cex:durableId="4576CFCB" w16cex:dateUtc="2025-02-16T22:59:00Z"/>
  <w16cex:commentExtensible w16cex:durableId="07100379" w16cex:dateUtc="2025-02-16T23:01:00Z"/>
  <w16cex:commentExtensible w16cex:durableId="51491B07" w16cex:dateUtc="2025-02-16T23:04:00Z"/>
  <w16cex:commentExtensible w16cex:durableId="2041B7A0" w16cex:dateUtc="2025-02-16T23:04:00Z"/>
  <w16cex:commentExtensible w16cex:durableId="508209FD" w16cex:dateUtc="2025-02-16T23:06:00Z"/>
  <w16cex:commentExtensible w16cex:durableId="48046E3E" w16cex:dateUtc="2025-02-09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D882C" w16cid:durableId="44B164B2"/>
  <w16cid:commentId w16cid:paraId="3F942B00" w16cid:durableId="26E04CF3"/>
  <w16cid:commentId w16cid:paraId="644CCFE5" w16cid:durableId="2726A75A"/>
  <w16cid:commentId w16cid:paraId="534756E8" w16cid:durableId="78D04301"/>
  <w16cid:commentId w16cid:paraId="15D6B9BC" w16cid:durableId="3CBD458F"/>
  <w16cid:commentId w16cid:paraId="3BA8ABC0" w16cid:durableId="3528C91E"/>
  <w16cid:commentId w16cid:paraId="1CFD50D9" w16cid:durableId="2FDABC0E"/>
  <w16cid:commentId w16cid:paraId="3FEFABAE" w16cid:durableId="27E13293"/>
  <w16cid:commentId w16cid:paraId="7030953E" w16cid:durableId="72321589"/>
  <w16cid:commentId w16cid:paraId="209766AB" w16cid:durableId="24E2C7FB"/>
  <w16cid:commentId w16cid:paraId="209771C7" w16cid:durableId="5B305D65"/>
  <w16cid:commentId w16cid:paraId="30BF18D9" w16cid:durableId="2C7F1F73"/>
  <w16cid:commentId w16cid:paraId="04DB4A1D" w16cid:durableId="35EB9096"/>
  <w16cid:commentId w16cid:paraId="40103D9F" w16cid:durableId="49B4AACC"/>
  <w16cid:commentId w16cid:paraId="675C3551" w16cid:durableId="0BCF04BA"/>
  <w16cid:commentId w16cid:paraId="4378A9F9" w16cid:durableId="03771B3F"/>
  <w16cid:commentId w16cid:paraId="5B0B1908" w16cid:durableId="6D21312C"/>
  <w16cid:commentId w16cid:paraId="01AD2229" w16cid:durableId="317D3162"/>
  <w16cid:commentId w16cid:paraId="2D6D153F" w16cid:durableId="2E245F0F"/>
  <w16cid:commentId w16cid:paraId="2B16E2CB" w16cid:durableId="37FA13EB"/>
  <w16cid:commentId w16cid:paraId="20F0590B" w16cid:durableId="2A75901C"/>
  <w16cid:commentId w16cid:paraId="6145C52D" w16cid:durableId="1F23A351"/>
  <w16cid:commentId w16cid:paraId="27C482D3" w16cid:durableId="5836D4B7"/>
  <w16cid:commentId w16cid:paraId="37740B2A" w16cid:durableId="4576CFCB"/>
  <w16cid:commentId w16cid:paraId="24626F72" w16cid:durableId="07100379"/>
  <w16cid:commentId w16cid:paraId="5DF2DBE7" w16cid:durableId="51491B07"/>
  <w16cid:commentId w16cid:paraId="7D09F573" w16cid:durableId="2041B7A0"/>
  <w16cid:commentId w16cid:paraId="4FD0D02A" w16cid:durableId="508209FD"/>
  <w16cid:commentId w16cid:paraId="6C647257" w16cid:durableId="48046E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73803" w14:textId="77777777" w:rsidR="009E5A2F" w:rsidRDefault="009E5A2F" w:rsidP="00BD247C">
      <w:pPr>
        <w:spacing w:after="0" w:line="240" w:lineRule="auto"/>
      </w:pPr>
      <w:r>
        <w:separator/>
      </w:r>
    </w:p>
  </w:endnote>
  <w:endnote w:type="continuationSeparator" w:id="0">
    <w:p w14:paraId="1002AFB1" w14:textId="77777777" w:rsidR="009E5A2F" w:rsidRDefault="009E5A2F" w:rsidP="00B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1396769"/>
      <w:docPartObj>
        <w:docPartGallery w:val="Page Numbers (Bottom of Page)"/>
        <w:docPartUnique/>
      </w:docPartObj>
    </w:sdtPr>
    <w:sdtEndPr>
      <w:rPr>
        <w:noProof/>
      </w:rPr>
    </w:sdtEndPr>
    <w:sdtContent>
      <w:p w14:paraId="15CEDE43" w14:textId="293B8AD7" w:rsidR="00BD247C" w:rsidRDefault="00BD24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3FB8E2" w14:textId="77777777" w:rsidR="00BD247C" w:rsidRDefault="00BD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AF838" w14:textId="77777777" w:rsidR="009E5A2F" w:rsidRDefault="009E5A2F" w:rsidP="00BD247C">
      <w:pPr>
        <w:spacing w:after="0" w:line="240" w:lineRule="auto"/>
      </w:pPr>
      <w:r>
        <w:separator/>
      </w:r>
    </w:p>
  </w:footnote>
  <w:footnote w:type="continuationSeparator" w:id="0">
    <w:p w14:paraId="2051DE84" w14:textId="77777777" w:rsidR="009E5A2F" w:rsidRDefault="009E5A2F" w:rsidP="00B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645B0"/>
    <w:multiLevelType w:val="multilevel"/>
    <w:tmpl w:val="75A0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4912"/>
    <w:multiLevelType w:val="multilevel"/>
    <w:tmpl w:val="ECE6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336E9"/>
    <w:multiLevelType w:val="hybridMultilevel"/>
    <w:tmpl w:val="A468D718"/>
    <w:lvl w:ilvl="0" w:tplc="0409000F">
      <w:start w:val="1"/>
      <w:numFmt w:val="decimal"/>
      <w:lvlText w:val="%1."/>
      <w:lvlJc w:val="left"/>
      <w:pPr>
        <w:ind w:left="38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910FA"/>
    <w:multiLevelType w:val="multilevel"/>
    <w:tmpl w:val="D9B6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2625C"/>
    <w:multiLevelType w:val="hybridMultilevel"/>
    <w:tmpl w:val="7B780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6102D"/>
    <w:multiLevelType w:val="multilevel"/>
    <w:tmpl w:val="855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783512">
    <w:abstractNumId w:val="4"/>
  </w:num>
  <w:num w:numId="2" w16cid:durableId="993877914">
    <w:abstractNumId w:val="2"/>
  </w:num>
  <w:num w:numId="3" w16cid:durableId="1121649235">
    <w:abstractNumId w:val="1"/>
  </w:num>
  <w:num w:numId="4" w16cid:durableId="1252352330">
    <w:abstractNumId w:val="3"/>
  </w:num>
  <w:num w:numId="5" w16cid:durableId="567349206">
    <w:abstractNumId w:val="0"/>
  </w:num>
  <w:num w:numId="6" w16cid:durableId="12631437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jin Moon">
    <w15:presenceInfo w15:providerId="AD" w15:userId="S::Hojin.Moon@csulb.edu::98d62d66-ccac-486b-b6d0-332dc15c2d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7F"/>
    <w:rsid w:val="0000307E"/>
    <w:rsid w:val="00003550"/>
    <w:rsid w:val="00003A2A"/>
    <w:rsid w:val="0000408B"/>
    <w:rsid w:val="00013310"/>
    <w:rsid w:val="00015640"/>
    <w:rsid w:val="0001583A"/>
    <w:rsid w:val="00016BC3"/>
    <w:rsid w:val="000229DB"/>
    <w:rsid w:val="00024903"/>
    <w:rsid w:val="000279EE"/>
    <w:rsid w:val="00030261"/>
    <w:rsid w:val="00031A1B"/>
    <w:rsid w:val="00032FE0"/>
    <w:rsid w:val="00034B02"/>
    <w:rsid w:val="000351DB"/>
    <w:rsid w:val="00037739"/>
    <w:rsid w:val="00040EB5"/>
    <w:rsid w:val="00040F8F"/>
    <w:rsid w:val="00042631"/>
    <w:rsid w:val="00043D3E"/>
    <w:rsid w:val="00044F90"/>
    <w:rsid w:val="00046B98"/>
    <w:rsid w:val="00046E5E"/>
    <w:rsid w:val="000470C0"/>
    <w:rsid w:val="00050DC9"/>
    <w:rsid w:val="000511C0"/>
    <w:rsid w:val="00052287"/>
    <w:rsid w:val="00054D66"/>
    <w:rsid w:val="000564C6"/>
    <w:rsid w:val="00056EC3"/>
    <w:rsid w:val="00061ACD"/>
    <w:rsid w:val="00063541"/>
    <w:rsid w:val="0006369E"/>
    <w:rsid w:val="00066BD0"/>
    <w:rsid w:val="00066EBB"/>
    <w:rsid w:val="0007338F"/>
    <w:rsid w:val="0007625B"/>
    <w:rsid w:val="00085EBA"/>
    <w:rsid w:val="00086797"/>
    <w:rsid w:val="0008704A"/>
    <w:rsid w:val="00087D0D"/>
    <w:rsid w:val="00091BB0"/>
    <w:rsid w:val="000924BB"/>
    <w:rsid w:val="000934B8"/>
    <w:rsid w:val="000943CB"/>
    <w:rsid w:val="00094622"/>
    <w:rsid w:val="0009622C"/>
    <w:rsid w:val="000970E1"/>
    <w:rsid w:val="000A0674"/>
    <w:rsid w:val="000A06B6"/>
    <w:rsid w:val="000A16C7"/>
    <w:rsid w:val="000A193B"/>
    <w:rsid w:val="000A199D"/>
    <w:rsid w:val="000A462F"/>
    <w:rsid w:val="000A4C6D"/>
    <w:rsid w:val="000A5896"/>
    <w:rsid w:val="000B1567"/>
    <w:rsid w:val="000B2B65"/>
    <w:rsid w:val="000B4D5C"/>
    <w:rsid w:val="000B5D94"/>
    <w:rsid w:val="000B6293"/>
    <w:rsid w:val="000C02F6"/>
    <w:rsid w:val="000C0CF1"/>
    <w:rsid w:val="000C112F"/>
    <w:rsid w:val="000C1C48"/>
    <w:rsid w:val="000C3DE1"/>
    <w:rsid w:val="000C5089"/>
    <w:rsid w:val="000C5F3C"/>
    <w:rsid w:val="000D06FF"/>
    <w:rsid w:val="000D543C"/>
    <w:rsid w:val="000D6700"/>
    <w:rsid w:val="000E1F28"/>
    <w:rsid w:val="000E2F25"/>
    <w:rsid w:val="000E36EA"/>
    <w:rsid w:val="000E3F0E"/>
    <w:rsid w:val="000E4F42"/>
    <w:rsid w:val="000E50A9"/>
    <w:rsid w:val="000E515E"/>
    <w:rsid w:val="000F0025"/>
    <w:rsid w:val="000F11D8"/>
    <w:rsid w:val="000F2EDC"/>
    <w:rsid w:val="000F486E"/>
    <w:rsid w:val="000F7107"/>
    <w:rsid w:val="000F71A4"/>
    <w:rsid w:val="0010002F"/>
    <w:rsid w:val="0010111B"/>
    <w:rsid w:val="00101441"/>
    <w:rsid w:val="0010480C"/>
    <w:rsid w:val="0011195F"/>
    <w:rsid w:val="00113E11"/>
    <w:rsid w:val="00115AED"/>
    <w:rsid w:val="00116385"/>
    <w:rsid w:val="001173D4"/>
    <w:rsid w:val="001233D4"/>
    <w:rsid w:val="00123C13"/>
    <w:rsid w:val="00124678"/>
    <w:rsid w:val="00124CD0"/>
    <w:rsid w:val="0012579E"/>
    <w:rsid w:val="00126A69"/>
    <w:rsid w:val="00135357"/>
    <w:rsid w:val="00135862"/>
    <w:rsid w:val="00137826"/>
    <w:rsid w:val="001401C4"/>
    <w:rsid w:val="0014211B"/>
    <w:rsid w:val="00142490"/>
    <w:rsid w:val="001444E3"/>
    <w:rsid w:val="00150519"/>
    <w:rsid w:val="00151119"/>
    <w:rsid w:val="001524AC"/>
    <w:rsid w:val="0015421C"/>
    <w:rsid w:val="00157474"/>
    <w:rsid w:val="001614A1"/>
    <w:rsid w:val="0016269D"/>
    <w:rsid w:val="00162D61"/>
    <w:rsid w:val="00163784"/>
    <w:rsid w:val="001639A4"/>
    <w:rsid w:val="00165753"/>
    <w:rsid w:val="00166550"/>
    <w:rsid w:val="0017181E"/>
    <w:rsid w:val="00174043"/>
    <w:rsid w:val="00176182"/>
    <w:rsid w:val="0018194C"/>
    <w:rsid w:val="00182204"/>
    <w:rsid w:val="001827EE"/>
    <w:rsid w:val="001831FD"/>
    <w:rsid w:val="00186AEA"/>
    <w:rsid w:val="00190B64"/>
    <w:rsid w:val="00192903"/>
    <w:rsid w:val="00195318"/>
    <w:rsid w:val="001A2E70"/>
    <w:rsid w:val="001A350B"/>
    <w:rsid w:val="001A36D7"/>
    <w:rsid w:val="001A528C"/>
    <w:rsid w:val="001A6250"/>
    <w:rsid w:val="001A6357"/>
    <w:rsid w:val="001B0C75"/>
    <w:rsid w:val="001B1019"/>
    <w:rsid w:val="001B6F0B"/>
    <w:rsid w:val="001B7D23"/>
    <w:rsid w:val="001C2FD4"/>
    <w:rsid w:val="001C6BE0"/>
    <w:rsid w:val="001C7DC6"/>
    <w:rsid w:val="001D14FB"/>
    <w:rsid w:val="001D1DF0"/>
    <w:rsid w:val="001D1FFA"/>
    <w:rsid w:val="001D263E"/>
    <w:rsid w:val="001D3197"/>
    <w:rsid w:val="001D43A8"/>
    <w:rsid w:val="001D758B"/>
    <w:rsid w:val="001E00B5"/>
    <w:rsid w:val="001E111E"/>
    <w:rsid w:val="001E3803"/>
    <w:rsid w:val="001E3FCD"/>
    <w:rsid w:val="001E54DA"/>
    <w:rsid w:val="001E5AA0"/>
    <w:rsid w:val="001F11FD"/>
    <w:rsid w:val="001F25A9"/>
    <w:rsid w:val="001F2A10"/>
    <w:rsid w:val="001F45D7"/>
    <w:rsid w:val="001F4F84"/>
    <w:rsid w:val="001F79EE"/>
    <w:rsid w:val="00204EB8"/>
    <w:rsid w:val="00205B9E"/>
    <w:rsid w:val="0020648E"/>
    <w:rsid w:val="00207A74"/>
    <w:rsid w:val="00207FD6"/>
    <w:rsid w:val="00210733"/>
    <w:rsid w:val="00211012"/>
    <w:rsid w:val="00212CFC"/>
    <w:rsid w:val="00212FB0"/>
    <w:rsid w:val="002150B1"/>
    <w:rsid w:val="00215333"/>
    <w:rsid w:val="0021555B"/>
    <w:rsid w:val="00215605"/>
    <w:rsid w:val="00216336"/>
    <w:rsid w:val="00217504"/>
    <w:rsid w:val="002177A0"/>
    <w:rsid w:val="00220CAF"/>
    <w:rsid w:val="002214C3"/>
    <w:rsid w:val="0022227C"/>
    <w:rsid w:val="00222D79"/>
    <w:rsid w:val="00225B81"/>
    <w:rsid w:val="00225D89"/>
    <w:rsid w:val="00227FD3"/>
    <w:rsid w:val="00230415"/>
    <w:rsid w:val="00232988"/>
    <w:rsid w:val="00233957"/>
    <w:rsid w:val="00234665"/>
    <w:rsid w:val="00234817"/>
    <w:rsid w:val="002408F4"/>
    <w:rsid w:val="00241B75"/>
    <w:rsid w:val="00241E3A"/>
    <w:rsid w:val="0024424B"/>
    <w:rsid w:val="0024439D"/>
    <w:rsid w:val="0024481F"/>
    <w:rsid w:val="002448EC"/>
    <w:rsid w:val="002467E8"/>
    <w:rsid w:val="0025070F"/>
    <w:rsid w:val="00250AED"/>
    <w:rsid w:val="00251442"/>
    <w:rsid w:val="0025232A"/>
    <w:rsid w:val="00252E44"/>
    <w:rsid w:val="002538E4"/>
    <w:rsid w:val="00253EDC"/>
    <w:rsid w:val="00257483"/>
    <w:rsid w:val="00263C7E"/>
    <w:rsid w:val="0026413B"/>
    <w:rsid w:val="002641DA"/>
    <w:rsid w:val="0026477A"/>
    <w:rsid w:val="00265436"/>
    <w:rsid w:val="002719A0"/>
    <w:rsid w:val="00272632"/>
    <w:rsid w:val="00275BAA"/>
    <w:rsid w:val="0027652A"/>
    <w:rsid w:val="00277567"/>
    <w:rsid w:val="00277E66"/>
    <w:rsid w:val="00277F27"/>
    <w:rsid w:val="00280CCA"/>
    <w:rsid w:val="00280F3E"/>
    <w:rsid w:val="002828DD"/>
    <w:rsid w:val="0028358D"/>
    <w:rsid w:val="00284204"/>
    <w:rsid w:val="00284365"/>
    <w:rsid w:val="00284FC5"/>
    <w:rsid w:val="00290027"/>
    <w:rsid w:val="0029030C"/>
    <w:rsid w:val="002908D9"/>
    <w:rsid w:val="00290950"/>
    <w:rsid w:val="00293519"/>
    <w:rsid w:val="002944D4"/>
    <w:rsid w:val="0029487F"/>
    <w:rsid w:val="00295020"/>
    <w:rsid w:val="00296041"/>
    <w:rsid w:val="00296339"/>
    <w:rsid w:val="00296E10"/>
    <w:rsid w:val="00296EB2"/>
    <w:rsid w:val="002A0F75"/>
    <w:rsid w:val="002A1D23"/>
    <w:rsid w:val="002A34F5"/>
    <w:rsid w:val="002A40BD"/>
    <w:rsid w:val="002A5A97"/>
    <w:rsid w:val="002A6644"/>
    <w:rsid w:val="002A6808"/>
    <w:rsid w:val="002A72B8"/>
    <w:rsid w:val="002B017A"/>
    <w:rsid w:val="002B2410"/>
    <w:rsid w:val="002B3E53"/>
    <w:rsid w:val="002B6F87"/>
    <w:rsid w:val="002B7E5D"/>
    <w:rsid w:val="002C0E8C"/>
    <w:rsid w:val="002C3088"/>
    <w:rsid w:val="002C3F6F"/>
    <w:rsid w:val="002C6BBE"/>
    <w:rsid w:val="002D24F6"/>
    <w:rsid w:val="002D3D34"/>
    <w:rsid w:val="002D6BDC"/>
    <w:rsid w:val="002D7900"/>
    <w:rsid w:val="002E0B2A"/>
    <w:rsid w:val="002E19D3"/>
    <w:rsid w:val="002E44C3"/>
    <w:rsid w:val="002E7031"/>
    <w:rsid w:val="002E72AE"/>
    <w:rsid w:val="002E7A6B"/>
    <w:rsid w:val="002F1314"/>
    <w:rsid w:val="002F5E9E"/>
    <w:rsid w:val="00300177"/>
    <w:rsid w:val="0030705F"/>
    <w:rsid w:val="003076C5"/>
    <w:rsid w:val="00313102"/>
    <w:rsid w:val="00314FD0"/>
    <w:rsid w:val="00317074"/>
    <w:rsid w:val="00321083"/>
    <w:rsid w:val="003215C4"/>
    <w:rsid w:val="003219A0"/>
    <w:rsid w:val="003223C8"/>
    <w:rsid w:val="00331182"/>
    <w:rsid w:val="003311CF"/>
    <w:rsid w:val="003326FA"/>
    <w:rsid w:val="00334390"/>
    <w:rsid w:val="00341324"/>
    <w:rsid w:val="00341926"/>
    <w:rsid w:val="00342631"/>
    <w:rsid w:val="00343361"/>
    <w:rsid w:val="00346323"/>
    <w:rsid w:val="00346A8E"/>
    <w:rsid w:val="00347901"/>
    <w:rsid w:val="003503AC"/>
    <w:rsid w:val="00350C87"/>
    <w:rsid w:val="003510AC"/>
    <w:rsid w:val="0035158F"/>
    <w:rsid w:val="00355514"/>
    <w:rsid w:val="00355E42"/>
    <w:rsid w:val="00360E15"/>
    <w:rsid w:val="00363B17"/>
    <w:rsid w:val="00364244"/>
    <w:rsid w:val="003643AD"/>
    <w:rsid w:val="0036521D"/>
    <w:rsid w:val="0036538E"/>
    <w:rsid w:val="00367905"/>
    <w:rsid w:val="003728F3"/>
    <w:rsid w:val="0037424A"/>
    <w:rsid w:val="003748E7"/>
    <w:rsid w:val="00375673"/>
    <w:rsid w:val="00375B48"/>
    <w:rsid w:val="00377247"/>
    <w:rsid w:val="00377C66"/>
    <w:rsid w:val="00377E31"/>
    <w:rsid w:val="00380A2F"/>
    <w:rsid w:val="0038204B"/>
    <w:rsid w:val="00384F0D"/>
    <w:rsid w:val="00385811"/>
    <w:rsid w:val="00385A15"/>
    <w:rsid w:val="00386E4E"/>
    <w:rsid w:val="00392841"/>
    <w:rsid w:val="003959C7"/>
    <w:rsid w:val="00396BC2"/>
    <w:rsid w:val="003A0E49"/>
    <w:rsid w:val="003A2C2B"/>
    <w:rsid w:val="003A5C4F"/>
    <w:rsid w:val="003A5D9A"/>
    <w:rsid w:val="003A6F1C"/>
    <w:rsid w:val="003A7AC4"/>
    <w:rsid w:val="003B0F0E"/>
    <w:rsid w:val="003B2536"/>
    <w:rsid w:val="003B335D"/>
    <w:rsid w:val="003C0849"/>
    <w:rsid w:val="003C27B1"/>
    <w:rsid w:val="003C30FA"/>
    <w:rsid w:val="003C3943"/>
    <w:rsid w:val="003C4655"/>
    <w:rsid w:val="003C4A18"/>
    <w:rsid w:val="003C4E28"/>
    <w:rsid w:val="003D1B90"/>
    <w:rsid w:val="003D1DA1"/>
    <w:rsid w:val="003D2927"/>
    <w:rsid w:val="003D508B"/>
    <w:rsid w:val="003D72CF"/>
    <w:rsid w:val="003D7C04"/>
    <w:rsid w:val="003E026E"/>
    <w:rsid w:val="003E12A6"/>
    <w:rsid w:val="003E1361"/>
    <w:rsid w:val="003E286B"/>
    <w:rsid w:val="003E45A9"/>
    <w:rsid w:val="003E4A1F"/>
    <w:rsid w:val="003E4E08"/>
    <w:rsid w:val="003E63E3"/>
    <w:rsid w:val="003F0170"/>
    <w:rsid w:val="003F0C4C"/>
    <w:rsid w:val="003F1412"/>
    <w:rsid w:val="003F471C"/>
    <w:rsid w:val="003F6012"/>
    <w:rsid w:val="003F6FA0"/>
    <w:rsid w:val="003F732D"/>
    <w:rsid w:val="0040083E"/>
    <w:rsid w:val="00401AA5"/>
    <w:rsid w:val="00402700"/>
    <w:rsid w:val="00404323"/>
    <w:rsid w:val="00405D6A"/>
    <w:rsid w:val="00412092"/>
    <w:rsid w:val="004123B1"/>
    <w:rsid w:val="00412DC2"/>
    <w:rsid w:val="00414FEA"/>
    <w:rsid w:val="0041512E"/>
    <w:rsid w:val="00416C37"/>
    <w:rsid w:val="004202E5"/>
    <w:rsid w:val="00420FBC"/>
    <w:rsid w:val="004218B4"/>
    <w:rsid w:val="0042280D"/>
    <w:rsid w:val="00423203"/>
    <w:rsid w:val="00424FD8"/>
    <w:rsid w:val="004250C5"/>
    <w:rsid w:val="004253F2"/>
    <w:rsid w:val="00425FDE"/>
    <w:rsid w:val="0042688F"/>
    <w:rsid w:val="004270CB"/>
    <w:rsid w:val="00427522"/>
    <w:rsid w:val="004317BB"/>
    <w:rsid w:val="0043203A"/>
    <w:rsid w:val="004331B9"/>
    <w:rsid w:val="00433E67"/>
    <w:rsid w:val="00434D3C"/>
    <w:rsid w:val="004366BC"/>
    <w:rsid w:val="004367A3"/>
    <w:rsid w:val="0044051B"/>
    <w:rsid w:val="004418F4"/>
    <w:rsid w:val="00445997"/>
    <w:rsid w:val="0044619E"/>
    <w:rsid w:val="00446A2A"/>
    <w:rsid w:val="004471EF"/>
    <w:rsid w:val="00450B71"/>
    <w:rsid w:val="00450D08"/>
    <w:rsid w:val="00451DB1"/>
    <w:rsid w:val="0045709E"/>
    <w:rsid w:val="00462039"/>
    <w:rsid w:val="004623E4"/>
    <w:rsid w:val="0046677A"/>
    <w:rsid w:val="00467122"/>
    <w:rsid w:val="0047348E"/>
    <w:rsid w:val="00473D44"/>
    <w:rsid w:val="004740CE"/>
    <w:rsid w:val="004759BD"/>
    <w:rsid w:val="004813E6"/>
    <w:rsid w:val="00483A3F"/>
    <w:rsid w:val="00485E2F"/>
    <w:rsid w:val="004862D7"/>
    <w:rsid w:val="004874F6"/>
    <w:rsid w:val="00487820"/>
    <w:rsid w:val="00487F13"/>
    <w:rsid w:val="004923C5"/>
    <w:rsid w:val="00497213"/>
    <w:rsid w:val="004A3B96"/>
    <w:rsid w:val="004A4AE6"/>
    <w:rsid w:val="004A664D"/>
    <w:rsid w:val="004A6A1B"/>
    <w:rsid w:val="004B093C"/>
    <w:rsid w:val="004B4178"/>
    <w:rsid w:val="004B4240"/>
    <w:rsid w:val="004B784D"/>
    <w:rsid w:val="004C11A6"/>
    <w:rsid w:val="004C12B3"/>
    <w:rsid w:val="004C2B68"/>
    <w:rsid w:val="004C31FB"/>
    <w:rsid w:val="004C6A31"/>
    <w:rsid w:val="004D01C4"/>
    <w:rsid w:val="004D354C"/>
    <w:rsid w:val="004D389D"/>
    <w:rsid w:val="004D3C1B"/>
    <w:rsid w:val="004D483F"/>
    <w:rsid w:val="004D4EB1"/>
    <w:rsid w:val="004D7B9E"/>
    <w:rsid w:val="004E02AE"/>
    <w:rsid w:val="004E03B4"/>
    <w:rsid w:val="004E0FC1"/>
    <w:rsid w:val="004E4605"/>
    <w:rsid w:val="004E6811"/>
    <w:rsid w:val="004F1FC2"/>
    <w:rsid w:val="004F2B8F"/>
    <w:rsid w:val="004F5351"/>
    <w:rsid w:val="004F5AF1"/>
    <w:rsid w:val="00501E12"/>
    <w:rsid w:val="005033A4"/>
    <w:rsid w:val="00504498"/>
    <w:rsid w:val="005070B1"/>
    <w:rsid w:val="0051089D"/>
    <w:rsid w:val="0051340A"/>
    <w:rsid w:val="0051373C"/>
    <w:rsid w:val="00514750"/>
    <w:rsid w:val="00516D80"/>
    <w:rsid w:val="00517168"/>
    <w:rsid w:val="00517E36"/>
    <w:rsid w:val="00520137"/>
    <w:rsid w:val="005203ED"/>
    <w:rsid w:val="00521D72"/>
    <w:rsid w:val="00522D42"/>
    <w:rsid w:val="00523876"/>
    <w:rsid w:val="00524DF8"/>
    <w:rsid w:val="00527405"/>
    <w:rsid w:val="005302DF"/>
    <w:rsid w:val="00533F7E"/>
    <w:rsid w:val="00534587"/>
    <w:rsid w:val="00534AF9"/>
    <w:rsid w:val="00536BEC"/>
    <w:rsid w:val="00537886"/>
    <w:rsid w:val="00537B39"/>
    <w:rsid w:val="0054267E"/>
    <w:rsid w:val="00542799"/>
    <w:rsid w:val="0054285F"/>
    <w:rsid w:val="00546871"/>
    <w:rsid w:val="00547433"/>
    <w:rsid w:val="00552484"/>
    <w:rsid w:val="00554F05"/>
    <w:rsid w:val="005552A7"/>
    <w:rsid w:val="00556541"/>
    <w:rsid w:val="0055661E"/>
    <w:rsid w:val="00560809"/>
    <w:rsid w:val="00561D74"/>
    <w:rsid w:val="00570DA1"/>
    <w:rsid w:val="00573F5C"/>
    <w:rsid w:val="005750C9"/>
    <w:rsid w:val="00580DED"/>
    <w:rsid w:val="00581244"/>
    <w:rsid w:val="00582FBF"/>
    <w:rsid w:val="0058513E"/>
    <w:rsid w:val="005858FF"/>
    <w:rsid w:val="00590DD1"/>
    <w:rsid w:val="00591E75"/>
    <w:rsid w:val="005923CA"/>
    <w:rsid w:val="00592BC5"/>
    <w:rsid w:val="005A073A"/>
    <w:rsid w:val="005A1743"/>
    <w:rsid w:val="005A407F"/>
    <w:rsid w:val="005B03CB"/>
    <w:rsid w:val="005B2DCB"/>
    <w:rsid w:val="005B2FF7"/>
    <w:rsid w:val="005B483F"/>
    <w:rsid w:val="005B5EB2"/>
    <w:rsid w:val="005C57AA"/>
    <w:rsid w:val="005C5AA2"/>
    <w:rsid w:val="005C5D3E"/>
    <w:rsid w:val="005C75D0"/>
    <w:rsid w:val="005D0A6C"/>
    <w:rsid w:val="005D3620"/>
    <w:rsid w:val="005D4BFB"/>
    <w:rsid w:val="005D52A9"/>
    <w:rsid w:val="005D5708"/>
    <w:rsid w:val="005D5904"/>
    <w:rsid w:val="005D7139"/>
    <w:rsid w:val="005D7BF0"/>
    <w:rsid w:val="005E2A56"/>
    <w:rsid w:val="005E3819"/>
    <w:rsid w:val="005E3A57"/>
    <w:rsid w:val="005E3BDB"/>
    <w:rsid w:val="005E4B44"/>
    <w:rsid w:val="005E4E38"/>
    <w:rsid w:val="005E4E3F"/>
    <w:rsid w:val="005E6C12"/>
    <w:rsid w:val="005F1BD2"/>
    <w:rsid w:val="005F3AFD"/>
    <w:rsid w:val="005F6218"/>
    <w:rsid w:val="0060178F"/>
    <w:rsid w:val="00601F7A"/>
    <w:rsid w:val="006034B7"/>
    <w:rsid w:val="00604438"/>
    <w:rsid w:val="00604A85"/>
    <w:rsid w:val="0061410E"/>
    <w:rsid w:val="006155BE"/>
    <w:rsid w:val="00617582"/>
    <w:rsid w:val="00617BF0"/>
    <w:rsid w:val="00623D42"/>
    <w:rsid w:val="006246DB"/>
    <w:rsid w:val="00625DAA"/>
    <w:rsid w:val="00625EE3"/>
    <w:rsid w:val="006260B3"/>
    <w:rsid w:val="00627090"/>
    <w:rsid w:val="00627BB8"/>
    <w:rsid w:val="00627D2B"/>
    <w:rsid w:val="00627D72"/>
    <w:rsid w:val="00631A57"/>
    <w:rsid w:val="00634364"/>
    <w:rsid w:val="00635212"/>
    <w:rsid w:val="00635387"/>
    <w:rsid w:val="0064171E"/>
    <w:rsid w:val="00647BA2"/>
    <w:rsid w:val="00656846"/>
    <w:rsid w:val="00660755"/>
    <w:rsid w:val="00662AA0"/>
    <w:rsid w:val="00667591"/>
    <w:rsid w:val="00667934"/>
    <w:rsid w:val="00667E3D"/>
    <w:rsid w:val="006700EF"/>
    <w:rsid w:val="0067234A"/>
    <w:rsid w:val="00672E96"/>
    <w:rsid w:val="00672F61"/>
    <w:rsid w:val="00674C66"/>
    <w:rsid w:val="0067521B"/>
    <w:rsid w:val="0067525E"/>
    <w:rsid w:val="0067773B"/>
    <w:rsid w:val="00680339"/>
    <w:rsid w:val="00680A31"/>
    <w:rsid w:val="0068154E"/>
    <w:rsid w:val="00681C34"/>
    <w:rsid w:val="00682387"/>
    <w:rsid w:val="00683C71"/>
    <w:rsid w:val="00683D72"/>
    <w:rsid w:val="00684850"/>
    <w:rsid w:val="006851A8"/>
    <w:rsid w:val="006908B3"/>
    <w:rsid w:val="00691078"/>
    <w:rsid w:val="00694A1B"/>
    <w:rsid w:val="006951BD"/>
    <w:rsid w:val="006A0BC3"/>
    <w:rsid w:val="006A1B09"/>
    <w:rsid w:val="006A22E4"/>
    <w:rsid w:val="006A3746"/>
    <w:rsid w:val="006A39EF"/>
    <w:rsid w:val="006A4D32"/>
    <w:rsid w:val="006A77C8"/>
    <w:rsid w:val="006A795E"/>
    <w:rsid w:val="006A7A45"/>
    <w:rsid w:val="006B0A3E"/>
    <w:rsid w:val="006B0E99"/>
    <w:rsid w:val="006B2C24"/>
    <w:rsid w:val="006B2DA0"/>
    <w:rsid w:val="006B6DF6"/>
    <w:rsid w:val="006B7365"/>
    <w:rsid w:val="006C25C5"/>
    <w:rsid w:val="006C2CFA"/>
    <w:rsid w:val="006C30CA"/>
    <w:rsid w:val="006C3FCE"/>
    <w:rsid w:val="006C4832"/>
    <w:rsid w:val="006C6516"/>
    <w:rsid w:val="006C7150"/>
    <w:rsid w:val="006C7976"/>
    <w:rsid w:val="006D0A29"/>
    <w:rsid w:val="006D3167"/>
    <w:rsid w:val="006D4FD2"/>
    <w:rsid w:val="006E10B7"/>
    <w:rsid w:val="006E1566"/>
    <w:rsid w:val="006E2CB6"/>
    <w:rsid w:val="006E32F1"/>
    <w:rsid w:val="006E3954"/>
    <w:rsid w:val="006E44E8"/>
    <w:rsid w:val="006E5BB9"/>
    <w:rsid w:val="006E6422"/>
    <w:rsid w:val="006F0100"/>
    <w:rsid w:val="006F0778"/>
    <w:rsid w:val="006F1387"/>
    <w:rsid w:val="006F171B"/>
    <w:rsid w:val="006F288E"/>
    <w:rsid w:val="006F2F73"/>
    <w:rsid w:val="006F3C4E"/>
    <w:rsid w:val="006F430D"/>
    <w:rsid w:val="006F5649"/>
    <w:rsid w:val="006F5B2E"/>
    <w:rsid w:val="006F6E37"/>
    <w:rsid w:val="00702CDF"/>
    <w:rsid w:val="007035C1"/>
    <w:rsid w:val="007041DF"/>
    <w:rsid w:val="00704624"/>
    <w:rsid w:val="007049B4"/>
    <w:rsid w:val="00705678"/>
    <w:rsid w:val="0070577E"/>
    <w:rsid w:val="007057CA"/>
    <w:rsid w:val="00707955"/>
    <w:rsid w:val="00710A40"/>
    <w:rsid w:val="0071147F"/>
    <w:rsid w:val="00713069"/>
    <w:rsid w:val="00715EAF"/>
    <w:rsid w:val="00716414"/>
    <w:rsid w:val="0072305F"/>
    <w:rsid w:val="00723437"/>
    <w:rsid w:val="007238D7"/>
    <w:rsid w:val="007303C6"/>
    <w:rsid w:val="007317C0"/>
    <w:rsid w:val="00735F01"/>
    <w:rsid w:val="00740B83"/>
    <w:rsid w:val="007417FE"/>
    <w:rsid w:val="0074182B"/>
    <w:rsid w:val="007419FD"/>
    <w:rsid w:val="00741D60"/>
    <w:rsid w:val="00742E7B"/>
    <w:rsid w:val="00743499"/>
    <w:rsid w:val="00745C91"/>
    <w:rsid w:val="0074706A"/>
    <w:rsid w:val="00747B86"/>
    <w:rsid w:val="0075032D"/>
    <w:rsid w:val="00750EC1"/>
    <w:rsid w:val="00752325"/>
    <w:rsid w:val="00752C54"/>
    <w:rsid w:val="007530A2"/>
    <w:rsid w:val="0075440E"/>
    <w:rsid w:val="00755EEE"/>
    <w:rsid w:val="0075749A"/>
    <w:rsid w:val="00757808"/>
    <w:rsid w:val="007625A2"/>
    <w:rsid w:val="00762CC0"/>
    <w:rsid w:val="00762E0D"/>
    <w:rsid w:val="00763E39"/>
    <w:rsid w:val="0076441E"/>
    <w:rsid w:val="0076782D"/>
    <w:rsid w:val="0077363E"/>
    <w:rsid w:val="00773889"/>
    <w:rsid w:val="007779BD"/>
    <w:rsid w:val="007805C2"/>
    <w:rsid w:val="00780E22"/>
    <w:rsid w:val="00780F44"/>
    <w:rsid w:val="0078140C"/>
    <w:rsid w:val="00782818"/>
    <w:rsid w:val="0078306B"/>
    <w:rsid w:val="007838EB"/>
    <w:rsid w:val="00784621"/>
    <w:rsid w:val="00785140"/>
    <w:rsid w:val="00786715"/>
    <w:rsid w:val="00790061"/>
    <w:rsid w:val="007903A6"/>
    <w:rsid w:val="0079110E"/>
    <w:rsid w:val="007918FD"/>
    <w:rsid w:val="007A1EC2"/>
    <w:rsid w:val="007A48E9"/>
    <w:rsid w:val="007A4A81"/>
    <w:rsid w:val="007A5245"/>
    <w:rsid w:val="007A5CAE"/>
    <w:rsid w:val="007A67B6"/>
    <w:rsid w:val="007A68CD"/>
    <w:rsid w:val="007A6D43"/>
    <w:rsid w:val="007B0DA5"/>
    <w:rsid w:val="007B1692"/>
    <w:rsid w:val="007B1830"/>
    <w:rsid w:val="007B37D2"/>
    <w:rsid w:val="007B44F9"/>
    <w:rsid w:val="007B62A0"/>
    <w:rsid w:val="007B6C94"/>
    <w:rsid w:val="007B7309"/>
    <w:rsid w:val="007C0451"/>
    <w:rsid w:val="007C1225"/>
    <w:rsid w:val="007C19D6"/>
    <w:rsid w:val="007C2F73"/>
    <w:rsid w:val="007C40E3"/>
    <w:rsid w:val="007C4660"/>
    <w:rsid w:val="007C718D"/>
    <w:rsid w:val="007C78F2"/>
    <w:rsid w:val="007C7AE3"/>
    <w:rsid w:val="007D080D"/>
    <w:rsid w:val="007D3F58"/>
    <w:rsid w:val="007D5419"/>
    <w:rsid w:val="007D7781"/>
    <w:rsid w:val="007D7BC2"/>
    <w:rsid w:val="007E19F8"/>
    <w:rsid w:val="007E1A9C"/>
    <w:rsid w:val="007E20E8"/>
    <w:rsid w:val="007E302C"/>
    <w:rsid w:val="007E3173"/>
    <w:rsid w:val="007E4341"/>
    <w:rsid w:val="007F0063"/>
    <w:rsid w:val="007F39FD"/>
    <w:rsid w:val="007F550D"/>
    <w:rsid w:val="00800CD2"/>
    <w:rsid w:val="008013DD"/>
    <w:rsid w:val="00802843"/>
    <w:rsid w:val="008033CD"/>
    <w:rsid w:val="00806313"/>
    <w:rsid w:val="00807348"/>
    <w:rsid w:val="008076D6"/>
    <w:rsid w:val="00810BBE"/>
    <w:rsid w:val="008125FC"/>
    <w:rsid w:val="008131AF"/>
    <w:rsid w:val="00815B48"/>
    <w:rsid w:val="008214AB"/>
    <w:rsid w:val="008234BD"/>
    <w:rsid w:val="008278B2"/>
    <w:rsid w:val="00831B08"/>
    <w:rsid w:val="00831D45"/>
    <w:rsid w:val="00841AF9"/>
    <w:rsid w:val="008426E5"/>
    <w:rsid w:val="00844320"/>
    <w:rsid w:val="00845771"/>
    <w:rsid w:val="0084653F"/>
    <w:rsid w:val="00847570"/>
    <w:rsid w:val="00847F75"/>
    <w:rsid w:val="0085193B"/>
    <w:rsid w:val="008534CE"/>
    <w:rsid w:val="00855B37"/>
    <w:rsid w:val="008560FD"/>
    <w:rsid w:val="00856372"/>
    <w:rsid w:val="008564E3"/>
    <w:rsid w:val="00860357"/>
    <w:rsid w:val="00860748"/>
    <w:rsid w:val="00860929"/>
    <w:rsid w:val="0087068D"/>
    <w:rsid w:val="00873935"/>
    <w:rsid w:val="0087721C"/>
    <w:rsid w:val="008829AF"/>
    <w:rsid w:val="00883D63"/>
    <w:rsid w:val="00884092"/>
    <w:rsid w:val="00887D2D"/>
    <w:rsid w:val="00890175"/>
    <w:rsid w:val="00891C54"/>
    <w:rsid w:val="008949E1"/>
    <w:rsid w:val="008A04E4"/>
    <w:rsid w:val="008A1727"/>
    <w:rsid w:val="008A436C"/>
    <w:rsid w:val="008A518D"/>
    <w:rsid w:val="008A54A7"/>
    <w:rsid w:val="008A5C31"/>
    <w:rsid w:val="008A6EBD"/>
    <w:rsid w:val="008A7843"/>
    <w:rsid w:val="008B1466"/>
    <w:rsid w:val="008B17CF"/>
    <w:rsid w:val="008B267B"/>
    <w:rsid w:val="008B275C"/>
    <w:rsid w:val="008B5EBD"/>
    <w:rsid w:val="008B78B5"/>
    <w:rsid w:val="008C01A2"/>
    <w:rsid w:val="008C27AD"/>
    <w:rsid w:val="008C338C"/>
    <w:rsid w:val="008C3967"/>
    <w:rsid w:val="008C5BF9"/>
    <w:rsid w:val="008C5C94"/>
    <w:rsid w:val="008C6700"/>
    <w:rsid w:val="008D02BF"/>
    <w:rsid w:val="008D3FC5"/>
    <w:rsid w:val="008D450C"/>
    <w:rsid w:val="008D4D9A"/>
    <w:rsid w:val="008D4FDF"/>
    <w:rsid w:val="008D6BB4"/>
    <w:rsid w:val="008E02F0"/>
    <w:rsid w:val="008E1E2D"/>
    <w:rsid w:val="008E1EC0"/>
    <w:rsid w:val="008E2A9A"/>
    <w:rsid w:val="008E3B7D"/>
    <w:rsid w:val="008E457D"/>
    <w:rsid w:val="008E50D4"/>
    <w:rsid w:val="008E50F1"/>
    <w:rsid w:val="008E5233"/>
    <w:rsid w:val="008E5A43"/>
    <w:rsid w:val="008E5CC9"/>
    <w:rsid w:val="008E6D34"/>
    <w:rsid w:val="008F0EF6"/>
    <w:rsid w:val="008F21DF"/>
    <w:rsid w:val="008F3AB3"/>
    <w:rsid w:val="008F5ED6"/>
    <w:rsid w:val="00900C43"/>
    <w:rsid w:val="00900EE7"/>
    <w:rsid w:val="00902233"/>
    <w:rsid w:val="00902882"/>
    <w:rsid w:val="00902928"/>
    <w:rsid w:val="009048A8"/>
    <w:rsid w:val="00910145"/>
    <w:rsid w:val="00910848"/>
    <w:rsid w:val="009113D2"/>
    <w:rsid w:val="00911E75"/>
    <w:rsid w:val="00913175"/>
    <w:rsid w:val="00914912"/>
    <w:rsid w:val="00916A31"/>
    <w:rsid w:val="0092008F"/>
    <w:rsid w:val="0092088F"/>
    <w:rsid w:val="00920E21"/>
    <w:rsid w:val="00921D1F"/>
    <w:rsid w:val="00922FE3"/>
    <w:rsid w:val="00927D42"/>
    <w:rsid w:val="00927FE9"/>
    <w:rsid w:val="009304BA"/>
    <w:rsid w:val="009307DD"/>
    <w:rsid w:val="009317A5"/>
    <w:rsid w:val="00932636"/>
    <w:rsid w:val="00932664"/>
    <w:rsid w:val="009327BC"/>
    <w:rsid w:val="00933AEF"/>
    <w:rsid w:val="00935145"/>
    <w:rsid w:val="00941858"/>
    <w:rsid w:val="00943616"/>
    <w:rsid w:val="00947B29"/>
    <w:rsid w:val="00951CCA"/>
    <w:rsid w:val="00952390"/>
    <w:rsid w:val="00952FD4"/>
    <w:rsid w:val="00955164"/>
    <w:rsid w:val="0095548D"/>
    <w:rsid w:val="009562AA"/>
    <w:rsid w:val="009564BF"/>
    <w:rsid w:val="00956BB6"/>
    <w:rsid w:val="00956D97"/>
    <w:rsid w:val="009571C2"/>
    <w:rsid w:val="009574E5"/>
    <w:rsid w:val="0095780F"/>
    <w:rsid w:val="00960BE3"/>
    <w:rsid w:val="009610D4"/>
    <w:rsid w:val="0096221C"/>
    <w:rsid w:val="00962897"/>
    <w:rsid w:val="009635C5"/>
    <w:rsid w:val="00965330"/>
    <w:rsid w:val="0096639C"/>
    <w:rsid w:val="00967BD2"/>
    <w:rsid w:val="00972664"/>
    <w:rsid w:val="00972D7F"/>
    <w:rsid w:val="00973E8F"/>
    <w:rsid w:val="00976EA8"/>
    <w:rsid w:val="00982DFA"/>
    <w:rsid w:val="00983B16"/>
    <w:rsid w:val="009901D2"/>
    <w:rsid w:val="00991CCD"/>
    <w:rsid w:val="00992F92"/>
    <w:rsid w:val="009941C4"/>
    <w:rsid w:val="00994710"/>
    <w:rsid w:val="00996149"/>
    <w:rsid w:val="00997217"/>
    <w:rsid w:val="009A2A50"/>
    <w:rsid w:val="009A30A9"/>
    <w:rsid w:val="009B11D2"/>
    <w:rsid w:val="009B12B5"/>
    <w:rsid w:val="009B2619"/>
    <w:rsid w:val="009B2BC9"/>
    <w:rsid w:val="009B2BF5"/>
    <w:rsid w:val="009B3CEB"/>
    <w:rsid w:val="009B5457"/>
    <w:rsid w:val="009B56D6"/>
    <w:rsid w:val="009C3A00"/>
    <w:rsid w:val="009C4133"/>
    <w:rsid w:val="009C764A"/>
    <w:rsid w:val="009D4CAE"/>
    <w:rsid w:val="009D5B5F"/>
    <w:rsid w:val="009D680B"/>
    <w:rsid w:val="009D7425"/>
    <w:rsid w:val="009D7D9A"/>
    <w:rsid w:val="009E10B7"/>
    <w:rsid w:val="009E145C"/>
    <w:rsid w:val="009E3815"/>
    <w:rsid w:val="009E413A"/>
    <w:rsid w:val="009E5A2F"/>
    <w:rsid w:val="009E7C11"/>
    <w:rsid w:val="009E7C63"/>
    <w:rsid w:val="009F04FA"/>
    <w:rsid w:val="009F1756"/>
    <w:rsid w:val="009F2231"/>
    <w:rsid w:val="009F2714"/>
    <w:rsid w:val="009F2D6E"/>
    <w:rsid w:val="009F3B04"/>
    <w:rsid w:val="00A001F4"/>
    <w:rsid w:val="00A05F1A"/>
    <w:rsid w:val="00A115A3"/>
    <w:rsid w:val="00A12F74"/>
    <w:rsid w:val="00A157CB"/>
    <w:rsid w:val="00A162C2"/>
    <w:rsid w:val="00A24223"/>
    <w:rsid w:val="00A272E4"/>
    <w:rsid w:val="00A30D46"/>
    <w:rsid w:val="00A35A1C"/>
    <w:rsid w:val="00A35D2A"/>
    <w:rsid w:val="00A37220"/>
    <w:rsid w:val="00A374DC"/>
    <w:rsid w:val="00A3761A"/>
    <w:rsid w:val="00A37960"/>
    <w:rsid w:val="00A43294"/>
    <w:rsid w:val="00A511A8"/>
    <w:rsid w:val="00A511E6"/>
    <w:rsid w:val="00A5370B"/>
    <w:rsid w:val="00A554AD"/>
    <w:rsid w:val="00A563B5"/>
    <w:rsid w:val="00A57039"/>
    <w:rsid w:val="00A60E59"/>
    <w:rsid w:val="00A6521C"/>
    <w:rsid w:val="00A65471"/>
    <w:rsid w:val="00A65860"/>
    <w:rsid w:val="00A663BB"/>
    <w:rsid w:val="00A666E7"/>
    <w:rsid w:val="00A67CDD"/>
    <w:rsid w:val="00A70C31"/>
    <w:rsid w:val="00A71285"/>
    <w:rsid w:val="00A71FFA"/>
    <w:rsid w:val="00A7212F"/>
    <w:rsid w:val="00A728C6"/>
    <w:rsid w:val="00A74807"/>
    <w:rsid w:val="00A75A08"/>
    <w:rsid w:val="00A76C73"/>
    <w:rsid w:val="00A76DD4"/>
    <w:rsid w:val="00A77E20"/>
    <w:rsid w:val="00A81CE6"/>
    <w:rsid w:val="00A84048"/>
    <w:rsid w:val="00A84837"/>
    <w:rsid w:val="00A9157F"/>
    <w:rsid w:val="00A94AB6"/>
    <w:rsid w:val="00AA17E1"/>
    <w:rsid w:val="00AA4DF9"/>
    <w:rsid w:val="00AA4F2A"/>
    <w:rsid w:val="00AA5C27"/>
    <w:rsid w:val="00AA5FFD"/>
    <w:rsid w:val="00AA600F"/>
    <w:rsid w:val="00AA7143"/>
    <w:rsid w:val="00AA791A"/>
    <w:rsid w:val="00AB007E"/>
    <w:rsid w:val="00AB149A"/>
    <w:rsid w:val="00AB2982"/>
    <w:rsid w:val="00AB3D40"/>
    <w:rsid w:val="00AB490A"/>
    <w:rsid w:val="00AB59BA"/>
    <w:rsid w:val="00AB5D8E"/>
    <w:rsid w:val="00AB6BEF"/>
    <w:rsid w:val="00AC13CA"/>
    <w:rsid w:val="00AC30A8"/>
    <w:rsid w:val="00AC3433"/>
    <w:rsid w:val="00AC3A99"/>
    <w:rsid w:val="00AC3B30"/>
    <w:rsid w:val="00AC6AF6"/>
    <w:rsid w:val="00AD0A9A"/>
    <w:rsid w:val="00AD1808"/>
    <w:rsid w:val="00AD1865"/>
    <w:rsid w:val="00AD3652"/>
    <w:rsid w:val="00AD5692"/>
    <w:rsid w:val="00AD72CF"/>
    <w:rsid w:val="00AE0E90"/>
    <w:rsid w:val="00AE2B3E"/>
    <w:rsid w:val="00AE48F7"/>
    <w:rsid w:val="00AE4A4B"/>
    <w:rsid w:val="00AE5980"/>
    <w:rsid w:val="00AE64FC"/>
    <w:rsid w:val="00AE7254"/>
    <w:rsid w:val="00AF135A"/>
    <w:rsid w:val="00AF145A"/>
    <w:rsid w:val="00AF2D45"/>
    <w:rsid w:val="00AF49EB"/>
    <w:rsid w:val="00AF6063"/>
    <w:rsid w:val="00AF7432"/>
    <w:rsid w:val="00B019F2"/>
    <w:rsid w:val="00B0211D"/>
    <w:rsid w:val="00B03D42"/>
    <w:rsid w:val="00B04DC7"/>
    <w:rsid w:val="00B05A76"/>
    <w:rsid w:val="00B05B1F"/>
    <w:rsid w:val="00B05BD3"/>
    <w:rsid w:val="00B15A7E"/>
    <w:rsid w:val="00B15C91"/>
    <w:rsid w:val="00B16570"/>
    <w:rsid w:val="00B170A5"/>
    <w:rsid w:val="00B208B7"/>
    <w:rsid w:val="00B2496D"/>
    <w:rsid w:val="00B24FF9"/>
    <w:rsid w:val="00B266DE"/>
    <w:rsid w:val="00B26C91"/>
    <w:rsid w:val="00B27CC8"/>
    <w:rsid w:val="00B301E9"/>
    <w:rsid w:val="00B31635"/>
    <w:rsid w:val="00B32179"/>
    <w:rsid w:val="00B373D7"/>
    <w:rsid w:val="00B40F0A"/>
    <w:rsid w:val="00B434FC"/>
    <w:rsid w:val="00B454D2"/>
    <w:rsid w:val="00B46E80"/>
    <w:rsid w:val="00B47680"/>
    <w:rsid w:val="00B51C56"/>
    <w:rsid w:val="00B51EA0"/>
    <w:rsid w:val="00B535CE"/>
    <w:rsid w:val="00B541DD"/>
    <w:rsid w:val="00B54D83"/>
    <w:rsid w:val="00B55A15"/>
    <w:rsid w:val="00B56278"/>
    <w:rsid w:val="00B562D5"/>
    <w:rsid w:val="00B60231"/>
    <w:rsid w:val="00B6051C"/>
    <w:rsid w:val="00B608B0"/>
    <w:rsid w:val="00B61222"/>
    <w:rsid w:val="00B62A27"/>
    <w:rsid w:val="00B63864"/>
    <w:rsid w:val="00B67002"/>
    <w:rsid w:val="00B673D0"/>
    <w:rsid w:val="00B705DB"/>
    <w:rsid w:val="00B708D1"/>
    <w:rsid w:val="00B70B28"/>
    <w:rsid w:val="00B728E0"/>
    <w:rsid w:val="00B740C6"/>
    <w:rsid w:val="00B76336"/>
    <w:rsid w:val="00B764FB"/>
    <w:rsid w:val="00B81BDE"/>
    <w:rsid w:val="00B826FC"/>
    <w:rsid w:val="00B848D9"/>
    <w:rsid w:val="00B84BD6"/>
    <w:rsid w:val="00B84DE3"/>
    <w:rsid w:val="00B8617D"/>
    <w:rsid w:val="00B8663B"/>
    <w:rsid w:val="00B86CB3"/>
    <w:rsid w:val="00B86E6D"/>
    <w:rsid w:val="00B87582"/>
    <w:rsid w:val="00B903A2"/>
    <w:rsid w:val="00B91B26"/>
    <w:rsid w:val="00B9256C"/>
    <w:rsid w:val="00B92D83"/>
    <w:rsid w:val="00B933FB"/>
    <w:rsid w:val="00B94D0B"/>
    <w:rsid w:val="00B94E92"/>
    <w:rsid w:val="00BA00EE"/>
    <w:rsid w:val="00BA150F"/>
    <w:rsid w:val="00BA5258"/>
    <w:rsid w:val="00BA549F"/>
    <w:rsid w:val="00BA5645"/>
    <w:rsid w:val="00BA5660"/>
    <w:rsid w:val="00BA5974"/>
    <w:rsid w:val="00BA5DE4"/>
    <w:rsid w:val="00BA64F6"/>
    <w:rsid w:val="00BA6D44"/>
    <w:rsid w:val="00BB1ECF"/>
    <w:rsid w:val="00BB2B08"/>
    <w:rsid w:val="00BB2FE9"/>
    <w:rsid w:val="00BB3906"/>
    <w:rsid w:val="00BB3C08"/>
    <w:rsid w:val="00BB5EEC"/>
    <w:rsid w:val="00BB7F77"/>
    <w:rsid w:val="00BC0359"/>
    <w:rsid w:val="00BC0457"/>
    <w:rsid w:val="00BC10AC"/>
    <w:rsid w:val="00BC22C8"/>
    <w:rsid w:val="00BC50A1"/>
    <w:rsid w:val="00BC70FB"/>
    <w:rsid w:val="00BD247C"/>
    <w:rsid w:val="00BD2698"/>
    <w:rsid w:val="00BD4910"/>
    <w:rsid w:val="00BD4E3D"/>
    <w:rsid w:val="00BD54A8"/>
    <w:rsid w:val="00BD56F1"/>
    <w:rsid w:val="00BD720D"/>
    <w:rsid w:val="00BD7315"/>
    <w:rsid w:val="00BE2324"/>
    <w:rsid w:val="00BE38C2"/>
    <w:rsid w:val="00BE5ACF"/>
    <w:rsid w:val="00BE60C0"/>
    <w:rsid w:val="00BE6842"/>
    <w:rsid w:val="00BE7204"/>
    <w:rsid w:val="00BF46EF"/>
    <w:rsid w:val="00BF700D"/>
    <w:rsid w:val="00BF7E4C"/>
    <w:rsid w:val="00C011EE"/>
    <w:rsid w:val="00C02E62"/>
    <w:rsid w:val="00C04F2A"/>
    <w:rsid w:val="00C067A3"/>
    <w:rsid w:val="00C07040"/>
    <w:rsid w:val="00C148CD"/>
    <w:rsid w:val="00C1497D"/>
    <w:rsid w:val="00C16A20"/>
    <w:rsid w:val="00C202AE"/>
    <w:rsid w:val="00C20B9D"/>
    <w:rsid w:val="00C224F2"/>
    <w:rsid w:val="00C23165"/>
    <w:rsid w:val="00C26216"/>
    <w:rsid w:val="00C30D0E"/>
    <w:rsid w:val="00C31BE5"/>
    <w:rsid w:val="00C357FD"/>
    <w:rsid w:val="00C36D6E"/>
    <w:rsid w:val="00C417F0"/>
    <w:rsid w:val="00C4182A"/>
    <w:rsid w:val="00C419A2"/>
    <w:rsid w:val="00C425F6"/>
    <w:rsid w:val="00C43576"/>
    <w:rsid w:val="00C44A12"/>
    <w:rsid w:val="00C4570C"/>
    <w:rsid w:val="00C45716"/>
    <w:rsid w:val="00C51139"/>
    <w:rsid w:val="00C518A6"/>
    <w:rsid w:val="00C52657"/>
    <w:rsid w:val="00C531CA"/>
    <w:rsid w:val="00C55B48"/>
    <w:rsid w:val="00C5768B"/>
    <w:rsid w:val="00C57C8C"/>
    <w:rsid w:val="00C60110"/>
    <w:rsid w:val="00C61006"/>
    <w:rsid w:val="00C62B2D"/>
    <w:rsid w:val="00C63915"/>
    <w:rsid w:val="00C64BA7"/>
    <w:rsid w:val="00C65506"/>
    <w:rsid w:val="00C6746B"/>
    <w:rsid w:val="00C74DDC"/>
    <w:rsid w:val="00C75201"/>
    <w:rsid w:val="00C765FA"/>
    <w:rsid w:val="00C77252"/>
    <w:rsid w:val="00C77EFA"/>
    <w:rsid w:val="00C81B39"/>
    <w:rsid w:val="00C82C28"/>
    <w:rsid w:val="00C857BF"/>
    <w:rsid w:val="00C85A33"/>
    <w:rsid w:val="00C9036C"/>
    <w:rsid w:val="00C906AF"/>
    <w:rsid w:val="00C9351E"/>
    <w:rsid w:val="00C949F5"/>
    <w:rsid w:val="00CA0480"/>
    <w:rsid w:val="00CA228A"/>
    <w:rsid w:val="00CA325E"/>
    <w:rsid w:val="00CA4970"/>
    <w:rsid w:val="00CA5BA6"/>
    <w:rsid w:val="00CA602B"/>
    <w:rsid w:val="00CA72D8"/>
    <w:rsid w:val="00CA78EB"/>
    <w:rsid w:val="00CB068D"/>
    <w:rsid w:val="00CB2C76"/>
    <w:rsid w:val="00CB6B2D"/>
    <w:rsid w:val="00CC05E3"/>
    <w:rsid w:val="00CC3AC2"/>
    <w:rsid w:val="00CC46AD"/>
    <w:rsid w:val="00CC58F2"/>
    <w:rsid w:val="00CC5A77"/>
    <w:rsid w:val="00CD2C04"/>
    <w:rsid w:val="00CD3366"/>
    <w:rsid w:val="00CD4549"/>
    <w:rsid w:val="00CD4FCE"/>
    <w:rsid w:val="00CD6814"/>
    <w:rsid w:val="00CD6DE9"/>
    <w:rsid w:val="00CD7B9E"/>
    <w:rsid w:val="00CD7BEF"/>
    <w:rsid w:val="00CE0BCD"/>
    <w:rsid w:val="00CE22DB"/>
    <w:rsid w:val="00CE30C4"/>
    <w:rsid w:val="00CE334C"/>
    <w:rsid w:val="00CE4558"/>
    <w:rsid w:val="00CE51F2"/>
    <w:rsid w:val="00CE57FB"/>
    <w:rsid w:val="00CE7BF4"/>
    <w:rsid w:val="00CF1C2F"/>
    <w:rsid w:val="00CF1E38"/>
    <w:rsid w:val="00CF33D4"/>
    <w:rsid w:val="00CF3427"/>
    <w:rsid w:val="00CF57DE"/>
    <w:rsid w:val="00D00A7B"/>
    <w:rsid w:val="00D0179B"/>
    <w:rsid w:val="00D0720D"/>
    <w:rsid w:val="00D07A23"/>
    <w:rsid w:val="00D11539"/>
    <w:rsid w:val="00D11AB7"/>
    <w:rsid w:val="00D13671"/>
    <w:rsid w:val="00D138CA"/>
    <w:rsid w:val="00D14CE3"/>
    <w:rsid w:val="00D1564C"/>
    <w:rsid w:val="00D15EE5"/>
    <w:rsid w:val="00D165EA"/>
    <w:rsid w:val="00D2065F"/>
    <w:rsid w:val="00D20964"/>
    <w:rsid w:val="00D20FC6"/>
    <w:rsid w:val="00D210E0"/>
    <w:rsid w:val="00D21273"/>
    <w:rsid w:val="00D238DF"/>
    <w:rsid w:val="00D23BA3"/>
    <w:rsid w:val="00D254B4"/>
    <w:rsid w:val="00D32B88"/>
    <w:rsid w:val="00D346D4"/>
    <w:rsid w:val="00D35DD6"/>
    <w:rsid w:val="00D370FF"/>
    <w:rsid w:val="00D41B12"/>
    <w:rsid w:val="00D468EC"/>
    <w:rsid w:val="00D476A3"/>
    <w:rsid w:val="00D528AA"/>
    <w:rsid w:val="00D52C55"/>
    <w:rsid w:val="00D54829"/>
    <w:rsid w:val="00D600D1"/>
    <w:rsid w:val="00D606C6"/>
    <w:rsid w:val="00D60E81"/>
    <w:rsid w:val="00D61211"/>
    <w:rsid w:val="00D615CB"/>
    <w:rsid w:val="00D62DBE"/>
    <w:rsid w:val="00D6465B"/>
    <w:rsid w:val="00D659B8"/>
    <w:rsid w:val="00D671CC"/>
    <w:rsid w:val="00D71BD2"/>
    <w:rsid w:val="00D71F31"/>
    <w:rsid w:val="00D72725"/>
    <w:rsid w:val="00D74512"/>
    <w:rsid w:val="00D76384"/>
    <w:rsid w:val="00D83BB1"/>
    <w:rsid w:val="00D86F55"/>
    <w:rsid w:val="00D87B8E"/>
    <w:rsid w:val="00D90A37"/>
    <w:rsid w:val="00D91951"/>
    <w:rsid w:val="00D94581"/>
    <w:rsid w:val="00D9718D"/>
    <w:rsid w:val="00DA4498"/>
    <w:rsid w:val="00DA4A1D"/>
    <w:rsid w:val="00DA64D3"/>
    <w:rsid w:val="00DB0EA6"/>
    <w:rsid w:val="00DB4092"/>
    <w:rsid w:val="00DB4DFD"/>
    <w:rsid w:val="00DB574A"/>
    <w:rsid w:val="00DC2630"/>
    <w:rsid w:val="00DC2E2B"/>
    <w:rsid w:val="00DC30C6"/>
    <w:rsid w:val="00DC6537"/>
    <w:rsid w:val="00DC6736"/>
    <w:rsid w:val="00DC6997"/>
    <w:rsid w:val="00DD00FB"/>
    <w:rsid w:val="00DD3D46"/>
    <w:rsid w:val="00DD62D0"/>
    <w:rsid w:val="00DD6CCC"/>
    <w:rsid w:val="00DE0C66"/>
    <w:rsid w:val="00DE1D89"/>
    <w:rsid w:val="00DE2E20"/>
    <w:rsid w:val="00DE49B5"/>
    <w:rsid w:val="00DE5F70"/>
    <w:rsid w:val="00DE6A78"/>
    <w:rsid w:val="00DE7B1D"/>
    <w:rsid w:val="00DE7D93"/>
    <w:rsid w:val="00DE7F65"/>
    <w:rsid w:val="00DF2014"/>
    <w:rsid w:val="00DF40ED"/>
    <w:rsid w:val="00DF4923"/>
    <w:rsid w:val="00DF4CF7"/>
    <w:rsid w:val="00DF515B"/>
    <w:rsid w:val="00E0018B"/>
    <w:rsid w:val="00E046A2"/>
    <w:rsid w:val="00E047D8"/>
    <w:rsid w:val="00E05261"/>
    <w:rsid w:val="00E12184"/>
    <w:rsid w:val="00E12213"/>
    <w:rsid w:val="00E22436"/>
    <w:rsid w:val="00E22711"/>
    <w:rsid w:val="00E30B82"/>
    <w:rsid w:val="00E33731"/>
    <w:rsid w:val="00E342BC"/>
    <w:rsid w:val="00E34E0E"/>
    <w:rsid w:val="00E36B60"/>
    <w:rsid w:val="00E375B1"/>
    <w:rsid w:val="00E37B83"/>
    <w:rsid w:val="00E409F4"/>
    <w:rsid w:val="00E4466E"/>
    <w:rsid w:val="00E44B94"/>
    <w:rsid w:val="00E45BD7"/>
    <w:rsid w:val="00E4648D"/>
    <w:rsid w:val="00E46CA9"/>
    <w:rsid w:val="00E470F5"/>
    <w:rsid w:val="00E50520"/>
    <w:rsid w:val="00E51922"/>
    <w:rsid w:val="00E51AE6"/>
    <w:rsid w:val="00E54239"/>
    <w:rsid w:val="00E55935"/>
    <w:rsid w:val="00E61780"/>
    <w:rsid w:val="00E6764B"/>
    <w:rsid w:val="00E67C01"/>
    <w:rsid w:val="00E711E7"/>
    <w:rsid w:val="00E7131C"/>
    <w:rsid w:val="00E74195"/>
    <w:rsid w:val="00E75317"/>
    <w:rsid w:val="00E75F8E"/>
    <w:rsid w:val="00E76EC4"/>
    <w:rsid w:val="00E773B4"/>
    <w:rsid w:val="00E80752"/>
    <w:rsid w:val="00E81CD3"/>
    <w:rsid w:val="00E82AC8"/>
    <w:rsid w:val="00E84891"/>
    <w:rsid w:val="00E8585A"/>
    <w:rsid w:val="00E9252E"/>
    <w:rsid w:val="00E92F73"/>
    <w:rsid w:val="00E938E5"/>
    <w:rsid w:val="00E9418A"/>
    <w:rsid w:val="00E965BE"/>
    <w:rsid w:val="00EA034C"/>
    <w:rsid w:val="00EA136D"/>
    <w:rsid w:val="00EA3F60"/>
    <w:rsid w:val="00EA58BD"/>
    <w:rsid w:val="00EA5BE1"/>
    <w:rsid w:val="00EB10F0"/>
    <w:rsid w:val="00EB28DB"/>
    <w:rsid w:val="00EB3D77"/>
    <w:rsid w:val="00EB5089"/>
    <w:rsid w:val="00EB5E22"/>
    <w:rsid w:val="00EB5F3F"/>
    <w:rsid w:val="00EB6771"/>
    <w:rsid w:val="00EB6DD1"/>
    <w:rsid w:val="00EC0316"/>
    <w:rsid w:val="00EC34C8"/>
    <w:rsid w:val="00EC4DCC"/>
    <w:rsid w:val="00EC522D"/>
    <w:rsid w:val="00EC566F"/>
    <w:rsid w:val="00EC7C8B"/>
    <w:rsid w:val="00ED1DB2"/>
    <w:rsid w:val="00ED69F5"/>
    <w:rsid w:val="00ED74E2"/>
    <w:rsid w:val="00ED7521"/>
    <w:rsid w:val="00EE1EF4"/>
    <w:rsid w:val="00EE2162"/>
    <w:rsid w:val="00EE2835"/>
    <w:rsid w:val="00EE3716"/>
    <w:rsid w:val="00EE40D3"/>
    <w:rsid w:val="00EE560E"/>
    <w:rsid w:val="00EE56F0"/>
    <w:rsid w:val="00EE5FC9"/>
    <w:rsid w:val="00EE6B60"/>
    <w:rsid w:val="00EE6B96"/>
    <w:rsid w:val="00EE7B36"/>
    <w:rsid w:val="00EF032D"/>
    <w:rsid w:val="00EF349B"/>
    <w:rsid w:val="00EF4622"/>
    <w:rsid w:val="00EF506A"/>
    <w:rsid w:val="00EF51F6"/>
    <w:rsid w:val="00EF5F1C"/>
    <w:rsid w:val="00EF6FCA"/>
    <w:rsid w:val="00EF749C"/>
    <w:rsid w:val="00F0091D"/>
    <w:rsid w:val="00F01BFD"/>
    <w:rsid w:val="00F056D8"/>
    <w:rsid w:val="00F06B81"/>
    <w:rsid w:val="00F13052"/>
    <w:rsid w:val="00F141BA"/>
    <w:rsid w:val="00F175E6"/>
    <w:rsid w:val="00F20253"/>
    <w:rsid w:val="00F217C2"/>
    <w:rsid w:val="00F25F9B"/>
    <w:rsid w:val="00F273E9"/>
    <w:rsid w:val="00F277B3"/>
    <w:rsid w:val="00F27EDB"/>
    <w:rsid w:val="00F30A7D"/>
    <w:rsid w:val="00F3143B"/>
    <w:rsid w:val="00F319A5"/>
    <w:rsid w:val="00F3322E"/>
    <w:rsid w:val="00F33E49"/>
    <w:rsid w:val="00F34E4B"/>
    <w:rsid w:val="00F35638"/>
    <w:rsid w:val="00F37873"/>
    <w:rsid w:val="00F42765"/>
    <w:rsid w:val="00F42D17"/>
    <w:rsid w:val="00F443E0"/>
    <w:rsid w:val="00F45B2E"/>
    <w:rsid w:val="00F47BD8"/>
    <w:rsid w:val="00F5084E"/>
    <w:rsid w:val="00F51C9A"/>
    <w:rsid w:val="00F529E1"/>
    <w:rsid w:val="00F52E2C"/>
    <w:rsid w:val="00F576DE"/>
    <w:rsid w:val="00F608A4"/>
    <w:rsid w:val="00F63932"/>
    <w:rsid w:val="00F63B21"/>
    <w:rsid w:val="00F6414F"/>
    <w:rsid w:val="00F64A30"/>
    <w:rsid w:val="00F65358"/>
    <w:rsid w:val="00F65E79"/>
    <w:rsid w:val="00F668A4"/>
    <w:rsid w:val="00F700C6"/>
    <w:rsid w:val="00F7069E"/>
    <w:rsid w:val="00F707C9"/>
    <w:rsid w:val="00F72666"/>
    <w:rsid w:val="00F72CD1"/>
    <w:rsid w:val="00F73279"/>
    <w:rsid w:val="00F732D8"/>
    <w:rsid w:val="00F7693B"/>
    <w:rsid w:val="00F80482"/>
    <w:rsid w:val="00F8197F"/>
    <w:rsid w:val="00F83E0C"/>
    <w:rsid w:val="00F84D14"/>
    <w:rsid w:val="00F86418"/>
    <w:rsid w:val="00F86DE4"/>
    <w:rsid w:val="00F870D4"/>
    <w:rsid w:val="00F9267C"/>
    <w:rsid w:val="00F92C5C"/>
    <w:rsid w:val="00F94789"/>
    <w:rsid w:val="00F95885"/>
    <w:rsid w:val="00F95889"/>
    <w:rsid w:val="00FA2AD4"/>
    <w:rsid w:val="00FA4A4D"/>
    <w:rsid w:val="00FA67A9"/>
    <w:rsid w:val="00FA6822"/>
    <w:rsid w:val="00FA711E"/>
    <w:rsid w:val="00FA7125"/>
    <w:rsid w:val="00FA71A1"/>
    <w:rsid w:val="00FA7368"/>
    <w:rsid w:val="00FA7D07"/>
    <w:rsid w:val="00FB2694"/>
    <w:rsid w:val="00FB2718"/>
    <w:rsid w:val="00FB2A7E"/>
    <w:rsid w:val="00FB2C30"/>
    <w:rsid w:val="00FB3B46"/>
    <w:rsid w:val="00FB45C9"/>
    <w:rsid w:val="00FB5690"/>
    <w:rsid w:val="00FB6FE7"/>
    <w:rsid w:val="00FC1934"/>
    <w:rsid w:val="00FC2B81"/>
    <w:rsid w:val="00FC3910"/>
    <w:rsid w:val="00FC405B"/>
    <w:rsid w:val="00FC60D2"/>
    <w:rsid w:val="00FC6217"/>
    <w:rsid w:val="00FC7220"/>
    <w:rsid w:val="00FD0203"/>
    <w:rsid w:val="00FD2E7C"/>
    <w:rsid w:val="00FD4B1A"/>
    <w:rsid w:val="00FE22F4"/>
    <w:rsid w:val="00FE245A"/>
    <w:rsid w:val="00FE2A2C"/>
    <w:rsid w:val="00FE3BC5"/>
    <w:rsid w:val="00FE3DF7"/>
    <w:rsid w:val="00FE409B"/>
    <w:rsid w:val="00FE4E60"/>
    <w:rsid w:val="00FE5195"/>
    <w:rsid w:val="00FE5BF0"/>
    <w:rsid w:val="00FF1809"/>
    <w:rsid w:val="00FF244E"/>
    <w:rsid w:val="00FF5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2D06"/>
  <w15:chartTrackingRefBased/>
  <w15:docId w15:val="{7DF4B03A-F209-44B6-8A4F-438EE9C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2D8"/>
    <w:pPr>
      <w:ind w:left="720"/>
      <w:contextualSpacing/>
    </w:pPr>
  </w:style>
  <w:style w:type="character" w:styleId="CommentReference">
    <w:name w:val="annotation reference"/>
    <w:basedOn w:val="DefaultParagraphFont"/>
    <w:uiPriority w:val="99"/>
    <w:semiHidden/>
    <w:unhideWhenUsed/>
    <w:rsid w:val="005F6218"/>
    <w:rPr>
      <w:sz w:val="16"/>
      <w:szCs w:val="16"/>
    </w:rPr>
  </w:style>
  <w:style w:type="paragraph" w:styleId="CommentText">
    <w:name w:val="annotation text"/>
    <w:basedOn w:val="Normal"/>
    <w:link w:val="CommentTextChar"/>
    <w:uiPriority w:val="99"/>
    <w:unhideWhenUsed/>
    <w:rsid w:val="005F6218"/>
    <w:pPr>
      <w:spacing w:after="0" w:line="240" w:lineRule="auto"/>
    </w:pPr>
    <w:rPr>
      <w:rFonts w:eastAsiaTheme="minorHAnsi"/>
      <w:kern w:val="0"/>
      <w:sz w:val="20"/>
      <w:szCs w:val="20"/>
      <w:lang w:eastAsia="en-US"/>
      <w14:ligatures w14:val="none"/>
    </w:rPr>
  </w:style>
  <w:style w:type="character" w:customStyle="1" w:styleId="CommentTextChar">
    <w:name w:val="Comment Text Char"/>
    <w:basedOn w:val="DefaultParagraphFont"/>
    <w:link w:val="CommentText"/>
    <w:uiPriority w:val="99"/>
    <w:rsid w:val="005F6218"/>
    <w:rPr>
      <w:rFonts w:eastAsiaTheme="minorHAnsi"/>
      <w:kern w:val="0"/>
      <w:sz w:val="20"/>
      <w:szCs w:val="20"/>
      <w:lang w:eastAsia="en-US"/>
      <w14:ligatures w14:val="none"/>
    </w:rPr>
  </w:style>
  <w:style w:type="table" w:styleId="TableGrid">
    <w:name w:val="Table Grid"/>
    <w:basedOn w:val="TableNormal"/>
    <w:uiPriority w:val="39"/>
    <w:rsid w:val="00FB2718"/>
    <w:pPr>
      <w:spacing w:after="0" w:line="240" w:lineRule="auto"/>
    </w:pPr>
    <w:rPr>
      <w:rFonts w:eastAsiaTheme="minorHAnsi"/>
      <w:kern w:val="0"/>
      <w:sz w:val="24"/>
      <w:szCs w:val="24"/>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4A1F"/>
    <w:pPr>
      <w:spacing w:after="200" w:line="240" w:lineRule="auto"/>
    </w:pPr>
    <w:rPr>
      <w:rFonts w:ascii="Times New Roman" w:eastAsia="Times New Roman" w:hAnsi="Times New Roman" w:cs="Times New Roman"/>
      <w:i/>
      <w:iCs/>
      <w:color w:val="44546A" w:themeColor="text2"/>
      <w:kern w:val="0"/>
      <w:sz w:val="18"/>
      <w:szCs w:val="18"/>
      <w:lang w:eastAsia="en-US"/>
      <w14:ligatures w14:val="none"/>
    </w:rPr>
  </w:style>
  <w:style w:type="character" w:styleId="PlaceholderText">
    <w:name w:val="Placeholder Text"/>
    <w:basedOn w:val="DefaultParagraphFont"/>
    <w:uiPriority w:val="99"/>
    <w:semiHidden/>
    <w:rsid w:val="00B67002"/>
    <w:rPr>
      <w:color w:val="666666"/>
    </w:rPr>
  </w:style>
  <w:style w:type="paragraph" w:styleId="NormalWeb">
    <w:name w:val="Normal (Web)"/>
    <w:basedOn w:val="Normal"/>
    <w:uiPriority w:val="99"/>
    <w:unhideWhenUsed/>
    <w:rsid w:val="00BB3C08"/>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Hyperlink">
    <w:name w:val="Hyperlink"/>
    <w:basedOn w:val="DefaultParagraphFont"/>
    <w:uiPriority w:val="99"/>
    <w:unhideWhenUsed/>
    <w:rsid w:val="00BB3C08"/>
    <w:rPr>
      <w:color w:val="0563C1" w:themeColor="hyperlink"/>
      <w:u w:val="single"/>
    </w:rPr>
  </w:style>
  <w:style w:type="character" w:styleId="UnresolvedMention">
    <w:name w:val="Unresolved Mention"/>
    <w:basedOn w:val="DefaultParagraphFont"/>
    <w:uiPriority w:val="99"/>
    <w:semiHidden/>
    <w:unhideWhenUsed/>
    <w:rsid w:val="00BD2698"/>
    <w:rPr>
      <w:color w:val="605E5C"/>
      <w:shd w:val="clear" w:color="auto" w:fill="E1DFDD"/>
    </w:rPr>
  </w:style>
  <w:style w:type="character" w:styleId="FollowedHyperlink">
    <w:name w:val="FollowedHyperlink"/>
    <w:basedOn w:val="DefaultParagraphFont"/>
    <w:uiPriority w:val="99"/>
    <w:semiHidden/>
    <w:unhideWhenUsed/>
    <w:rsid w:val="00BD2698"/>
    <w:rPr>
      <w:color w:val="954F72" w:themeColor="followedHyperlink"/>
      <w:u w:val="single"/>
    </w:rPr>
  </w:style>
  <w:style w:type="paragraph" w:styleId="Header">
    <w:name w:val="header"/>
    <w:basedOn w:val="Normal"/>
    <w:link w:val="HeaderChar"/>
    <w:uiPriority w:val="99"/>
    <w:unhideWhenUsed/>
    <w:rsid w:val="00BD2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47C"/>
  </w:style>
  <w:style w:type="paragraph" w:styleId="Footer">
    <w:name w:val="footer"/>
    <w:basedOn w:val="Normal"/>
    <w:link w:val="FooterChar"/>
    <w:uiPriority w:val="99"/>
    <w:unhideWhenUsed/>
    <w:rsid w:val="00BD2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47C"/>
  </w:style>
  <w:style w:type="paragraph" w:styleId="CommentSubject">
    <w:name w:val="annotation subject"/>
    <w:basedOn w:val="CommentText"/>
    <w:next w:val="CommentText"/>
    <w:link w:val="CommentSubjectChar"/>
    <w:uiPriority w:val="99"/>
    <w:semiHidden/>
    <w:unhideWhenUsed/>
    <w:rsid w:val="006F288E"/>
    <w:pPr>
      <w:spacing w:after="160"/>
    </w:pPr>
    <w:rPr>
      <w:rFonts w:eastAsiaTheme="minorEastAsia"/>
      <w:b/>
      <w:bCs/>
      <w:kern w:val="2"/>
      <w:lang w:eastAsia="zh-CN"/>
      <w14:ligatures w14:val="standardContextual"/>
    </w:rPr>
  </w:style>
  <w:style w:type="character" w:customStyle="1" w:styleId="CommentSubjectChar">
    <w:name w:val="Comment Subject Char"/>
    <w:basedOn w:val="CommentTextChar"/>
    <w:link w:val="CommentSubject"/>
    <w:uiPriority w:val="99"/>
    <w:semiHidden/>
    <w:rsid w:val="006F288E"/>
    <w:rPr>
      <w:rFonts w:eastAsiaTheme="minorHAnsi"/>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53737">
      <w:bodyDiv w:val="1"/>
      <w:marLeft w:val="0"/>
      <w:marRight w:val="0"/>
      <w:marTop w:val="0"/>
      <w:marBottom w:val="0"/>
      <w:divBdr>
        <w:top w:val="none" w:sz="0" w:space="0" w:color="auto"/>
        <w:left w:val="none" w:sz="0" w:space="0" w:color="auto"/>
        <w:bottom w:val="none" w:sz="0" w:space="0" w:color="auto"/>
        <w:right w:val="none" w:sz="0" w:space="0" w:color="auto"/>
      </w:divBdr>
    </w:div>
    <w:div w:id="403337676">
      <w:bodyDiv w:val="1"/>
      <w:marLeft w:val="0"/>
      <w:marRight w:val="0"/>
      <w:marTop w:val="0"/>
      <w:marBottom w:val="0"/>
      <w:divBdr>
        <w:top w:val="none" w:sz="0" w:space="0" w:color="auto"/>
        <w:left w:val="none" w:sz="0" w:space="0" w:color="auto"/>
        <w:bottom w:val="none" w:sz="0" w:space="0" w:color="auto"/>
        <w:right w:val="none" w:sz="0" w:space="0" w:color="auto"/>
      </w:divBdr>
    </w:div>
    <w:div w:id="704404913">
      <w:bodyDiv w:val="1"/>
      <w:marLeft w:val="0"/>
      <w:marRight w:val="0"/>
      <w:marTop w:val="0"/>
      <w:marBottom w:val="0"/>
      <w:divBdr>
        <w:top w:val="none" w:sz="0" w:space="0" w:color="auto"/>
        <w:left w:val="none" w:sz="0" w:space="0" w:color="auto"/>
        <w:bottom w:val="none" w:sz="0" w:space="0" w:color="auto"/>
        <w:right w:val="none" w:sz="0" w:space="0" w:color="auto"/>
      </w:divBdr>
    </w:div>
    <w:div w:id="785150311">
      <w:bodyDiv w:val="1"/>
      <w:marLeft w:val="0"/>
      <w:marRight w:val="0"/>
      <w:marTop w:val="0"/>
      <w:marBottom w:val="0"/>
      <w:divBdr>
        <w:top w:val="none" w:sz="0" w:space="0" w:color="auto"/>
        <w:left w:val="none" w:sz="0" w:space="0" w:color="auto"/>
        <w:bottom w:val="none" w:sz="0" w:space="0" w:color="auto"/>
        <w:right w:val="none" w:sz="0" w:space="0" w:color="auto"/>
      </w:divBdr>
    </w:div>
    <w:div w:id="855310356">
      <w:bodyDiv w:val="1"/>
      <w:marLeft w:val="0"/>
      <w:marRight w:val="0"/>
      <w:marTop w:val="0"/>
      <w:marBottom w:val="0"/>
      <w:divBdr>
        <w:top w:val="none" w:sz="0" w:space="0" w:color="auto"/>
        <w:left w:val="none" w:sz="0" w:space="0" w:color="auto"/>
        <w:bottom w:val="none" w:sz="0" w:space="0" w:color="auto"/>
        <w:right w:val="none" w:sz="0" w:space="0" w:color="auto"/>
      </w:divBdr>
    </w:div>
    <w:div w:id="1174413724">
      <w:bodyDiv w:val="1"/>
      <w:marLeft w:val="0"/>
      <w:marRight w:val="0"/>
      <w:marTop w:val="0"/>
      <w:marBottom w:val="0"/>
      <w:divBdr>
        <w:top w:val="none" w:sz="0" w:space="0" w:color="auto"/>
        <w:left w:val="none" w:sz="0" w:space="0" w:color="auto"/>
        <w:bottom w:val="none" w:sz="0" w:space="0" w:color="auto"/>
        <w:right w:val="none" w:sz="0" w:space="0" w:color="auto"/>
      </w:divBdr>
    </w:div>
    <w:div w:id="1364750416">
      <w:bodyDiv w:val="1"/>
      <w:marLeft w:val="0"/>
      <w:marRight w:val="0"/>
      <w:marTop w:val="0"/>
      <w:marBottom w:val="0"/>
      <w:divBdr>
        <w:top w:val="none" w:sz="0" w:space="0" w:color="auto"/>
        <w:left w:val="none" w:sz="0" w:space="0" w:color="auto"/>
        <w:bottom w:val="none" w:sz="0" w:space="0" w:color="auto"/>
        <w:right w:val="none" w:sz="0" w:space="0" w:color="auto"/>
      </w:divBdr>
    </w:div>
    <w:div w:id="18987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doi.org/10.1002/sim.415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j.recesp.2011.04.017" TargetMode="Externa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hyperlink" Target="https://proceedings.neurips.cc/paper/2017/file/5d44ee6f2c3f71b73125876103c8f6c4-Paper.pdf"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l.acm.org/doi/pdf/10.5555/3327757.3327868" TargetMode="External"/><Relationship Id="rId20" Type="http://schemas.openxmlformats.org/officeDocument/2006/relationships/hyperlink" Target="https://doi.org/10.1002/sim.1802"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4569/ijacsa.2021.0120885" TargetMode="External"/><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doi.org/10.1002/(sici)1097-0258(19960229)15:4%3C361::aid-sim168%3E3.0.co;2-4"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www.syngoportal.org/conv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20</Pages>
  <Words>8079</Words>
  <Characters>46056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Hojin Moon</dc:creator>
  <cp:keywords/>
  <dc:description/>
  <cp:lastModifiedBy>Hojin Moon</cp:lastModifiedBy>
  <cp:revision>28</cp:revision>
  <cp:lastPrinted>2024-04-14T21:54:00Z</cp:lastPrinted>
  <dcterms:created xsi:type="dcterms:W3CDTF">2025-02-16T21:55:00Z</dcterms:created>
  <dcterms:modified xsi:type="dcterms:W3CDTF">2025-02-22T18:00:00Z</dcterms:modified>
</cp:coreProperties>
</file>