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FE2F" w14:textId="194152C0" w:rsidR="00316B92" w:rsidRPr="002B05D2" w:rsidRDefault="00377276" w:rsidP="002B05D2">
      <w:pPr>
        <w:pStyle w:val="Title"/>
      </w:pPr>
      <w:r w:rsidRPr="002B05D2">
        <w:t>OERU Quarterly Review</w:t>
      </w:r>
      <w:r w:rsidR="002B05D2" w:rsidRPr="002B05D2">
        <w:t xml:space="preserve"> | </w:t>
      </w:r>
      <w:r w:rsidR="006673A8" w:rsidRPr="002B05D2">
        <w:t>Winter 2021</w:t>
      </w:r>
    </w:p>
    <w:p w14:paraId="787A0EE3" w14:textId="2807D702" w:rsidR="000366C4" w:rsidRPr="002B05D2" w:rsidRDefault="000366C4" w:rsidP="002B05D2">
      <w:pPr>
        <w:pStyle w:val="Subtitle"/>
      </w:pPr>
      <w:r w:rsidRPr="002B05D2">
        <w:t>Updates on low</w:t>
      </w:r>
      <w:r w:rsidR="002B05D2" w:rsidRPr="002B05D2">
        <w:t>-</w:t>
      </w:r>
      <w:r w:rsidRPr="002B05D2">
        <w:t xml:space="preserve"> and no-cost sections and adoption of open educational resources</w:t>
      </w:r>
    </w:p>
    <w:p w14:paraId="7D9A150B" w14:textId="6DC3E1CE" w:rsidR="006673A8" w:rsidRPr="002B05D2" w:rsidRDefault="00183C01" w:rsidP="002B05D2">
      <w:pPr>
        <w:pStyle w:val="Heading1"/>
      </w:pPr>
      <w:r w:rsidRPr="002B05D2">
        <w:t>Annual</w:t>
      </w:r>
      <w:r w:rsidR="00030232" w:rsidRPr="002B05D2">
        <w:t xml:space="preserve"> </w:t>
      </w:r>
      <w:r w:rsidR="00D42A64" w:rsidRPr="002B05D2">
        <w:t>o</w:t>
      </w:r>
      <w:r w:rsidR="00030232" w:rsidRPr="002B05D2">
        <w:t>verview</w:t>
      </w:r>
      <w:r w:rsidR="000366C4" w:rsidRPr="002B05D2">
        <w:t xml:space="preserve"> of sections using </w:t>
      </w:r>
      <w:r w:rsidR="000F02A3" w:rsidRPr="002B05D2">
        <w:t>low</w:t>
      </w:r>
      <w:r w:rsidR="006C656C">
        <w:t>-</w:t>
      </w:r>
      <w:r w:rsidR="000366C4" w:rsidRPr="002B05D2">
        <w:t xml:space="preserve"> </w:t>
      </w:r>
      <w:r w:rsidR="006C656C">
        <w:t>and</w:t>
      </w:r>
      <w:r w:rsidR="000366C4" w:rsidRPr="002B05D2">
        <w:t xml:space="preserve"> </w:t>
      </w:r>
      <w:r w:rsidR="000F02A3" w:rsidRPr="002B05D2">
        <w:t>no</w:t>
      </w:r>
      <w:r w:rsidR="000366C4" w:rsidRPr="002B05D2">
        <w:t>-cost course materials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bottom w:w="72" w:type="dxa"/>
        </w:tblCellMar>
        <w:tblLook w:val="04A0" w:firstRow="1" w:lastRow="0" w:firstColumn="1" w:lastColumn="0" w:noHBand="0" w:noVBand="1"/>
      </w:tblPr>
      <w:tblGrid>
        <w:gridCol w:w="1067"/>
        <w:gridCol w:w="1334"/>
        <w:gridCol w:w="986"/>
        <w:gridCol w:w="2132"/>
        <w:gridCol w:w="1347"/>
        <w:gridCol w:w="2494"/>
      </w:tblGrid>
      <w:tr w:rsidR="006673A8" w:rsidRPr="002B05D2" w14:paraId="0476A771" w14:textId="77777777" w:rsidTr="006517CB">
        <w:tc>
          <w:tcPr>
            <w:tcW w:w="1075" w:type="dxa"/>
          </w:tcPr>
          <w:p w14:paraId="1B264D7F" w14:textId="77777777" w:rsidR="006673A8" w:rsidRPr="002B05D2" w:rsidRDefault="006673A8" w:rsidP="00ED6745"/>
          <w:p w14:paraId="2777B66A" w14:textId="77777777" w:rsidR="006673A8" w:rsidRPr="002B05D2" w:rsidRDefault="006673A8" w:rsidP="00ED6745">
            <w:r w:rsidRPr="002B05D2">
              <w:t xml:space="preserve">    </w:t>
            </w:r>
          </w:p>
        </w:tc>
        <w:tc>
          <w:tcPr>
            <w:tcW w:w="1350" w:type="dxa"/>
            <w:vAlign w:val="bottom"/>
          </w:tcPr>
          <w:p w14:paraId="369DB99B" w14:textId="77777777" w:rsidR="006673A8" w:rsidRPr="002B05D2" w:rsidRDefault="006673A8" w:rsidP="009D75A7">
            <w:pPr>
              <w:jc w:val="right"/>
              <w:rPr>
                <w:b/>
                <w:bCs/>
              </w:rPr>
            </w:pPr>
            <w:r w:rsidRPr="002B05D2">
              <w:rPr>
                <w:b/>
                <w:bCs/>
              </w:rPr>
              <w:t>Low</w:t>
            </w:r>
            <w:r w:rsidR="00D42A64" w:rsidRPr="002B05D2">
              <w:rPr>
                <w:b/>
                <w:bCs/>
              </w:rPr>
              <w:t>-c</w:t>
            </w:r>
            <w:r w:rsidRPr="002B05D2">
              <w:rPr>
                <w:b/>
                <w:bCs/>
              </w:rPr>
              <w:t>ost</w:t>
            </w:r>
          </w:p>
          <w:p w14:paraId="5BE63285" w14:textId="77777777" w:rsidR="006673A8" w:rsidRPr="002B05D2" w:rsidRDefault="006673A8" w:rsidP="009D75A7">
            <w:pPr>
              <w:jc w:val="right"/>
              <w:rPr>
                <w:b/>
                <w:bCs/>
              </w:rPr>
            </w:pPr>
            <w:r w:rsidRPr="002B05D2">
              <w:rPr>
                <w:b/>
                <w:bCs/>
              </w:rPr>
              <w:t>(</w:t>
            </w:r>
            <w:r w:rsidR="00D42A64" w:rsidRPr="002B05D2">
              <w:rPr>
                <w:b/>
                <w:bCs/>
              </w:rPr>
              <w:t>u</w:t>
            </w:r>
            <w:r w:rsidRPr="002B05D2">
              <w:rPr>
                <w:b/>
                <w:bCs/>
              </w:rPr>
              <w:t>nder $40)</w:t>
            </w:r>
          </w:p>
        </w:tc>
        <w:tc>
          <w:tcPr>
            <w:tcW w:w="990" w:type="dxa"/>
            <w:vAlign w:val="bottom"/>
          </w:tcPr>
          <w:p w14:paraId="292CEF89" w14:textId="77777777" w:rsidR="006673A8" w:rsidRPr="002B05D2" w:rsidRDefault="006673A8" w:rsidP="009D75A7">
            <w:pPr>
              <w:jc w:val="right"/>
              <w:rPr>
                <w:b/>
                <w:bCs/>
              </w:rPr>
            </w:pPr>
            <w:r w:rsidRPr="002B05D2">
              <w:rPr>
                <w:b/>
                <w:bCs/>
              </w:rPr>
              <w:t>No</w:t>
            </w:r>
            <w:r w:rsidR="00D42A64" w:rsidRPr="002B05D2">
              <w:rPr>
                <w:b/>
                <w:bCs/>
              </w:rPr>
              <w:t>-c</w:t>
            </w:r>
            <w:r w:rsidRPr="002B05D2">
              <w:rPr>
                <w:b/>
                <w:bCs/>
              </w:rPr>
              <w:t>ost</w:t>
            </w:r>
          </w:p>
        </w:tc>
        <w:tc>
          <w:tcPr>
            <w:tcW w:w="2160" w:type="dxa"/>
            <w:vAlign w:val="bottom"/>
          </w:tcPr>
          <w:p w14:paraId="3BEE1EBB" w14:textId="77777777" w:rsidR="006673A8" w:rsidRPr="002B05D2" w:rsidRDefault="006673A8" w:rsidP="009D75A7">
            <w:pPr>
              <w:jc w:val="right"/>
              <w:rPr>
                <w:b/>
                <w:bCs/>
              </w:rPr>
            </w:pPr>
            <w:r w:rsidRPr="002B05D2">
              <w:rPr>
                <w:b/>
                <w:bCs/>
              </w:rPr>
              <w:t xml:space="preserve">Enrollment in </w:t>
            </w:r>
            <w:r w:rsidR="00D42A64" w:rsidRPr="002B05D2">
              <w:rPr>
                <w:b/>
                <w:bCs/>
              </w:rPr>
              <w:t>l</w:t>
            </w:r>
            <w:r w:rsidRPr="002B05D2">
              <w:rPr>
                <w:b/>
                <w:bCs/>
              </w:rPr>
              <w:t>ow</w:t>
            </w:r>
            <w:r w:rsidR="00D42A64" w:rsidRPr="002B05D2">
              <w:rPr>
                <w:b/>
                <w:bCs/>
              </w:rPr>
              <w:t>-</w:t>
            </w:r>
            <w:r w:rsidRPr="002B05D2">
              <w:rPr>
                <w:b/>
                <w:bCs/>
              </w:rPr>
              <w:t xml:space="preserve"> and </w:t>
            </w:r>
            <w:r w:rsidR="00D42A64" w:rsidRPr="002B05D2">
              <w:rPr>
                <w:b/>
                <w:bCs/>
              </w:rPr>
              <w:t>n</w:t>
            </w:r>
            <w:r w:rsidRPr="002B05D2">
              <w:rPr>
                <w:b/>
                <w:bCs/>
              </w:rPr>
              <w:t>o</w:t>
            </w:r>
            <w:r w:rsidR="00D42A64" w:rsidRPr="002B05D2">
              <w:rPr>
                <w:b/>
                <w:bCs/>
              </w:rPr>
              <w:t>-c</w:t>
            </w:r>
            <w:r w:rsidRPr="002B05D2">
              <w:rPr>
                <w:b/>
                <w:bCs/>
              </w:rPr>
              <w:t xml:space="preserve">ost </w:t>
            </w:r>
            <w:r w:rsidR="00D42A64" w:rsidRPr="002B05D2">
              <w:rPr>
                <w:b/>
                <w:bCs/>
              </w:rPr>
              <w:t>s</w:t>
            </w:r>
            <w:r w:rsidRPr="002B05D2">
              <w:rPr>
                <w:b/>
                <w:bCs/>
              </w:rPr>
              <w:t xml:space="preserve">ections </w:t>
            </w:r>
          </w:p>
        </w:tc>
        <w:tc>
          <w:tcPr>
            <w:tcW w:w="1350" w:type="dxa"/>
            <w:vAlign w:val="bottom"/>
          </w:tcPr>
          <w:p w14:paraId="391DBC1C" w14:textId="77777777" w:rsidR="006673A8" w:rsidRPr="002B05D2" w:rsidRDefault="006673A8" w:rsidP="009D75A7">
            <w:pPr>
              <w:jc w:val="right"/>
              <w:rPr>
                <w:b/>
                <w:bCs/>
              </w:rPr>
            </w:pPr>
            <w:r w:rsidRPr="002B05D2">
              <w:rPr>
                <w:b/>
                <w:bCs/>
              </w:rPr>
              <w:t xml:space="preserve">Cost </w:t>
            </w:r>
            <w:r w:rsidR="00D42A64" w:rsidRPr="002B05D2">
              <w:rPr>
                <w:b/>
                <w:bCs/>
              </w:rPr>
              <w:t>a</w:t>
            </w:r>
            <w:r w:rsidRPr="002B05D2">
              <w:rPr>
                <w:b/>
                <w:bCs/>
              </w:rPr>
              <w:t>voidance</w:t>
            </w:r>
          </w:p>
        </w:tc>
        <w:tc>
          <w:tcPr>
            <w:tcW w:w="2538" w:type="dxa"/>
            <w:vAlign w:val="bottom"/>
          </w:tcPr>
          <w:p w14:paraId="44C63F49" w14:textId="77777777" w:rsidR="006673A8" w:rsidRPr="002B05D2" w:rsidRDefault="006673A8" w:rsidP="009D75A7">
            <w:pPr>
              <w:jc w:val="right"/>
              <w:rPr>
                <w:b/>
                <w:bCs/>
              </w:rPr>
            </w:pPr>
            <w:r w:rsidRPr="002B05D2">
              <w:rPr>
                <w:b/>
                <w:bCs/>
              </w:rPr>
              <w:t>YoY change</w:t>
            </w:r>
          </w:p>
        </w:tc>
      </w:tr>
      <w:tr w:rsidR="006673A8" w:rsidRPr="002B05D2" w14:paraId="17584CFA" w14:textId="77777777" w:rsidTr="006517CB">
        <w:tc>
          <w:tcPr>
            <w:tcW w:w="1075" w:type="dxa"/>
          </w:tcPr>
          <w:p w14:paraId="57025E4F" w14:textId="77777777" w:rsidR="006673A8" w:rsidRPr="002B05D2" w:rsidRDefault="006673A8" w:rsidP="00ED6745">
            <w:pPr>
              <w:rPr>
                <w:b/>
                <w:bCs/>
              </w:rPr>
            </w:pPr>
            <w:r w:rsidRPr="002B05D2">
              <w:rPr>
                <w:b/>
                <w:bCs/>
              </w:rPr>
              <w:t>2019</w:t>
            </w:r>
            <w:r w:rsidR="009B37BC" w:rsidRPr="002B05D2">
              <w:rPr>
                <w:b/>
                <w:bCs/>
              </w:rPr>
              <w:t>–</w:t>
            </w:r>
            <w:r w:rsidRPr="002B05D2">
              <w:rPr>
                <w:b/>
                <w:bCs/>
              </w:rPr>
              <w:t>20</w:t>
            </w:r>
          </w:p>
        </w:tc>
        <w:tc>
          <w:tcPr>
            <w:tcW w:w="1350" w:type="dxa"/>
          </w:tcPr>
          <w:p w14:paraId="10E8E8C0" w14:textId="77777777" w:rsidR="006673A8" w:rsidRPr="002B05D2" w:rsidRDefault="00076AA4" w:rsidP="009B37BC">
            <w:pPr>
              <w:jc w:val="right"/>
            </w:pPr>
            <w:r w:rsidRPr="002B05D2">
              <w:t>7.3%</w:t>
            </w:r>
          </w:p>
        </w:tc>
        <w:tc>
          <w:tcPr>
            <w:tcW w:w="990" w:type="dxa"/>
          </w:tcPr>
          <w:p w14:paraId="5235BE61" w14:textId="77777777" w:rsidR="006673A8" w:rsidRPr="002B05D2" w:rsidRDefault="00076AA4" w:rsidP="009B37BC">
            <w:pPr>
              <w:jc w:val="right"/>
            </w:pPr>
            <w:r w:rsidRPr="002B05D2">
              <w:t>8.8%</w:t>
            </w:r>
          </w:p>
        </w:tc>
        <w:tc>
          <w:tcPr>
            <w:tcW w:w="2160" w:type="dxa"/>
          </w:tcPr>
          <w:p w14:paraId="72D564A7" w14:textId="77777777" w:rsidR="006673A8" w:rsidRPr="002B05D2" w:rsidRDefault="00076AA4" w:rsidP="009D75A7">
            <w:pPr>
              <w:jc w:val="right"/>
            </w:pPr>
            <w:r w:rsidRPr="002B05D2">
              <w:t>49</w:t>
            </w:r>
            <w:r w:rsidR="00030232" w:rsidRPr="002B05D2">
              <w:t>,</w:t>
            </w:r>
            <w:r w:rsidRPr="002B05D2">
              <w:t>183</w:t>
            </w:r>
          </w:p>
        </w:tc>
        <w:tc>
          <w:tcPr>
            <w:tcW w:w="1350" w:type="dxa"/>
          </w:tcPr>
          <w:p w14:paraId="7F835D90" w14:textId="77777777" w:rsidR="006673A8" w:rsidRPr="002B05D2" w:rsidRDefault="00D22AAB" w:rsidP="009B37BC">
            <w:pPr>
              <w:jc w:val="right"/>
            </w:pPr>
            <w:r w:rsidRPr="002B05D2">
              <w:t>$</w:t>
            </w:r>
            <w:r w:rsidR="00076AA4" w:rsidRPr="002B05D2">
              <w:t>2</w:t>
            </w:r>
            <w:r w:rsidR="00030232" w:rsidRPr="002B05D2">
              <w:t>,</w:t>
            </w:r>
            <w:r w:rsidR="00076AA4" w:rsidRPr="002B05D2">
              <w:t>824</w:t>
            </w:r>
            <w:r w:rsidR="00030232" w:rsidRPr="002B05D2">
              <w:t>,</w:t>
            </w:r>
            <w:r w:rsidR="00076AA4" w:rsidRPr="002B05D2">
              <w:t>765</w:t>
            </w:r>
          </w:p>
        </w:tc>
        <w:tc>
          <w:tcPr>
            <w:tcW w:w="2538" w:type="dxa"/>
          </w:tcPr>
          <w:p w14:paraId="6DA96A1A" w14:textId="335A8839" w:rsidR="006673A8" w:rsidRPr="002B05D2" w:rsidRDefault="006673A8" w:rsidP="009D75A7">
            <w:pPr>
              <w:jc w:val="center"/>
            </w:pPr>
            <w:r w:rsidRPr="002B05D2">
              <w:t>First year data was collected</w:t>
            </w:r>
            <w:r w:rsidR="006C656C">
              <w:t>*</w:t>
            </w:r>
          </w:p>
        </w:tc>
      </w:tr>
      <w:tr w:rsidR="006673A8" w:rsidRPr="002B05D2" w14:paraId="0E752F8E" w14:textId="77777777" w:rsidTr="006517CB">
        <w:tc>
          <w:tcPr>
            <w:tcW w:w="1075" w:type="dxa"/>
          </w:tcPr>
          <w:p w14:paraId="318DCB18" w14:textId="77777777" w:rsidR="006673A8" w:rsidRPr="002B05D2" w:rsidRDefault="006673A8" w:rsidP="00ED6745">
            <w:pPr>
              <w:rPr>
                <w:b/>
                <w:bCs/>
              </w:rPr>
            </w:pPr>
            <w:r w:rsidRPr="002B05D2">
              <w:rPr>
                <w:b/>
                <w:bCs/>
              </w:rPr>
              <w:t>2020</w:t>
            </w:r>
            <w:r w:rsidR="009B37BC" w:rsidRPr="002B05D2">
              <w:rPr>
                <w:b/>
                <w:bCs/>
              </w:rPr>
              <w:t>–</w:t>
            </w:r>
            <w:r w:rsidRPr="002B05D2">
              <w:rPr>
                <w:b/>
                <w:bCs/>
              </w:rPr>
              <w:t>21</w:t>
            </w:r>
          </w:p>
        </w:tc>
        <w:tc>
          <w:tcPr>
            <w:tcW w:w="1350" w:type="dxa"/>
          </w:tcPr>
          <w:p w14:paraId="27B51B02" w14:textId="77777777" w:rsidR="006673A8" w:rsidRPr="002B05D2" w:rsidRDefault="00076AA4" w:rsidP="009B37BC">
            <w:pPr>
              <w:jc w:val="right"/>
            </w:pPr>
            <w:r w:rsidRPr="002B05D2">
              <w:t>7.9%</w:t>
            </w:r>
          </w:p>
        </w:tc>
        <w:tc>
          <w:tcPr>
            <w:tcW w:w="990" w:type="dxa"/>
          </w:tcPr>
          <w:p w14:paraId="69D9D38C" w14:textId="77777777" w:rsidR="006673A8" w:rsidRPr="002B05D2" w:rsidRDefault="00076AA4" w:rsidP="009B37BC">
            <w:pPr>
              <w:jc w:val="right"/>
            </w:pPr>
            <w:r w:rsidRPr="002B05D2">
              <w:t>11%</w:t>
            </w:r>
          </w:p>
        </w:tc>
        <w:tc>
          <w:tcPr>
            <w:tcW w:w="2160" w:type="dxa"/>
          </w:tcPr>
          <w:p w14:paraId="6495880F" w14:textId="77777777" w:rsidR="006673A8" w:rsidRPr="002B05D2" w:rsidRDefault="00076AA4" w:rsidP="009D75A7">
            <w:pPr>
              <w:jc w:val="right"/>
            </w:pPr>
            <w:r w:rsidRPr="002B05D2">
              <w:t>44</w:t>
            </w:r>
            <w:r w:rsidR="00030232" w:rsidRPr="002B05D2">
              <w:t>,</w:t>
            </w:r>
            <w:r w:rsidRPr="002B05D2">
              <w:t>394</w:t>
            </w:r>
          </w:p>
        </w:tc>
        <w:tc>
          <w:tcPr>
            <w:tcW w:w="1350" w:type="dxa"/>
          </w:tcPr>
          <w:p w14:paraId="57919E5C" w14:textId="77777777" w:rsidR="006673A8" w:rsidRPr="002B05D2" w:rsidRDefault="00D22AAB" w:rsidP="009B37BC">
            <w:pPr>
              <w:jc w:val="right"/>
            </w:pPr>
            <w:r w:rsidRPr="002B05D2">
              <w:t>$</w:t>
            </w:r>
            <w:r w:rsidR="00076AA4" w:rsidRPr="002B05D2">
              <w:t>2</w:t>
            </w:r>
            <w:r w:rsidR="00030232" w:rsidRPr="002B05D2">
              <w:t>,</w:t>
            </w:r>
            <w:r w:rsidR="00076AA4" w:rsidRPr="002B05D2">
              <w:t>990</w:t>
            </w:r>
            <w:r w:rsidR="00030232" w:rsidRPr="002B05D2">
              <w:t>,</w:t>
            </w:r>
            <w:r w:rsidR="00076AA4" w:rsidRPr="002B05D2">
              <w:t>470</w:t>
            </w:r>
          </w:p>
        </w:tc>
        <w:tc>
          <w:tcPr>
            <w:tcW w:w="2538" w:type="dxa"/>
          </w:tcPr>
          <w:p w14:paraId="08751361" w14:textId="77777777" w:rsidR="006673A8" w:rsidRPr="002B05D2" w:rsidRDefault="00B03553" w:rsidP="009B37BC">
            <w:pPr>
              <w:jc w:val="right"/>
            </w:pPr>
            <w:r w:rsidRPr="002B05D2">
              <w:t>4.4</w:t>
            </w:r>
            <w:r w:rsidR="006673A8" w:rsidRPr="002B05D2">
              <w:t>%</w:t>
            </w:r>
          </w:p>
        </w:tc>
      </w:tr>
      <w:tr w:rsidR="000366C4" w:rsidRPr="002B05D2" w14:paraId="3456EEAD" w14:textId="77777777" w:rsidTr="006517CB">
        <w:tc>
          <w:tcPr>
            <w:tcW w:w="1075" w:type="dxa"/>
          </w:tcPr>
          <w:p w14:paraId="40AE20B8" w14:textId="77777777" w:rsidR="000366C4" w:rsidRPr="002B05D2" w:rsidRDefault="000366C4" w:rsidP="00ED6745">
            <w:pPr>
              <w:rPr>
                <w:b/>
                <w:bCs/>
              </w:rPr>
            </w:pPr>
          </w:p>
        </w:tc>
        <w:tc>
          <w:tcPr>
            <w:tcW w:w="1350" w:type="dxa"/>
          </w:tcPr>
          <w:p w14:paraId="732A0D48" w14:textId="77777777" w:rsidR="000366C4" w:rsidRPr="002B05D2" w:rsidRDefault="000366C4" w:rsidP="009B37BC">
            <w:pPr>
              <w:jc w:val="right"/>
              <w:rPr>
                <w:b/>
              </w:rPr>
            </w:pPr>
          </w:p>
        </w:tc>
        <w:tc>
          <w:tcPr>
            <w:tcW w:w="990" w:type="dxa"/>
          </w:tcPr>
          <w:p w14:paraId="2F4C6636" w14:textId="77777777" w:rsidR="000366C4" w:rsidRPr="002B05D2" w:rsidRDefault="000366C4" w:rsidP="009B37BC">
            <w:pPr>
              <w:jc w:val="right"/>
              <w:rPr>
                <w:b/>
              </w:rPr>
            </w:pPr>
            <w:r w:rsidRPr="002B05D2">
              <w:rPr>
                <w:b/>
              </w:rPr>
              <w:t>TOTAL</w:t>
            </w:r>
          </w:p>
        </w:tc>
        <w:tc>
          <w:tcPr>
            <w:tcW w:w="2160" w:type="dxa"/>
          </w:tcPr>
          <w:p w14:paraId="20FA048E" w14:textId="77777777" w:rsidR="000366C4" w:rsidRPr="002B05D2" w:rsidRDefault="000366C4" w:rsidP="009D75A7">
            <w:pPr>
              <w:jc w:val="right"/>
              <w:rPr>
                <w:b/>
              </w:rPr>
            </w:pPr>
            <w:r w:rsidRPr="002B05D2">
              <w:rPr>
                <w:b/>
              </w:rPr>
              <w:t>88,577</w:t>
            </w:r>
          </w:p>
        </w:tc>
        <w:tc>
          <w:tcPr>
            <w:tcW w:w="1350" w:type="dxa"/>
          </w:tcPr>
          <w:p w14:paraId="328D7462" w14:textId="77777777" w:rsidR="000366C4" w:rsidRPr="002B05D2" w:rsidRDefault="000366C4" w:rsidP="009B37BC">
            <w:pPr>
              <w:jc w:val="right"/>
              <w:rPr>
                <w:b/>
              </w:rPr>
            </w:pPr>
            <w:r w:rsidRPr="002B05D2">
              <w:rPr>
                <w:b/>
              </w:rPr>
              <w:t>$5,815,235</w:t>
            </w:r>
          </w:p>
        </w:tc>
        <w:tc>
          <w:tcPr>
            <w:tcW w:w="2538" w:type="dxa"/>
          </w:tcPr>
          <w:p w14:paraId="77B6A14D" w14:textId="77777777" w:rsidR="000366C4" w:rsidRPr="002B05D2" w:rsidRDefault="000366C4" w:rsidP="009B37BC">
            <w:pPr>
              <w:jc w:val="right"/>
              <w:rPr>
                <w:b/>
              </w:rPr>
            </w:pPr>
          </w:p>
        </w:tc>
      </w:tr>
    </w:tbl>
    <w:p w14:paraId="060F2550" w14:textId="77777777" w:rsidR="006673A8" w:rsidRDefault="006673A8" w:rsidP="008C0571"/>
    <w:p w14:paraId="0E1725F6" w14:textId="77777777" w:rsidR="000363BD" w:rsidRDefault="000363BD" w:rsidP="002B05D2">
      <w:pPr>
        <w:pStyle w:val="ColorfulList-Accent11"/>
        <w:numPr>
          <w:ilvl w:val="0"/>
          <w:numId w:val="9"/>
        </w:numPr>
      </w:pPr>
      <w:r w:rsidRPr="002B05D2">
        <w:rPr>
          <w:color w:val="000000" w:themeColor="text1"/>
        </w:rPr>
        <w:t>OSU</w:t>
      </w:r>
      <w:r>
        <w:t xml:space="preserve"> is making steady progress in reducing the </w:t>
      </w:r>
      <w:r w:rsidR="009B37BC">
        <w:t>cost of</w:t>
      </w:r>
      <w:r>
        <w:t xml:space="preserve"> course materials in all modalities</w:t>
      </w:r>
    </w:p>
    <w:p w14:paraId="2918152D" w14:textId="6A458928" w:rsidR="00076AA4" w:rsidRPr="002B05D2" w:rsidRDefault="00076AA4" w:rsidP="002B05D2">
      <w:pPr>
        <w:pStyle w:val="Heading1"/>
      </w:pPr>
      <w:r w:rsidRPr="002B05D2">
        <w:t>Winter 2021</w:t>
      </w:r>
      <w:r w:rsidR="008A10FF" w:rsidRPr="002B05D2">
        <w:t xml:space="preserve"> of sections using </w:t>
      </w:r>
      <w:r w:rsidR="000F02A3" w:rsidRPr="002B05D2">
        <w:t>low</w:t>
      </w:r>
      <w:r w:rsidR="009D75A7">
        <w:t>- and</w:t>
      </w:r>
      <w:r w:rsidR="008A10FF" w:rsidRPr="002B05D2">
        <w:t xml:space="preserve"> </w:t>
      </w:r>
      <w:r w:rsidR="000F02A3" w:rsidRPr="002B05D2">
        <w:t>no</w:t>
      </w:r>
      <w:r w:rsidR="008A10FF" w:rsidRPr="002B05D2">
        <w:t>-cost course materials</w:t>
      </w:r>
    </w:p>
    <w:p w14:paraId="1BF12BC7" w14:textId="77777777" w:rsidR="008C0571" w:rsidRPr="002B05D2" w:rsidRDefault="008C0571" w:rsidP="008C0571">
      <w:pPr>
        <w:pStyle w:val="ListParagraph"/>
        <w:numPr>
          <w:ilvl w:val="0"/>
          <w:numId w:val="6"/>
        </w:numPr>
        <w:rPr>
          <w:rFonts w:eastAsia="Calibri"/>
        </w:rPr>
      </w:pPr>
      <w:r w:rsidRPr="002B05D2">
        <w:rPr>
          <w:rFonts w:eastAsia="Calibri"/>
        </w:rPr>
        <w:t xml:space="preserve">Total sections: </w:t>
      </w:r>
      <w:r w:rsidR="00076AA4" w:rsidRPr="002B05D2">
        <w:rPr>
          <w:rFonts w:eastAsia="Calibri"/>
        </w:rPr>
        <w:t>1,041</w:t>
      </w:r>
    </w:p>
    <w:p w14:paraId="0E292F43" w14:textId="77777777" w:rsidR="008C0571" w:rsidRPr="002B05D2" w:rsidRDefault="008C0571" w:rsidP="008C0571">
      <w:pPr>
        <w:pStyle w:val="ListParagraph"/>
        <w:numPr>
          <w:ilvl w:val="0"/>
          <w:numId w:val="6"/>
        </w:numPr>
        <w:rPr>
          <w:rFonts w:eastAsia="Calibri"/>
        </w:rPr>
      </w:pPr>
      <w:r w:rsidRPr="002B05D2">
        <w:rPr>
          <w:rFonts w:eastAsia="Calibri"/>
        </w:rPr>
        <w:t xml:space="preserve">Total </w:t>
      </w:r>
      <w:r w:rsidR="00D42A64" w:rsidRPr="002B05D2">
        <w:rPr>
          <w:rFonts w:eastAsia="Calibri"/>
        </w:rPr>
        <w:t>l</w:t>
      </w:r>
      <w:r w:rsidRPr="002B05D2">
        <w:rPr>
          <w:rFonts w:eastAsia="Calibri"/>
        </w:rPr>
        <w:t>ow</w:t>
      </w:r>
      <w:r w:rsidR="00D42A64" w:rsidRPr="002B05D2">
        <w:rPr>
          <w:rFonts w:eastAsia="Calibri"/>
        </w:rPr>
        <w:t>- and no-</w:t>
      </w:r>
      <w:r w:rsidRPr="002B05D2">
        <w:rPr>
          <w:rFonts w:eastAsia="Calibri"/>
        </w:rPr>
        <w:t xml:space="preserve">cost sections: </w:t>
      </w:r>
      <w:r w:rsidR="00076AA4" w:rsidRPr="002B05D2">
        <w:rPr>
          <w:rFonts w:eastAsia="Calibri"/>
        </w:rPr>
        <w:t>30.93%</w:t>
      </w:r>
    </w:p>
    <w:p w14:paraId="5D06D922" w14:textId="77777777" w:rsidR="00783EAC" w:rsidRPr="002B05D2" w:rsidRDefault="00090FF4" w:rsidP="00090FF4">
      <w:pPr>
        <w:pStyle w:val="ListParagraph"/>
        <w:numPr>
          <w:ilvl w:val="0"/>
          <w:numId w:val="6"/>
        </w:numPr>
        <w:rPr>
          <w:rFonts w:eastAsia="Calibri"/>
        </w:rPr>
      </w:pPr>
      <w:r w:rsidRPr="002B05D2">
        <w:rPr>
          <w:rFonts w:eastAsia="Calibri"/>
        </w:rPr>
        <w:t xml:space="preserve">Total </w:t>
      </w:r>
      <w:r w:rsidR="00D42A64" w:rsidRPr="002B05D2">
        <w:rPr>
          <w:rFonts w:eastAsia="Calibri"/>
        </w:rPr>
        <w:t>l</w:t>
      </w:r>
      <w:r w:rsidRPr="002B05D2">
        <w:rPr>
          <w:rFonts w:eastAsia="Calibri"/>
        </w:rPr>
        <w:t>ow</w:t>
      </w:r>
      <w:r w:rsidR="00D42A64" w:rsidRPr="002B05D2">
        <w:rPr>
          <w:rFonts w:eastAsia="Calibri"/>
        </w:rPr>
        <w:t>- and n</w:t>
      </w:r>
      <w:r w:rsidRPr="002B05D2">
        <w:rPr>
          <w:rFonts w:eastAsia="Calibri"/>
        </w:rPr>
        <w:t>o</w:t>
      </w:r>
      <w:r w:rsidR="00D42A64" w:rsidRPr="002B05D2">
        <w:rPr>
          <w:rFonts w:eastAsia="Calibri"/>
        </w:rPr>
        <w:t>-</w:t>
      </w:r>
      <w:r w:rsidRPr="002B05D2">
        <w:rPr>
          <w:rFonts w:eastAsia="Calibri"/>
        </w:rPr>
        <w:t xml:space="preserve">cost sections from same term previous year: </w:t>
      </w:r>
      <w:r w:rsidR="00030232" w:rsidRPr="002B05D2">
        <w:rPr>
          <w:rFonts w:eastAsia="Calibri"/>
        </w:rPr>
        <w:t>27.88</w:t>
      </w:r>
      <w:r w:rsidRPr="002B05D2">
        <w:rPr>
          <w:rFonts w:eastAsia="Calibri"/>
        </w:rPr>
        <w:t>%</w:t>
      </w:r>
    </w:p>
    <w:p w14:paraId="6AC4C53D" w14:textId="77777777" w:rsidR="00090FF4" w:rsidRPr="002B05D2" w:rsidRDefault="00783EAC" w:rsidP="00090FF4">
      <w:pPr>
        <w:pStyle w:val="ListParagraph"/>
        <w:numPr>
          <w:ilvl w:val="0"/>
          <w:numId w:val="6"/>
        </w:numPr>
        <w:rPr>
          <w:rFonts w:eastAsia="Calibri"/>
        </w:rPr>
      </w:pPr>
      <w:r w:rsidRPr="002B05D2">
        <w:rPr>
          <w:rFonts w:eastAsia="Calibri"/>
        </w:rPr>
        <w:t xml:space="preserve">Total </w:t>
      </w:r>
      <w:r w:rsidR="00D42A64" w:rsidRPr="002B05D2">
        <w:rPr>
          <w:rFonts w:eastAsia="Calibri"/>
        </w:rPr>
        <w:t>c</w:t>
      </w:r>
      <w:r w:rsidRPr="002B05D2">
        <w:rPr>
          <w:rFonts w:eastAsia="Calibri"/>
        </w:rPr>
        <w:t xml:space="preserve">ost </w:t>
      </w:r>
      <w:r w:rsidR="00D42A64" w:rsidRPr="002B05D2">
        <w:rPr>
          <w:rFonts w:eastAsia="Calibri"/>
        </w:rPr>
        <w:t>a</w:t>
      </w:r>
      <w:r w:rsidRPr="002B05D2">
        <w:rPr>
          <w:rFonts w:eastAsia="Calibri"/>
        </w:rPr>
        <w:t>voidance: $1,574,086</w:t>
      </w:r>
    </w:p>
    <w:p w14:paraId="19CFB7D6" w14:textId="77777777" w:rsidR="0094463F" w:rsidRPr="002B05D2" w:rsidRDefault="0094463F" w:rsidP="002B05D2">
      <w:pPr>
        <w:pStyle w:val="Heading1"/>
      </w:pPr>
      <w:r w:rsidRPr="002B05D2">
        <w:t>% Low</w:t>
      </w:r>
      <w:r w:rsidR="00D42A64" w:rsidRPr="002B05D2">
        <w:t>- and n</w:t>
      </w:r>
      <w:r w:rsidRPr="002B05D2">
        <w:t>o</w:t>
      </w:r>
      <w:r w:rsidR="00D42A64" w:rsidRPr="002B05D2">
        <w:t>-</w:t>
      </w:r>
      <w:r w:rsidRPr="002B05D2">
        <w:t>cost</w:t>
      </w:r>
      <w:r w:rsidR="008A10FF" w:rsidRPr="002B05D2">
        <w:t xml:space="preserve"> sections by campus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bottom w:w="72" w:type="dxa"/>
        </w:tblCellMar>
        <w:tblLook w:val="04A0" w:firstRow="1" w:lastRow="0" w:firstColumn="1" w:lastColumn="0" w:noHBand="0" w:noVBand="1"/>
      </w:tblPr>
      <w:tblGrid>
        <w:gridCol w:w="1770"/>
        <w:gridCol w:w="1895"/>
        <w:gridCol w:w="1895"/>
        <w:gridCol w:w="1895"/>
        <w:gridCol w:w="1895"/>
      </w:tblGrid>
      <w:tr w:rsidR="006673A8" w14:paraId="2775136D" w14:textId="77777777" w:rsidTr="006517CB">
        <w:tc>
          <w:tcPr>
            <w:tcW w:w="1770" w:type="dxa"/>
          </w:tcPr>
          <w:p w14:paraId="50CC5E30" w14:textId="77777777" w:rsidR="006673A8" w:rsidRPr="002B05D2" w:rsidRDefault="006673A8" w:rsidP="00030232">
            <w:pPr>
              <w:rPr>
                <w:b/>
                <w:bCs/>
              </w:rPr>
            </w:pPr>
            <w:r w:rsidRPr="002B05D2">
              <w:rPr>
                <w:b/>
                <w:bCs/>
              </w:rPr>
              <w:t>Campus</w:t>
            </w:r>
          </w:p>
        </w:tc>
        <w:tc>
          <w:tcPr>
            <w:tcW w:w="1895" w:type="dxa"/>
          </w:tcPr>
          <w:p w14:paraId="4B464249" w14:textId="77777777" w:rsidR="006673A8" w:rsidRPr="002B05D2" w:rsidRDefault="00030232" w:rsidP="002B05D2">
            <w:pPr>
              <w:jc w:val="right"/>
              <w:rPr>
                <w:b/>
                <w:bCs/>
              </w:rPr>
            </w:pPr>
            <w:r w:rsidRPr="002B05D2">
              <w:rPr>
                <w:b/>
                <w:bCs/>
              </w:rPr>
              <w:t>Spring 20</w:t>
            </w:r>
          </w:p>
        </w:tc>
        <w:tc>
          <w:tcPr>
            <w:tcW w:w="1895" w:type="dxa"/>
          </w:tcPr>
          <w:p w14:paraId="6169C51B" w14:textId="77777777" w:rsidR="006673A8" w:rsidRPr="002B05D2" w:rsidRDefault="00030232" w:rsidP="002B05D2">
            <w:pPr>
              <w:jc w:val="right"/>
              <w:rPr>
                <w:b/>
                <w:bCs/>
              </w:rPr>
            </w:pPr>
            <w:r w:rsidRPr="002B05D2">
              <w:rPr>
                <w:b/>
                <w:bCs/>
              </w:rPr>
              <w:t>Summer 20</w:t>
            </w:r>
          </w:p>
        </w:tc>
        <w:tc>
          <w:tcPr>
            <w:tcW w:w="1895" w:type="dxa"/>
          </w:tcPr>
          <w:p w14:paraId="31BB8DCD" w14:textId="77777777" w:rsidR="006673A8" w:rsidRPr="002B05D2" w:rsidRDefault="00030232" w:rsidP="002B05D2">
            <w:pPr>
              <w:jc w:val="right"/>
              <w:rPr>
                <w:b/>
                <w:bCs/>
              </w:rPr>
            </w:pPr>
            <w:r w:rsidRPr="002B05D2">
              <w:rPr>
                <w:b/>
                <w:bCs/>
              </w:rPr>
              <w:t>Fall 20</w:t>
            </w:r>
          </w:p>
        </w:tc>
        <w:tc>
          <w:tcPr>
            <w:tcW w:w="1895" w:type="dxa"/>
          </w:tcPr>
          <w:p w14:paraId="033BC805" w14:textId="77777777" w:rsidR="006673A8" w:rsidRPr="002B05D2" w:rsidRDefault="00030232" w:rsidP="002B05D2">
            <w:pPr>
              <w:jc w:val="right"/>
              <w:rPr>
                <w:b/>
                <w:bCs/>
              </w:rPr>
            </w:pPr>
            <w:r w:rsidRPr="002B05D2">
              <w:rPr>
                <w:b/>
                <w:bCs/>
              </w:rPr>
              <w:t>Winter 21</w:t>
            </w:r>
          </w:p>
        </w:tc>
      </w:tr>
      <w:tr w:rsidR="006673A8" w14:paraId="15C618A3" w14:textId="77777777" w:rsidTr="006517CB">
        <w:tc>
          <w:tcPr>
            <w:tcW w:w="1770" w:type="dxa"/>
          </w:tcPr>
          <w:p w14:paraId="51770B80" w14:textId="77777777" w:rsidR="006673A8" w:rsidRPr="002B05D2" w:rsidRDefault="006673A8" w:rsidP="00451CE5">
            <w:pPr>
              <w:rPr>
                <w:b/>
                <w:bCs/>
              </w:rPr>
            </w:pPr>
            <w:r w:rsidRPr="002B05D2">
              <w:rPr>
                <w:b/>
                <w:bCs/>
              </w:rPr>
              <w:t>Corvallis</w:t>
            </w:r>
          </w:p>
        </w:tc>
        <w:tc>
          <w:tcPr>
            <w:tcW w:w="1895" w:type="dxa"/>
          </w:tcPr>
          <w:p w14:paraId="5F01023E" w14:textId="77777777" w:rsidR="006673A8" w:rsidRPr="002B05D2" w:rsidRDefault="00D026C1" w:rsidP="009B37BC">
            <w:pPr>
              <w:jc w:val="right"/>
            </w:pPr>
            <w:r w:rsidRPr="002B05D2">
              <w:t>11.18%</w:t>
            </w:r>
          </w:p>
        </w:tc>
        <w:tc>
          <w:tcPr>
            <w:tcW w:w="1895" w:type="dxa"/>
          </w:tcPr>
          <w:p w14:paraId="44BFEF12" w14:textId="77777777" w:rsidR="006673A8" w:rsidRPr="002B05D2" w:rsidRDefault="00D026C1" w:rsidP="009B37BC">
            <w:pPr>
              <w:jc w:val="right"/>
            </w:pPr>
            <w:r w:rsidRPr="002B05D2">
              <w:t>9.74%</w:t>
            </w:r>
          </w:p>
        </w:tc>
        <w:tc>
          <w:tcPr>
            <w:tcW w:w="1895" w:type="dxa"/>
          </w:tcPr>
          <w:p w14:paraId="12436A9F" w14:textId="77777777" w:rsidR="006673A8" w:rsidRPr="002B05D2" w:rsidRDefault="00D026C1" w:rsidP="009B37BC">
            <w:pPr>
              <w:jc w:val="right"/>
            </w:pPr>
            <w:r w:rsidRPr="002B05D2">
              <w:t>13.03%</w:t>
            </w:r>
          </w:p>
        </w:tc>
        <w:tc>
          <w:tcPr>
            <w:tcW w:w="1895" w:type="dxa"/>
          </w:tcPr>
          <w:p w14:paraId="3F5E0A83" w14:textId="77777777" w:rsidR="006673A8" w:rsidRPr="002B05D2" w:rsidRDefault="00D026C1" w:rsidP="009B37BC">
            <w:pPr>
              <w:jc w:val="right"/>
            </w:pPr>
            <w:r w:rsidRPr="002B05D2">
              <w:t>15.47%</w:t>
            </w:r>
          </w:p>
        </w:tc>
      </w:tr>
      <w:tr w:rsidR="006673A8" w14:paraId="74578E4D" w14:textId="77777777" w:rsidTr="006517CB">
        <w:tc>
          <w:tcPr>
            <w:tcW w:w="1770" w:type="dxa"/>
          </w:tcPr>
          <w:p w14:paraId="6BABDEE8" w14:textId="77777777" w:rsidR="006673A8" w:rsidRPr="002B05D2" w:rsidRDefault="006673A8" w:rsidP="00451CE5">
            <w:pPr>
              <w:rPr>
                <w:b/>
                <w:bCs/>
              </w:rPr>
            </w:pPr>
            <w:r w:rsidRPr="002B05D2">
              <w:rPr>
                <w:b/>
                <w:bCs/>
              </w:rPr>
              <w:t>Ecampus</w:t>
            </w:r>
          </w:p>
        </w:tc>
        <w:tc>
          <w:tcPr>
            <w:tcW w:w="1895" w:type="dxa"/>
          </w:tcPr>
          <w:p w14:paraId="3B93653D" w14:textId="77777777" w:rsidR="006673A8" w:rsidRPr="002B05D2" w:rsidRDefault="00D026C1" w:rsidP="009B37BC">
            <w:pPr>
              <w:jc w:val="right"/>
            </w:pPr>
            <w:r w:rsidRPr="002B05D2">
              <w:t>27.45%</w:t>
            </w:r>
          </w:p>
        </w:tc>
        <w:tc>
          <w:tcPr>
            <w:tcW w:w="1895" w:type="dxa"/>
          </w:tcPr>
          <w:p w14:paraId="209FB1D9" w14:textId="77777777" w:rsidR="006673A8" w:rsidRPr="002B05D2" w:rsidRDefault="00D026C1" w:rsidP="009B37BC">
            <w:pPr>
              <w:jc w:val="right"/>
            </w:pPr>
            <w:r w:rsidRPr="002B05D2">
              <w:t>28.94%</w:t>
            </w:r>
          </w:p>
        </w:tc>
        <w:tc>
          <w:tcPr>
            <w:tcW w:w="1895" w:type="dxa"/>
          </w:tcPr>
          <w:p w14:paraId="29769FC2" w14:textId="77777777" w:rsidR="006673A8" w:rsidRPr="002B05D2" w:rsidRDefault="00D026C1" w:rsidP="009B37BC">
            <w:pPr>
              <w:jc w:val="right"/>
            </w:pPr>
            <w:r w:rsidRPr="002B05D2">
              <w:t>30.72%</w:t>
            </w:r>
          </w:p>
        </w:tc>
        <w:tc>
          <w:tcPr>
            <w:tcW w:w="1895" w:type="dxa"/>
          </w:tcPr>
          <w:p w14:paraId="46DBABB8" w14:textId="77777777" w:rsidR="006673A8" w:rsidRPr="002B05D2" w:rsidRDefault="00D026C1" w:rsidP="009B37BC">
            <w:pPr>
              <w:jc w:val="right"/>
            </w:pPr>
            <w:r w:rsidRPr="002B05D2">
              <w:t>31.91%</w:t>
            </w:r>
          </w:p>
        </w:tc>
      </w:tr>
      <w:tr w:rsidR="006673A8" w14:paraId="0A3FF91D" w14:textId="77777777" w:rsidTr="006517CB">
        <w:tc>
          <w:tcPr>
            <w:tcW w:w="1770" w:type="dxa"/>
          </w:tcPr>
          <w:p w14:paraId="5DFB25B8" w14:textId="77777777" w:rsidR="006673A8" w:rsidRPr="002B05D2" w:rsidRDefault="00D026C1" w:rsidP="00451CE5">
            <w:pPr>
              <w:rPr>
                <w:b/>
                <w:bCs/>
              </w:rPr>
            </w:pPr>
            <w:r w:rsidRPr="002B05D2">
              <w:rPr>
                <w:b/>
                <w:bCs/>
              </w:rPr>
              <w:t>Cascades</w:t>
            </w:r>
          </w:p>
        </w:tc>
        <w:tc>
          <w:tcPr>
            <w:tcW w:w="1895" w:type="dxa"/>
          </w:tcPr>
          <w:p w14:paraId="06E2E687" w14:textId="77777777" w:rsidR="006673A8" w:rsidRPr="002B05D2" w:rsidRDefault="00D026C1" w:rsidP="009B37BC">
            <w:pPr>
              <w:jc w:val="right"/>
            </w:pPr>
            <w:r w:rsidRPr="002B05D2">
              <w:t>18.06%</w:t>
            </w:r>
          </w:p>
        </w:tc>
        <w:tc>
          <w:tcPr>
            <w:tcW w:w="1895" w:type="dxa"/>
          </w:tcPr>
          <w:p w14:paraId="49B284FC" w14:textId="77777777" w:rsidR="006673A8" w:rsidRPr="002B05D2" w:rsidRDefault="00D026C1" w:rsidP="009B37BC">
            <w:pPr>
              <w:jc w:val="right"/>
            </w:pPr>
            <w:r w:rsidRPr="002B05D2">
              <w:t>11.46%</w:t>
            </w:r>
          </w:p>
        </w:tc>
        <w:tc>
          <w:tcPr>
            <w:tcW w:w="1895" w:type="dxa"/>
          </w:tcPr>
          <w:p w14:paraId="60A49D5F" w14:textId="77777777" w:rsidR="006673A8" w:rsidRPr="002B05D2" w:rsidRDefault="00D026C1" w:rsidP="009B37BC">
            <w:pPr>
              <w:jc w:val="right"/>
            </w:pPr>
            <w:r w:rsidRPr="002B05D2">
              <w:t>27.27%</w:t>
            </w:r>
          </w:p>
        </w:tc>
        <w:tc>
          <w:tcPr>
            <w:tcW w:w="1895" w:type="dxa"/>
          </w:tcPr>
          <w:p w14:paraId="26363FF2" w14:textId="77777777" w:rsidR="006673A8" w:rsidRPr="002B05D2" w:rsidRDefault="00D026C1" w:rsidP="009B37BC">
            <w:pPr>
              <w:jc w:val="right"/>
            </w:pPr>
            <w:r w:rsidRPr="002B05D2">
              <w:t>30.57%</w:t>
            </w:r>
          </w:p>
        </w:tc>
      </w:tr>
    </w:tbl>
    <w:p w14:paraId="53448AFA" w14:textId="77777777" w:rsidR="0094463F" w:rsidRPr="002B05D2" w:rsidRDefault="0094463F" w:rsidP="002B05D2">
      <w:pPr>
        <w:pStyle w:val="Heading1"/>
      </w:pPr>
      <w:r w:rsidRPr="002B05D2">
        <w:t>Cost avoidance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bottom w:w="72" w:type="dxa"/>
        </w:tblCellMar>
        <w:tblLook w:val="04A0" w:firstRow="1" w:lastRow="0" w:firstColumn="1" w:lastColumn="0" w:noHBand="0" w:noVBand="1"/>
      </w:tblPr>
      <w:tblGrid>
        <w:gridCol w:w="1770"/>
        <w:gridCol w:w="1895"/>
        <w:gridCol w:w="1895"/>
        <w:gridCol w:w="1895"/>
        <w:gridCol w:w="1895"/>
      </w:tblGrid>
      <w:tr w:rsidR="00030232" w:rsidRPr="002B05D2" w14:paraId="52ACE615" w14:textId="77777777" w:rsidTr="006517CB">
        <w:tc>
          <w:tcPr>
            <w:tcW w:w="1770" w:type="dxa"/>
          </w:tcPr>
          <w:p w14:paraId="07947091" w14:textId="77777777" w:rsidR="00030232" w:rsidRPr="002B05D2" w:rsidRDefault="00030232">
            <w:pPr>
              <w:rPr>
                <w:b/>
                <w:bCs/>
              </w:rPr>
            </w:pPr>
            <w:r w:rsidRPr="002B05D2">
              <w:rPr>
                <w:b/>
                <w:bCs/>
              </w:rPr>
              <w:t>Campus</w:t>
            </w:r>
          </w:p>
        </w:tc>
        <w:tc>
          <w:tcPr>
            <w:tcW w:w="1895" w:type="dxa"/>
          </w:tcPr>
          <w:p w14:paraId="64AF12B0" w14:textId="77777777" w:rsidR="00030232" w:rsidRPr="002B05D2" w:rsidRDefault="00030232" w:rsidP="002B05D2">
            <w:pPr>
              <w:jc w:val="right"/>
              <w:rPr>
                <w:b/>
                <w:bCs/>
              </w:rPr>
            </w:pPr>
            <w:r w:rsidRPr="002B05D2">
              <w:rPr>
                <w:b/>
                <w:bCs/>
              </w:rPr>
              <w:t>Spring 20</w:t>
            </w:r>
          </w:p>
        </w:tc>
        <w:tc>
          <w:tcPr>
            <w:tcW w:w="1895" w:type="dxa"/>
          </w:tcPr>
          <w:p w14:paraId="2B6CC3A1" w14:textId="77777777" w:rsidR="00030232" w:rsidRPr="002B05D2" w:rsidRDefault="00030232" w:rsidP="002B05D2">
            <w:pPr>
              <w:jc w:val="right"/>
              <w:rPr>
                <w:b/>
                <w:bCs/>
              </w:rPr>
            </w:pPr>
            <w:r w:rsidRPr="002B05D2">
              <w:rPr>
                <w:b/>
                <w:bCs/>
              </w:rPr>
              <w:t>Summer 20</w:t>
            </w:r>
          </w:p>
        </w:tc>
        <w:tc>
          <w:tcPr>
            <w:tcW w:w="1895" w:type="dxa"/>
          </w:tcPr>
          <w:p w14:paraId="0699BB3A" w14:textId="77777777" w:rsidR="00030232" w:rsidRPr="002B05D2" w:rsidRDefault="00030232" w:rsidP="002B05D2">
            <w:pPr>
              <w:jc w:val="right"/>
              <w:rPr>
                <w:b/>
                <w:bCs/>
              </w:rPr>
            </w:pPr>
            <w:r w:rsidRPr="002B05D2">
              <w:rPr>
                <w:b/>
                <w:bCs/>
              </w:rPr>
              <w:t>Fall 20</w:t>
            </w:r>
          </w:p>
        </w:tc>
        <w:tc>
          <w:tcPr>
            <w:tcW w:w="1895" w:type="dxa"/>
          </w:tcPr>
          <w:p w14:paraId="52B05B56" w14:textId="77777777" w:rsidR="00030232" w:rsidRPr="002B05D2" w:rsidRDefault="00030232" w:rsidP="002B05D2">
            <w:pPr>
              <w:jc w:val="right"/>
              <w:rPr>
                <w:b/>
                <w:bCs/>
              </w:rPr>
            </w:pPr>
            <w:r w:rsidRPr="002B05D2">
              <w:rPr>
                <w:b/>
                <w:bCs/>
              </w:rPr>
              <w:t>Winter 21</w:t>
            </w:r>
          </w:p>
        </w:tc>
      </w:tr>
      <w:tr w:rsidR="00030232" w:rsidRPr="002B05D2" w14:paraId="2AD3E5C9" w14:textId="77777777" w:rsidTr="006517CB">
        <w:tc>
          <w:tcPr>
            <w:tcW w:w="1770" w:type="dxa"/>
          </w:tcPr>
          <w:p w14:paraId="4E03866D" w14:textId="77777777" w:rsidR="00030232" w:rsidRPr="002B05D2" w:rsidRDefault="00030232">
            <w:pPr>
              <w:rPr>
                <w:b/>
                <w:bCs/>
              </w:rPr>
            </w:pPr>
            <w:r w:rsidRPr="002B05D2">
              <w:rPr>
                <w:b/>
                <w:bCs/>
              </w:rPr>
              <w:t>Corvallis</w:t>
            </w:r>
          </w:p>
        </w:tc>
        <w:tc>
          <w:tcPr>
            <w:tcW w:w="1895" w:type="dxa"/>
          </w:tcPr>
          <w:p w14:paraId="7848D26B" w14:textId="77777777" w:rsidR="00030232" w:rsidRPr="002B05D2" w:rsidRDefault="0015686F" w:rsidP="0015686F">
            <w:pPr>
              <w:jc w:val="right"/>
            </w:pPr>
            <w:r w:rsidRPr="002B05D2">
              <w:t>$636,720</w:t>
            </w:r>
          </w:p>
        </w:tc>
        <w:tc>
          <w:tcPr>
            <w:tcW w:w="1895" w:type="dxa"/>
          </w:tcPr>
          <w:p w14:paraId="1CBD565F" w14:textId="77777777" w:rsidR="00030232" w:rsidRPr="002B05D2" w:rsidRDefault="0015686F" w:rsidP="0015686F">
            <w:pPr>
              <w:jc w:val="right"/>
            </w:pPr>
            <w:r w:rsidRPr="002B05D2">
              <w:t>$81,365</w:t>
            </w:r>
          </w:p>
        </w:tc>
        <w:tc>
          <w:tcPr>
            <w:tcW w:w="1895" w:type="dxa"/>
          </w:tcPr>
          <w:p w14:paraId="26A74BF6" w14:textId="77777777" w:rsidR="00030232" w:rsidRPr="002B05D2" w:rsidRDefault="0015686F" w:rsidP="0015686F">
            <w:pPr>
              <w:jc w:val="right"/>
            </w:pPr>
            <w:r w:rsidRPr="002B05D2">
              <w:t>$760,035</w:t>
            </w:r>
          </w:p>
        </w:tc>
        <w:tc>
          <w:tcPr>
            <w:tcW w:w="1895" w:type="dxa"/>
          </w:tcPr>
          <w:p w14:paraId="7B19E0D9" w14:textId="77777777" w:rsidR="00030232" w:rsidRPr="002B05D2" w:rsidRDefault="0015686F" w:rsidP="0015686F">
            <w:pPr>
              <w:jc w:val="right"/>
            </w:pPr>
            <w:r w:rsidRPr="002B05D2">
              <w:t>$843,875</w:t>
            </w:r>
          </w:p>
        </w:tc>
      </w:tr>
      <w:tr w:rsidR="00030232" w:rsidRPr="002B05D2" w14:paraId="45843A51" w14:textId="77777777" w:rsidTr="006517CB">
        <w:tc>
          <w:tcPr>
            <w:tcW w:w="1770" w:type="dxa"/>
          </w:tcPr>
          <w:p w14:paraId="1E231ABA" w14:textId="77777777" w:rsidR="00030232" w:rsidRPr="002B05D2" w:rsidRDefault="00030232">
            <w:pPr>
              <w:rPr>
                <w:b/>
                <w:bCs/>
              </w:rPr>
            </w:pPr>
            <w:r w:rsidRPr="002B05D2">
              <w:rPr>
                <w:b/>
                <w:bCs/>
              </w:rPr>
              <w:t>Ecampus</w:t>
            </w:r>
          </w:p>
        </w:tc>
        <w:tc>
          <w:tcPr>
            <w:tcW w:w="1895" w:type="dxa"/>
          </w:tcPr>
          <w:p w14:paraId="43C508B8" w14:textId="77777777" w:rsidR="00030232" w:rsidRPr="002B05D2" w:rsidRDefault="0015686F" w:rsidP="0015686F">
            <w:pPr>
              <w:jc w:val="right"/>
            </w:pPr>
            <w:r w:rsidRPr="002B05D2">
              <w:t>$437,930</w:t>
            </w:r>
          </w:p>
        </w:tc>
        <w:tc>
          <w:tcPr>
            <w:tcW w:w="1895" w:type="dxa"/>
          </w:tcPr>
          <w:p w14:paraId="78EC48B1" w14:textId="77777777" w:rsidR="00030232" w:rsidRPr="002B05D2" w:rsidRDefault="0015686F" w:rsidP="0015686F">
            <w:pPr>
              <w:jc w:val="right"/>
            </w:pPr>
            <w:r w:rsidRPr="002B05D2">
              <w:t>$363,650</w:t>
            </w:r>
          </w:p>
        </w:tc>
        <w:tc>
          <w:tcPr>
            <w:tcW w:w="1895" w:type="dxa"/>
          </w:tcPr>
          <w:p w14:paraId="1BADA3F1" w14:textId="77777777" w:rsidR="00030232" w:rsidRPr="002B05D2" w:rsidRDefault="0015686F" w:rsidP="0015686F">
            <w:pPr>
              <w:jc w:val="right"/>
            </w:pPr>
            <w:r w:rsidRPr="002B05D2">
              <w:t>$592,835</w:t>
            </w:r>
          </w:p>
        </w:tc>
        <w:tc>
          <w:tcPr>
            <w:tcW w:w="1895" w:type="dxa"/>
          </w:tcPr>
          <w:p w14:paraId="6F770EEB" w14:textId="77777777" w:rsidR="00030232" w:rsidRPr="002B05D2" w:rsidRDefault="0015686F" w:rsidP="0015686F">
            <w:pPr>
              <w:jc w:val="right"/>
            </w:pPr>
            <w:r w:rsidRPr="002B05D2">
              <w:t>$665,940</w:t>
            </w:r>
          </w:p>
        </w:tc>
      </w:tr>
      <w:tr w:rsidR="00030232" w:rsidRPr="002B05D2" w14:paraId="6DBB09DD" w14:textId="77777777" w:rsidTr="006517CB">
        <w:tc>
          <w:tcPr>
            <w:tcW w:w="1770" w:type="dxa"/>
          </w:tcPr>
          <w:p w14:paraId="7CBE1375" w14:textId="77777777" w:rsidR="00030232" w:rsidRPr="002B05D2" w:rsidRDefault="002E239F">
            <w:pPr>
              <w:rPr>
                <w:b/>
                <w:bCs/>
              </w:rPr>
            </w:pPr>
            <w:r w:rsidRPr="002B05D2">
              <w:rPr>
                <w:b/>
                <w:bCs/>
              </w:rPr>
              <w:t>Cascades</w:t>
            </w:r>
          </w:p>
        </w:tc>
        <w:tc>
          <w:tcPr>
            <w:tcW w:w="1895" w:type="dxa"/>
          </w:tcPr>
          <w:p w14:paraId="22FD6E23" w14:textId="77777777" w:rsidR="00030232" w:rsidRPr="002B05D2" w:rsidRDefault="0015686F" w:rsidP="0015686F">
            <w:pPr>
              <w:jc w:val="right"/>
            </w:pPr>
            <w:r w:rsidRPr="002B05D2">
              <w:t>$50,910</w:t>
            </w:r>
          </w:p>
        </w:tc>
        <w:tc>
          <w:tcPr>
            <w:tcW w:w="1895" w:type="dxa"/>
          </w:tcPr>
          <w:p w14:paraId="6F76E74A" w14:textId="77777777" w:rsidR="00030232" w:rsidRPr="002B05D2" w:rsidRDefault="0015686F" w:rsidP="0015686F">
            <w:pPr>
              <w:jc w:val="right"/>
            </w:pPr>
            <w:r w:rsidRPr="002B05D2">
              <w:t>$11,480</w:t>
            </w:r>
          </w:p>
        </w:tc>
        <w:tc>
          <w:tcPr>
            <w:tcW w:w="1895" w:type="dxa"/>
          </w:tcPr>
          <w:p w14:paraId="3F93F306" w14:textId="77777777" w:rsidR="00030232" w:rsidRPr="002B05D2" w:rsidRDefault="0015686F" w:rsidP="0015686F">
            <w:pPr>
              <w:jc w:val="right"/>
            </w:pPr>
            <w:r w:rsidRPr="002B05D2">
              <w:t>$61,375</w:t>
            </w:r>
          </w:p>
        </w:tc>
        <w:tc>
          <w:tcPr>
            <w:tcW w:w="1895" w:type="dxa"/>
          </w:tcPr>
          <w:p w14:paraId="29DF11CF" w14:textId="77777777" w:rsidR="00030232" w:rsidRPr="002B05D2" w:rsidRDefault="0015686F" w:rsidP="0015686F">
            <w:pPr>
              <w:jc w:val="right"/>
            </w:pPr>
            <w:r w:rsidRPr="002B05D2">
              <w:t>$61,035</w:t>
            </w:r>
          </w:p>
        </w:tc>
      </w:tr>
      <w:tr w:rsidR="00ED34F4" w:rsidRPr="002B05D2" w14:paraId="2B58681D" w14:textId="77777777" w:rsidTr="006517CB">
        <w:tc>
          <w:tcPr>
            <w:tcW w:w="1770" w:type="dxa"/>
          </w:tcPr>
          <w:p w14:paraId="3B76510E" w14:textId="77777777" w:rsidR="00ED34F4" w:rsidRPr="002B05D2" w:rsidRDefault="00ED34F4">
            <w:pPr>
              <w:rPr>
                <w:b/>
              </w:rPr>
            </w:pPr>
            <w:r w:rsidRPr="002B05D2">
              <w:rPr>
                <w:b/>
              </w:rPr>
              <w:t>TOTALS</w:t>
            </w:r>
          </w:p>
        </w:tc>
        <w:tc>
          <w:tcPr>
            <w:tcW w:w="1895" w:type="dxa"/>
          </w:tcPr>
          <w:p w14:paraId="451063F9" w14:textId="77777777" w:rsidR="00ED34F4" w:rsidRPr="002B05D2" w:rsidRDefault="00ED34F4" w:rsidP="0015686F">
            <w:pPr>
              <w:jc w:val="right"/>
              <w:rPr>
                <w:b/>
              </w:rPr>
            </w:pPr>
            <w:r w:rsidRPr="002B05D2">
              <w:rPr>
                <w:b/>
              </w:rPr>
              <w:t>$1,125,560</w:t>
            </w:r>
          </w:p>
        </w:tc>
        <w:tc>
          <w:tcPr>
            <w:tcW w:w="1895" w:type="dxa"/>
          </w:tcPr>
          <w:p w14:paraId="20D811CA" w14:textId="77777777" w:rsidR="00ED34F4" w:rsidRPr="002B05D2" w:rsidRDefault="00ED34F4" w:rsidP="0015686F">
            <w:pPr>
              <w:jc w:val="right"/>
              <w:rPr>
                <w:b/>
              </w:rPr>
            </w:pPr>
            <w:r w:rsidRPr="002B05D2">
              <w:rPr>
                <w:b/>
              </w:rPr>
              <w:t>$456,495</w:t>
            </w:r>
          </w:p>
        </w:tc>
        <w:tc>
          <w:tcPr>
            <w:tcW w:w="1895" w:type="dxa"/>
          </w:tcPr>
          <w:p w14:paraId="1C2F2D0E" w14:textId="77777777" w:rsidR="00ED34F4" w:rsidRPr="002B05D2" w:rsidRDefault="00ED34F4" w:rsidP="0015686F">
            <w:pPr>
              <w:jc w:val="right"/>
              <w:rPr>
                <w:b/>
              </w:rPr>
            </w:pPr>
            <w:r w:rsidRPr="002B05D2">
              <w:rPr>
                <w:b/>
              </w:rPr>
              <w:t>$1,414,245</w:t>
            </w:r>
          </w:p>
        </w:tc>
        <w:tc>
          <w:tcPr>
            <w:tcW w:w="1895" w:type="dxa"/>
          </w:tcPr>
          <w:p w14:paraId="58E02E2D" w14:textId="77777777" w:rsidR="00ED34F4" w:rsidRPr="002B05D2" w:rsidRDefault="00ED34F4" w:rsidP="0015686F">
            <w:pPr>
              <w:jc w:val="right"/>
              <w:rPr>
                <w:b/>
              </w:rPr>
            </w:pPr>
            <w:r w:rsidRPr="002B05D2">
              <w:rPr>
                <w:b/>
              </w:rPr>
              <w:t>$1,570,850</w:t>
            </w:r>
          </w:p>
        </w:tc>
      </w:tr>
    </w:tbl>
    <w:p w14:paraId="799EEC5C" w14:textId="77777777" w:rsidR="00882D40" w:rsidRPr="002B05D2" w:rsidRDefault="0094463F" w:rsidP="002B05D2">
      <w:pPr>
        <w:pStyle w:val="Heading1"/>
      </w:pPr>
      <w:r w:rsidRPr="002B05D2">
        <w:lastRenderedPageBreak/>
        <w:t xml:space="preserve">Faculty filling out course requisition form </w:t>
      </w:r>
      <w:r w:rsidR="00882D40" w:rsidRPr="002B05D2">
        <w:t xml:space="preserve"> </w:t>
      </w:r>
    </w:p>
    <w:p w14:paraId="60DE7EBB" w14:textId="77777777" w:rsidR="00882D40" w:rsidRPr="002B05D2" w:rsidRDefault="00882D40" w:rsidP="002B05D2">
      <w:pPr>
        <w:pStyle w:val="ListParagraph"/>
        <w:numPr>
          <w:ilvl w:val="0"/>
          <w:numId w:val="6"/>
        </w:numPr>
        <w:rPr>
          <w:rFonts w:eastAsia="Calibri"/>
        </w:rPr>
      </w:pPr>
      <w:r w:rsidRPr="002B05D2">
        <w:rPr>
          <w:rFonts w:eastAsia="Calibri"/>
        </w:rPr>
        <w:t>HB 2213 and HB 2871 require that universities and college provide information about the cost of a textbook at the time of registration so they can make informed financial decisions. This information is taken from the Beaver Store requisition form which we are encouraging faculty to fill out every quarter for more accurate data</w:t>
      </w:r>
    </w:p>
    <w:p w14:paraId="52B0A8C5" w14:textId="77777777" w:rsidR="00882D40" w:rsidRPr="002B05D2" w:rsidRDefault="00882D40" w:rsidP="002B05D2">
      <w:pPr>
        <w:pStyle w:val="ListParagraph"/>
        <w:numPr>
          <w:ilvl w:val="0"/>
          <w:numId w:val="6"/>
        </w:numPr>
        <w:rPr>
          <w:rFonts w:eastAsia="Calibri"/>
        </w:rPr>
      </w:pPr>
      <w:r w:rsidRPr="002B05D2">
        <w:rPr>
          <w:rFonts w:eastAsia="Calibri"/>
        </w:rPr>
        <w:t xml:space="preserve">For the Winter 2021 </w:t>
      </w:r>
      <w:r w:rsidR="0094463F" w:rsidRPr="002B05D2">
        <w:rPr>
          <w:rFonts w:eastAsia="Calibri"/>
        </w:rPr>
        <w:t>quarter</w:t>
      </w:r>
      <w:r w:rsidR="00322723" w:rsidRPr="002B05D2">
        <w:rPr>
          <w:rFonts w:eastAsia="Calibri"/>
        </w:rPr>
        <w:t xml:space="preserve"> </w:t>
      </w:r>
      <w:r w:rsidR="00030232" w:rsidRPr="002B05D2">
        <w:rPr>
          <w:rFonts w:eastAsia="Calibri"/>
        </w:rPr>
        <w:t>64</w:t>
      </w:r>
      <w:r w:rsidR="00322723" w:rsidRPr="002B05D2">
        <w:rPr>
          <w:rFonts w:eastAsia="Calibri"/>
        </w:rPr>
        <w:t>%</w:t>
      </w:r>
      <w:r w:rsidRPr="002B05D2">
        <w:rPr>
          <w:rFonts w:eastAsia="Calibri"/>
        </w:rPr>
        <w:t xml:space="preserve"> of the faculty provided course adoption materials by the time of registration. In Winter 2020 this number was at 44%</w:t>
      </w:r>
    </w:p>
    <w:p w14:paraId="5E47696D" w14:textId="77777777" w:rsidR="002861E4" w:rsidRPr="002B05D2" w:rsidRDefault="002861E4" w:rsidP="002B05D2">
      <w:pPr>
        <w:pStyle w:val="Heading1"/>
      </w:pPr>
      <w:r w:rsidRPr="002B05D2">
        <w:t>Grants awarded</w:t>
      </w:r>
    </w:p>
    <w:p w14:paraId="74A46EF5" w14:textId="77777777" w:rsidR="002861E4" w:rsidRPr="002B05D2" w:rsidRDefault="002861E4" w:rsidP="002B05D2">
      <w:pPr>
        <w:pStyle w:val="ListParagraph"/>
        <w:numPr>
          <w:ilvl w:val="0"/>
          <w:numId w:val="6"/>
        </w:numPr>
        <w:rPr>
          <w:rFonts w:eastAsia="Calibri"/>
        </w:rPr>
      </w:pPr>
      <w:r w:rsidRPr="002B05D2">
        <w:rPr>
          <w:rFonts w:eastAsia="Calibri"/>
        </w:rPr>
        <w:t>Number of grants:</w:t>
      </w:r>
      <w:r w:rsidR="008478D1" w:rsidRPr="002B05D2">
        <w:rPr>
          <w:rFonts w:eastAsia="Calibri"/>
        </w:rPr>
        <w:t xml:space="preserve"> </w:t>
      </w:r>
      <w:r w:rsidR="0015686F" w:rsidRPr="002B05D2">
        <w:rPr>
          <w:rFonts w:eastAsia="Calibri"/>
        </w:rPr>
        <w:t>1</w:t>
      </w:r>
    </w:p>
    <w:p w14:paraId="6341B093" w14:textId="77777777" w:rsidR="002861E4" w:rsidRPr="002B05D2" w:rsidRDefault="002861E4" w:rsidP="002B05D2">
      <w:pPr>
        <w:pStyle w:val="ListParagraph"/>
        <w:numPr>
          <w:ilvl w:val="0"/>
          <w:numId w:val="6"/>
        </w:numPr>
        <w:rPr>
          <w:rFonts w:eastAsia="Calibri"/>
        </w:rPr>
      </w:pPr>
      <w:r w:rsidRPr="002B05D2">
        <w:rPr>
          <w:rFonts w:eastAsia="Calibri"/>
        </w:rPr>
        <w:t>Total amount:</w:t>
      </w:r>
      <w:r w:rsidR="008478D1" w:rsidRPr="002B05D2">
        <w:rPr>
          <w:rFonts w:eastAsia="Calibri"/>
        </w:rPr>
        <w:t xml:space="preserve"> $</w:t>
      </w:r>
      <w:r w:rsidR="0015686F" w:rsidRPr="002B05D2">
        <w:rPr>
          <w:rFonts w:eastAsia="Calibri"/>
        </w:rPr>
        <w:t>15,000</w:t>
      </w:r>
    </w:p>
    <w:p w14:paraId="6A1FF61B" w14:textId="77777777" w:rsidR="008478D1" w:rsidRPr="002B05D2" w:rsidRDefault="008478D1" w:rsidP="002B05D2">
      <w:pPr>
        <w:pStyle w:val="ListParagraph"/>
        <w:numPr>
          <w:ilvl w:val="0"/>
          <w:numId w:val="6"/>
        </w:numPr>
        <w:rPr>
          <w:rFonts w:eastAsia="Calibri"/>
        </w:rPr>
      </w:pPr>
      <w:r w:rsidRPr="002B05D2">
        <w:rPr>
          <w:rFonts w:eastAsia="Calibri"/>
        </w:rPr>
        <w:t>Total amount previous term: $</w:t>
      </w:r>
      <w:r w:rsidR="0072090A" w:rsidRPr="002B05D2">
        <w:rPr>
          <w:rFonts w:eastAsia="Calibri"/>
        </w:rPr>
        <w:t>79,000</w:t>
      </w:r>
    </w:p>
    <w:p w14:paraId="67314991" w14:textId="77777777" w:rsidR="006D0A38" w:rsidRPr="002B05D2" w:rsidRDefault="006D0A38" w:rsidP="00944214">
      <w:pPr>
        <w:ind w:left="360"/>
      </w:pPr>
      <w:r w:rsidRPr="002B05D2">
        <w:t xml:space="preserve">The additional burden of moving from face-to-face to remote teaching meant many </w:t>
      </w:r>
      <w:proofErr w:type="gramStart"/>
      <w:r w:rsidRPr="002B05D2">
        <w:t>faculty</w:t>
      </w:r>
      <w:proofErr w:type="gramEnd"/>
      <w:r w:rsidRPr="002B05D2">
        <w:t xml:space="preserve"> did not have the time to redesign a course in Winter 2021.</w:t>
      </w:r>
    </w:p>
    <w:p w14:paraId="68E01EC2" w14:textId="77777777" w:rsidR="0094463F" w:rsidRPr="002B05D2" w:rsidRDefault="0094463F" w:rsidP="002B05D2">
      <w:pPr>
        <w:pStyle w:val="Heading1"/>
      </w:pPr>
      <w:r w:rsidRPr="002B05D2">
        <w:t>Textbooks in process</w:t>
      </w:r>
    </w:p>
    <w:p w14:paraId="7908E592" w14:textId="77777777" w:rsidR="0094463F" w:rsidRPr="002B05D2" w:rsidRDefault="0094463F" w:rsidP="002B05D2">
      <w:pPr>
        <w:pStyle w:val="ListParagraph"/>
        <w:numPr>
          <w:ilvl w:val="0"/>
          <w:numId w:val="6"/>
        </w:numPr>
        <w:rPr>
          <w:rFonts w:eastAsia="Calibri"/>
        </w:rPr>
      </w:pPr>
      <w:r w:rsidRPr="002B05D2">
        <w:rPr>
          <w:rFonts w:eastAsia="Calibri"/>
        </w:rPr>
        <w:t>Pre-publication:</w:t>
      </w:r>
      <w:r w:rsidR="00322723" w:rsidRPr="002B05D2">
        <w:rPr>
          <w:rFonts w:eastAsia="Calibri"/>
        </w:rPr>
        <w:t xml:space="preserve"> </w:t>
      </w:r>
      <w:r w:rsidR="0072090A" w:rsidRPr="002B05D2">
        <w:rPr>
          <w:rFonts w:eastAsia="Calibri"/>
        </w:rPr>
        <w:t>8</w:t>
      </w:r>
    </w:p>
    <w:p w14:paraId="655BFDDC" w14:textId="77777777" w:rsidR="0094463F" w:rsidRPr="002B05D2" w:rsidRDefault="0094463F" w:rsidP="002B05D2">
      <w:pPr>
        <w:pStyle w:val="ListParagraph"/>
        <w:numPr>
          <w:ilvl w:val="0"/>
          <w:numId w:val="6"/>
        </w:numPr>
        <w:rPr>
          <w:rFonts w:eastAsia="Calibri"/>
        </w:rPr>
      </w:pPr>
      <w:r w:rsidRPr="002B05D2">
        <w:rPr>
          <w:rFonts w:eastAsia="Calibri"/>
        </w:rPr>
        <w:t>Copy editing:</w:t>
      </w:r>
      <w:r w:rsidR="00322723" w:rsidRPr="002B05D2">
        <w:rPr>
          <w:rFonts w:eastAsia="Calibri"/>
        </w:rPr>
        <w:t xml:space="preserve"> </w:t>
      </w:r>
      <w:r w:rsidR="0015686F" w:rsidRPr="002B05D2">
        <w:rPr>
          <w:rFonts w:eastAsia="Calibri"/>
        </w:rPr>
        <w:t>4</w:t>
      </w:r>
    </w:p>
    <w:p w14:paraId="1526C973" w14:textId="77777777" w:rsidR="0094463F" w:rsidRPr="002B05D2" w:rsidRDefault="0094463F" w:rsidP="002B05D2">
      <w:pPr>
        <w:pStyle w:val="ListParagraph"/>
        <w:numPr>
          <w:ilvl w:val="0"/>
          <w:numId w:val="6"/>
        </w:numPr>
        <w:rPr>
          <w:rFonts w:eastAsia="Calibri"/>
        </w:rPr>
      </w:pPr>
      <w:r w:rsidRPr="002B05D2">
        <w:rPr>
          <w:rFonts w:eastAsia="Calibri"/>
        </w:rPr>
        <w:t xml:space="preserve">Published: </w:t>
      </w:r>
      <w:r w:rsidR="0015686F" w:rsidRPr="002B05D2">
        <w:rPr>
          <w:rFonts w:eastAsia="Calibri"/>
        </w:rPr>
        <w:t>35</w:t>
      </w:r>
    </w:p>
    <w:p w14:paraId="0C0B032B" w14:textId="01A3AEC5" w:rsidR="0094463F" w:rsidRPr="002B05D2" w:rsidRDefault="0094463F" w:rsidP="002B05D2">
      <w:pPr>
        <w:pStyle w:val="Heading1"/>
      </w:pPr>
      <w:r w:rsidRPr="002B05D2">
        <w:t xml:space="preserve">OERU Pressbooks </w:t>
      </w:r>
      <w:hyperlink r:id="rId7" w:history="1">
        <w:r w:rsidRPr="002B05D2">
          <w:t>downloads</w:t>
        </w:r>
        <w:r w:rsidR="00322723" w:rsidRPr="002B05D2">
          <w:t xml:space="preserve"> and views</w:t>
        </w:r>
      </w:hyperlink>
      <w:r w:rsidR="0072090A" w:rsidRPr="002B05D2">
        <w:t xml:space="preserve"> (Jan</w:t>
      </w:r>
      <w:r w:rsidR="00FA3037" w:rsidRPr="002B05D2">
        <w:t>.</w:t>
      </w:r>
      <w:r w:rsidR="0072090A" w:rsidRPr="002B05D2">
        <w:t xml:space="preserve"> 4</w:t>
      </w:r>
      <w:r w:rsidR="006C656C">
        <w:t>–</w:t>
      </w:r>
      <w:r w:rsidR="0072090A" w:rsidRPr="002B05D2">
        <w:t>Mar. 3, 2021)</w:t>
      </w:r>
    </w:p>
    <w:p w14:paraId="1D85398D" w14:textId="77777777" w:rsidR="00322723" w:rsidRPr="002B05D2" w:rsidRDefault="00322723" w:rsidP="002B05D2">
      <w:pPr>
        <w:pStyle w:val="ListParagraph"/>
        <w:numPr>
          <w:ilvl w:val="0"/>
          <w:numId w:val="6"/>
        </w:numPr>
        <w:rPr>
          <w:rFonts w:eastAsia="Calibri"/>
        </w:rPr>
      </w:pPr>
      <w:r w:rsidRPr="002B05D2">
        <w:rPr>
          <w:rFonts w:eastAsia="Calibri"/>
        </w:rPr>
        <w:t>Users</w:t>
      </w:r>
      <w:r w:rsidR="0072090A" w:rsidRPr="002B05D2">
        <w:rPr>
          <w:rFonts w:eastAsia="Calibri"/>
        </w:rPr>
        <w:t>: 806,217</w:t>
      </w:r>
    </w:p>
    <w:p w14:paraId="1AFDA127" w14:textId="77777777" w:rsidR="00322723" w:rsidRPr="002B05D2" w:rsidRDefault="00322723" w:rsidP="002B05D2">
      <w:pPr>
        <w:pStyle w:val="ListParagraph"/>
        <w:numPr>
          <w:ilvl w:val="0"/>
          <w:numId w:val="6"/>
        </w:numPr>
        <w:rPr>
          <w:rFonts w:eastAsia="Calibri"/>
        </w:rPr>
      </w:pPr>
      <w:r w:rsidRPr="002B05D2">
        <w:rPr>
          <w:rFonts w:eastAsia="Calibri"/>
        </w:rPr>
        <w:t>Downloads</w:t>
      </w:r>
      <w:r w:rsidR="00422A22" w:rsidRPr="002B05D2">
        <w:rPr>
          <w:rFonts w:eastAsia="Calibri"/>
        </w:rPr>
        <w:t xml:space="preserve">: </w:t>
      </w:r>
      <w:r w:rsidR="0072090A" w:rsidRPr="002B05D2">
        <w:rPr>
          <w:rFonts w:eastAsia="Calibri"/>
        </w:rPr>
        <w:t>8,204</w:t>
      </w:r>
    </w:p>
    <w:p w14:paraId="0F1C2139" w14:textId="77777777" w:rsidR="00944214" w:rsidRPr="002B05D2" w:rsidRDefault="00944214" w:rsidP="00944214">
      <w:pPr>
        <w:ind w:left="360"/>
      </w:pPr>
      <w:r w:rsidRPr="002B05D2">
        <w:t>Users came primarily from the United States, Europe and India but there were users of these materials on all the continent</w:t>
      </w:r>
      <w:r w:rsidR="00B77F87" w:rsidRPr="002B05D2">
        <w:t>s</w:t>
      </w:r>
      <w:r w:rsidRPr="002B05D2">
        <w:t>.</w:t>
      </w:r>
    </w:p>
    <w:p w14:paraId="45334932" w14:textId="77777777" w:rsidR="00422A22" w:rsidRPr="002B05D2" w:rsidRDefault="00422A22" w:rsidP="002B05D2">
      <w:pPr>
        <w:pStyle w:val="Heading1"/>
      </w:pPr>
      <w:r w:rsidRPr="002B05D2">
        <w:t xml:space="preserve">OER Consultations: </w:t>
      </w:r>
      <w:r w:rsidR="0072090A" w:rsidRPr="002B05D2">
        <w:t>12</w:t>
      </w:r>
    </w:p>
    <w:sectPr w:rsidR="00422A22" w:rsidRPr="002B05D2" w:rsidSect="00DF4718">
      <w:footerReference w:type="default" r:id="rId8"/>
      <w:headerReference w:type="first" r:id="rId9"/>
      <w:footerReference w:type="first" r:id="rId10"/>
      <w:pgSz w:w="12240" w:h="15840"/>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B5DD3" w14:textId="77777777" w:rsidR="00691685" w:rsidRDefault="00691685" w:rsidP="009B37BC">
      <w:pPr>
        <w:spacing w:after="0" w:line="240" w:lineRule="auto"/>
      </w:pPr>
      <w:r>
        <w:separator/>
      </w:r>
    </w:p>
  </w:endnote>
  <w:endnote w:type="continuationSeparator" w:id="0">
    <w:p w14:paraId="6910CCB5" w14:textId="77777777" w:rsidR="00691685" w:rsidRDefault="00691685" w:rsidP="009B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Kievit Offc">
    <w:altName w:val="Kievit Offc"/>
    <w:panose1 w:val="020B0504030101020102"/>
    <w:charset w:val="00"/>
    <w:family w:val="swiss"/>
    <w:pitch w:val="variable"/>
    <w:sig w:usb0="A00000EF" w:usb1="4000205B"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tratum2 Medium">
    <w:altName w:val="Stratum2 Medium"/>
    <w:panose1 w:val="020B0506030000020004"/>
    <w:charset w:val="4D"/>
    <w:family w:val="swiss"/>
    <w:notTrueType/>
    <w:pitch w:val="variable"/>
    <w:sig w:usb0="00000007" w:usb1="00000000" w:usb2="00000000" w:usb3="00000000" w:csb0="00000093"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09A2" w14:textId="51C3D374" w:rsidR="00CA0543" w:rsidRPr="0095104A" w:rsidRDefault="00DF4718">
    <w:pPr>
      <w:pStyle w:val="Footer"/>
      <w:rPr>
        <w:sz w:val="18"/>
      </w:rPr>
    </w:pPr>
    <w:r>
      <w:rPr>
        <w:i/>
        <w:noProof/>
        <w:sz w:val="16"/>
        <w:szCs w:val="16"/>
      </w:rPr>
      <w:drawing>
        <wp:anchor distT="0" distB="0" distL="114300" distR="114300" simplePos="0" relativeHeight="251659264" behindDoc="0" locked="0" layoutInCell="1" allowOverlap="1" wp14:anchorId="5C91EEFE" wp14:editId="40BD0BDA">
          <wp:simplePos x="0" y="0"/>
          <wp:positionH relativeFrom="margin">
            <wp:posOffset>4406889</wp:posOffset>
          </wp:positionH>
          <wp:positionV relativeFrom="margin">
            <wp:posOffset>8300085</wp:posOffset>
          </wp:positionV>
          <wp:extent cx="1532255" cy="4953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U_horizontal_2C_O_over_B_CMYK.eps"/>
                  <pic:cNvPicPr/>
                </pic:nvPicPr>
                <pic:blipFill>
                  <a:blip r:embed="rId1">
                    <a:extLst>
                      <a:ext uri="{28A0092B-C50C-407E-A947-70E740481C1C}">
                        <a14:useLocalDpi xmlns:a14="http://schemas.microsoft.com/office/drawing/2010/main" val="0"/>
                      </a:ext>
                    </a:extLst>
                  </a:blip>
                  <a:stretch>
                    <a:fillRect/>
                  </a:stretch>
                </pic:blipFill>
                <pic:spPr>
                  <a:xfrm>
                    <a:off x="0" y="0"/>
                    <a:ext cx="1532255" cy="495300"/>
                  </a:xfrm>
                  <a:prstGeom prst="rect">
                    <a:avLst/>
                  </a:prstGeom>
                </pic:spPr>
              </pic:pic>
            </a:graphicData>
          </a:graphic>
          <wp14:sizeRelH relativeFrom="margin">
            <wp14:pctWidth>0</wp14:pctWidth>
          </wp14:sizeRelH>
          <wp14:sizeRelV relativeFrom="margin">
            <wp14:pctHeight>0</wp14:pctHeight>
          </wp14:sizeRelV>
        </wp:anchor>
      </w:drawing>
    </w:r>
    <w:r w:rsidR="0095104A" w:rsidRPr="0095104A">
      <w:rPr>
        <w:sz w:val="18"/>
      </w:rPr>
      <w:fldChar w:fldCharType="begin"/>
    </w:r>
    <w:r w:rsidR="0095104A" w:rsidRPr="0095104A">
      <w:rPr>
        <w:sz w:val="18"/>
      </w:rPr>
      <w:instrText xml:space="preserve"> PAGE   \* MERGEFORMAT </w:instrText>
    </w:r>
    <w:r w:rsidR="0095104A" w:rsidRPr="0095104A">
      <w:rPr>
        <w:sz w:val="18"/>
      </w:rPr>
      <w:fldChar w:fldCharType="separate"/>
    </w:r>
    <w:r w:rsidR="00FD1AA1">
      <w:rPr>
        <w:noProof/>
        <w:sz w:val="18"/>
      </w:rPr>
      <w:t>1</w:t>
    </w:r>
    <w:r w:rsidR="0095104A" w:rsidRPr="0095104A">
      <w:rPr>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5F989" w14:textId="4191BF53" w:rsidR="00CA0543" w:rsidRPr="001B6B6C" w:rsidRDefault="00CA0543">
    <w:pPr>
      <w:pStyle w:val="Footer"/>
      <w:rPr>
        <w:sz w:val="18"/>
      </w:rPr>
    </w:pPr>
    <w:r w:rsidRPr="001B6B6C">
      <w:rPr>
        <w:sz w:val="18"/>
      </w:rPr>
      <w:fldChar w:fldCharType="begin"/>
    </w:r>
    <w:r w:rsidRPr="001B6B6C">
      <w:rPr>
        <w:sz w:val="18"/>
      </w:rPr>
      <w:instrText xml:space="preserve"> DATE \@ "MMMM d, yyyy" </w:instrText>
    </w:r>
    <w:r w:rsidRPr="001B6B6C">
      <w:rPr>
        <w:sz w:val="18"/>
      </w:rPr>
      <w:fldChar w:fldCharType="separate"/>
    </w:r>
    <w:r w:rsidR="00DF4718">
      <w:rPr>
        <w:noProof/>
        <w:sz w:val="18"/>
      </w:rPr>
      <w:t>May 3, 2021</w:t>
    </w:r>
    <w:r w:rsidRPr="001B6B6C">
      <w:rPr>
        <w:sz w:val="18"/>
      </w:rPr>
      <w:fldChar w:fldCharType="end"/>
    </w:r>
    <w:r w:rsidRPr="001B6B6C">
      <w:rPr>
        <w:sz w:val="18"/>
      </w:rPr>
      <w:ptab w:relativeTo="margin" w:alignment="center" w:leader="none"/>
    </w:r>
    <w:r w:rsidRPr="001B6B6C">
      <w:rPr>
        <w:sz w:val="18"/>
      </w:rPr>
      <w:ptab w:relativeTo="margin" w:alignment="right" w:leader="none"/>
    </w:r>
    <w:r w:rsidRPr="001B6B6C">
      <w:rPr>
        <w:sz w:val="18"/>
      </w:rPr>
      <w:fldChar w:fldCharType="begin"/>
    </w:r>
    <w:r w:rsidRPr="001B6B6C">
      <w:rPr>
        <w:sz w:val="18"/>
      </w:rPr>
      <w:instrText xml:space="preserve"> PAGE   \* MERGEFORMAT </w:instrText>
    </w:r>
    <w:r w:rsidRPr="001B6B6C">
      <w:rPr>
        <w:sz w:val="18"/>
      </w:rPr>
      <w:fldChar w:fldCharType="separate"/>
    </w:r>
    <w:r w:rsidR="001B6B6C">
      <w:rPr>
        <w:noProof/>
        <w:sz w:val="18"/>
      </w:rPr>
      <w:t>1</w:t>
    </w:r>
    <w:r w:rsidRPr="001B6B6C">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4B311" w14:textId="77777777" w:rsidR="00691685" w:rsidRDefault="00691685" w:rsidP="009B37BC">
      <w:pPr>
        <w:spacing w:after="0" w:line="240" w:lineRule="auto"/>
      </w:pPr>
      <w:r>
        <w:separator/>
      </w:r>
    </w:p>
  </w:footnote>
  <w:footnote w:type="continuationSeparator" w:id="0">
    <w:p w14:paraId="21E5EC38" w14:textId="77777777" w:rsidR="00691685" w:rsidRDefault="00691685" w:rsidP="009B3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E18C" w14:textId="77777777" w:rsidR="009B37BC" w:rsidRDefault="009B37BC" w:rsidP="00A656FE">
    <w:pPr>
      <w:pStyle w:val="Header"/>
      <w:tabs>
        <w:tab w:val="clear" w:pos="4680"/>
      </w:tabs>
      <w:ind w:left="-180"/>
    </w:pPr>
    <w:r>
      <w:rPr>
        <w:b/>
        <w:bCs/>
        <w:noProof/>
      </w:rPr>
      <w:drawing>
        <wp:inline distT="0" distB="0" distL="0" distR="0" wp14:anchorId="3AA4292F" wp14:editId="46CCCC89">
          <wp:extent cx="1261872" cy="40233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1872" cy="402336"/>
                  </a:xfrm>
                  <a:prstGeom prst="rect">
                    <a:avLst/>
                  </a:prstGeom>
                </pic:spPr>
              </pic:pic>
            </a:graphicData>
          </a:graphic>
        </wp:inline>
      </w:drawing>
    </w:r>
    <w:r w:rsidR="00A656FE">
      <w:tab/>
      <w:t>Open Educational Resources Unit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00A0"/>
    <w:multiLevelType w:val="hybridMultilevel"/>
    <w:tmpl w:val="19B4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11D5C"/>
    <w:multiLevelType w:val="hybridMultilevel"/>
    <w:tmpl w:val="20E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A17E4"/>
    <w:multiLevelType w:val="hybridMultilevel"/>
    <w:tmpl w:val="96441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8F7CE7"/>
    <w:multiLevelType w:val="hybridMultilevel"/>
    <w:tmpl w:val="14C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C33A7"/>
    <w:multiLevelType w:val="hybridMultilevel"/>
    <w:tmpl w:val="77965A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479A317C"/>
    <w:multiLevelType w:val="hybridMultilevel"/>
    <w:tmpl w:val="63CC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8E0"/>
    <w:multiLevelType w:val="hybridMultilevel"/>
    <w:tmpl w:val="5CF4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63171"/>
    <w:multiLevelType w:val="hybridMultilevel"/>
    <w:tmpl w:val="03C4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E6C10"/>
    <w:multiLevelType w:val="hybridMultilevel"/>
    <w:tmpl w:val="005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25295"/>
    <w:multiLevelType w:val="hybridMultilevel"/>
    <w:tmpl w:val="E3B4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3"/>
  </w:num>
  <w:num w:numId="5">
    <w:abstractNumId w:val="9"/>
  </w:num>
  <w:num w:numId="6">
    <w:abstractNumId w:val="7"/>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54"/>
    <w:rsid w:val="00030232"/>
    <w:rsid w:val="000363BD"/>
    <w:rsid w:val="000366C4"/>
    <w:rsid w:val="00076AA4"/>
    <w:rsid w:val="00090FF4"/>
    <w:rsid w:val="000A2C24"/>
    <w:rsid w:val="000F02A3"/>
    <w:rsid w:val="000F0EAE"/>
    <w:rsid w:val="00135882"/>
    <w:rsid w:val="0015686F"/>
    <w:rsid w:val="00183C01"/>
    <w:rsid w:val="001B6B6C"/>
    <w:rsid w:val="00203257"/>
    <w:rsid w:val="0027209D"/>
    <w:rsid w:val="00280BBC"/>
    <w:rsid w:val="002861E4"/>
    <w:rsid w:val="002B05D2"/>
    <w:rsid w:val="002E239F"/>
    <w:rsid w:val="002F29D6"/>
    <w:rsid w:val="00301C40"/>
    <w:rsid w:val="00316B92"/>
    <w:rsid w:val="003226B9"/>
    <w:rsid w:val="00322723"/>
    <w:rsid w:val="003461AD"/>
    <w:rsid w:val="00361DFD"/>
    <w:rsid w:val="00377276"/>
    <w:rsid w:val="003963B8"/>
    <w:rsid w:val="003A1854"/>
    <w:rsid w:val="003B355C"/>
    <w:rsid w:val="003D2B62"/>
    <w:rsid w:val="00422A22"/>
    <w:rsid w:val="0043603D"/>
    <w:rsid w:val="004F5E3E"/>
    <w:rsid w:val="004F7DA7"/>
    <w:rsid w:val="005A7147"/>
    <w:rsid w:val="006517CB"/>
    <w:rsid w:val="006673A8"/>
    <w:rsid w:val="00691685"/>
    <w:rsid w:val="006C656C"/>
    <w:rsid w:val="006D0A38"/>
    <w:rsid w:val="0072090A"/>
    <w:rsid w:val="00747E0A"/>
    <w:rsid w:val="00783EAC"/>
    <w:rsid w:val="008043B2"/>
    <w:rsid w:val="008478D1"/>
    <w:rsid w:val="00862358"/>
    <w:rsid w:val="00882D40"/>
    <w:rsid w:val="008A10FF"/>
    <w:rsid w:val="008C0571"/>
    <w:rsid w:val="00944214"/>
    <w:rsid w:val="0094463F"/>
    <w:rsid w:val="0095104A"/>
    <w:rsid w:val="009B37BC"/>
    <w:rsid w:val="009D75A7"/>
    <w:rsid w:val="00A656FE"/>
    <w:rsid w:val="00B03553"/>
    <w:rsid w:val="00B77F87"/>
    <w:rsid w:val="00B94F49"/>
    <w:rsid w:val="00BB27EE"/>
    <w:rsid w:val="00C1784B"/>
    <w:rsid w:val="00C62E23"/>
    <w:rsid w:val="00CA0543"/>
    <w:rsid w:val="00D026C1"/>
    <w:rsid w:val="00D22AAB"/>
    <w:rsid w:val="00D42A64"/>
    <w:rsid w:val="00D86464"/>
    <w:rsid w:val="00DF4718"/>
    <w:rsid w:val="00E46A15"/>
    <w:rsid w:val="00ED34F4"/>
    <w:rsid w:val="00EE419C"/>
    <w:rsid w:val="00F517D9"/>
    <w:rsid w:val="00FA3037"/>
    <w:rsid w:val="00FD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751C5"/>
  <w15:chartTrackingRefBased/>
  <w15:docId w15:val="{FF797D49-3A78-411C-91AA-912C55CA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Kievit Offc" w:eastAsiaTheme="minorHAnsi" w:hAnsi="Kievit Offc" w:cs="Arial"/>
        <w:color w:val="000000" w:themeColor="text1"/>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37"/>
  </w:style>
  <w:style w:type="paragraph" w:styleId="Heading1">
    <w:name w:val="heading 1"/>
    <w:basedOn w:val="Normal"/>
    <w:next w:val="Normal"/>
    <w:link w:val="Heading1Char"/>
    <w:uiPriority w:val="9"/>
    <w:qFormat/>
    <w:rsid w:val="006517CB"/>
    <w:pPr>
      <w:keepNext/>
      <w:keepLines/>
      <w:spacing w:before="360" w:after="120"/>
      <w:outlineLvl w:val="0"/>
    </w:pPr>
    <w:rPr>
      <w:rFonts w:eastAsia="Calibr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63F"/>
    <w:pPr>
      <w:ind w:left="720"/>
      <w:contextualSpacing/>
    </w:pPr>
  </w:style>
  <w:style w:type="character" w:styleId="CommentReference">
    <w:name w:val="annotation reference"/>
    <w:basedOn w:val="DefaultParagraphFont"/>
    <w:uiPriority w:val="99"/>
    <w:semiHidden/>
    <w:unhideWhenUsed/>
    <w:rsid w:val="00316B92"/>
    <w:rPr>
      <w:sz w:val="16"/>
      <w:szCs w:val="16"/>
    </w:rPr>
  </w:style>
  <w:style w:type="paragraph" w:styleId="CommentText">
    <w:name w:val="annotation text"/>
    <w:basedOn w:val="Normal"/>
    <w:link w:val="CommentTextChar"/>
    <w:uiPriority w:val="99"/>
    <w:semiHidden/>
    <w:unhideWhenUsed/>
    <w:rsid w:val="00316B92"/>
    <w:pPr>
      <w:spacing w:line="240" w:lineRule="auto"/>
    </w:pPr>
    <w:rPr>
      <w:sz w:val="20"/>
      <w:szCs w:val="20"/>
    </w:rPr>
  </w:style>
  <w:style w:type="character" w:customStyle="1" w:styleId="CommentTextChar">
    <w:name w:val="Comment Text Char"/>
    <w:basedOn w:val="DefaultParagraphFont"/>
    <w:link w:val="CommentText"/>
    <w:uiPriority w:val="99"/>
    <w:semiHidden/>
    <w:rsid w:val="00316B92"/>
    <w:rPr>
      <w:sz w:val="20"/>
      <w:szCs w:val="20"/>
    </w:rPr>
  </w:style>
  <w:style w:type="paragraph" w:styleId="CommentSubject">
    <w:name w:val="annotation subject"/>
    <w:basedOn w:val="CommentText"/>
    <w:next w:val="CommentText"/>
    <w:link w:val="CommentSubjectChar"/>
    <w:uiPriority w:val="99"/>
    <w:semiHidden/>
    <w:unhideWhenUsed/>
    <w:rsid w:val="00316B92"/>
    <w:rPr>
      <w:b/>
      <w:bCs/>
    </w:rPr>
  </w:style>
  <w:style w:type="character" w:customStyle="1" w:styleId="CommentSubjectChar">
    <w:name w:val="Comment Subject Char"/>
    <w:basedOn w:val="CommentTextChar"/>
    <w:link w:val="CommentSubject"/>
    <w:uiPriority w:val="99"/>
    <w:semiHidden/>
    <w:rsid w:val="00316B92"/>
    <w:rPr>
      <w:b/>
      <w:bCs/>
      <w:sz w:val="20"/>
      <w:szCs w:val="20"/>
    </w:rPr>
  </w:style>
  <w:style w:type="paragraph" w:styleId="BalloonText">
    <w:name w:val="Balloon Text"/>
    <w:basedOn w:val="Normal"/>
    <w:link w:val="BalloonTextChar"/>
    <w:uiPriority w:val="99"/>
    <w:semiHidden/>
    <w:unhideWhenUsed/>
    <w:rsid w:val="00316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B92"/>
    <w:rPr>
      <w:rFonts w:ascii="Segoe UI" w:hAnsi="Segoe UI" w:cs="Segoe UI"/>
      <w:sz w:val="18"/>
      <w:szCs w:val="18"/>
    </w:rPr>
  </w:style>
  <w:style w:type="paragraph" w:styleId="Revision">
    <w:name w:val="Revision"/>
    <w:hidden/>
    <w:uiPriority w:val="99"/>
    <w:semiHidden/>
    <w:rsid w:val="00C1784B"/>
    <w:pPr>
      <w:spacing w:after="0" w:line="240" w:lineRule="auto"/>
    </w:pPr>
  </w:style>
  <w:style w:type="paragraph" w:styleId="Title">
    <w:name w:val="Title"/>
    <w:basedOn w:val="Normal"/>
    <w:next w:val="Normal"/>
    <w:link w:val="TitleChar"/>
    <w:uiPriority w:val="10"/>
    <w:qFormat/>
    <w:rsid w:val="00DF4718"/>
    <w:pPr>
      <w:spacing w:after="120" w:line="240" w:lineRule="auto"/>
      <w:contextualSpacing/>
    </w:pPr>
    <w:rPr>
      <w:rFonts w:ascii="Stratum2 Medium" w:eastAsiaTheme="majorEastAsia" w:hAnsi="Stratum2 Medium" w:cstheme="majorBidi"/>
      <w:color w:val="E05529"/>
      <w:spacing w:val="-10"/>
      <w:kern w:val="28"/>
      <w:sz w:val="32"/>
      <w:szCs w:val="32"/>
    </w:rPr>
  </w:style>
  <w:style w:type="character" w:customStyle="1" w:styleId="TitleChar">
    <w:name w:val="Title Char"/>
    <w:basedOn w:val="DefaultParagraphFont"/>
    <w:link w:val="Title"/>
    <w:uiPriority w:val="10"/>
    <w:rsid w:val="00DF4718"/>
    <w:rPr>
      <w:rFonts w:ascii="Stratum2 Medium" w:eastAsiaTheme="majorEastAsia" w:hAnsi="Stratum2 Medium" w:cstheme="majorBidi"/>
      <w:color w:val="E05529"/>
      <w:spacing w:val="-10"/>
      <w:kern w:val="28"/>
      <w:sz w:val="32"/>
      <w:szCs w:val="32"/>
    </w:rPr>
  </w:style>
  <w:style w:type="paragraph" w:styleId="Subtitle">
    <w:name w:val="Subtitle"/>
    <w:basedOn w:val="Normal"/>
    <w:next w:val="Normal"/>
    <w:link w:val="SubtitleChar"/>
    <w:uiPriority w:val="11"/>
    <w:qFormat/>
    <w:rsid w:val="002B05D2"/>
    <w:pPr>
      <w:numPr>
        <w:ilvl w:val="1"/>
      </w:numPr>
    </w:pPr>
    <w:rPr>
      <w:rFonts w:eastAsiaTheme="minorEastAsia" w:cs="Times New Roman (Body CS)"/>
      <w:color w:val="5A5A5A" w:themeColor="text1" w:themeTint="A5"/>
      <w:spacing w:val="10"/>
    </w:rPr>
  </w:style>
  <w:style w:type="character" w:customStyle="1" w:styleId="SubtitleChar">
    <w:name w:val="Subtitle Char"/>
    <w:basedOn w:val="DefaultParagraphFont"/>
    <w:link w:val="Subtitle"/>
    <w:uiPriority w:val="11"/>
    <w:rsid w:val="002B05D2"/>
    <w:rPr>
      <w:rFonts w:ascii="Kievit Offc" w:eastAsiaTheme="minorEastAsia" w:hAnsi="Kievit Offc" w:cs="Times New Roman (Body CS)"/>
      <w:color w:val="5A5A5A" w:themeColor="text1" w:themeTint="A5"/>
      <w:spacing w:val="10"/>
      <w:sz w:val="21"/>
    </w:rPr>
  </w:style>
  <w:style w:type="character" w:customStyle="1" w:styleId="Heading1Char">
    <w:name w:val="Heading 1 Char"/>
    <w:basedOn w:val="DefaultParagraphFont"/>
    <w:link w:val="Heading1"/>
    <w:uiPriority w:val="9"/>
    <w:rsid w:val="006517CB"/>
    <w:rPr>
      <w:rFonts w:eastAsia="Calibri"/>
      <w:b/>
      <w:sz w:val="22"/>
    </w:rPr>
  </w:style>
  <w:style w:type="paragraph" w:styleId="Header">
    <w:name w:val="header"/>
    <w:basedOn w:val="Normal"/>
    <w:link w:val="HeaderChar"/>
    <w:uiPriority w:val="99"/>
    <w:unhideWhenUsed/>
    <w:rsid w:val="009B3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7BC"/>
  </w:style>
  <w:style w:type="paragraph" w:styleId="Footer">
    <w:name w:val="footer"/>
    <w:basedOn w:val="Normal"/>
    <w:link w:val="FooterChar"/>
    <w:uiPriority w:val="99"/>
    <w:unhideWhenUsed/>
    <w:rsid w:val="009B3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7BC"/>
  </w:style>
  <w:style w:type="character" w:styleId="Hyperlink">
    <w:name w:val="Hyperlink"/>
    <w:basedOn w:val="DefaultParagraphFont"/>
    <w:uiPriority w:val="99"/>
    <w:unhideWhenUsed/>
    <w:rsid w:val="00B77F87"/>
    <w:rPr>
      <w:color w:val="0563C1" w:themeColor="hyperlink"/>
      <w:u w:val="single"/>
    </w:rPr>
  </w:style>
  <w:style w:type="paragraph" w:customStyle="1" w:styleId="ColorfulList-Accent11">
    <w:name w:val="Colorful List - Accent 11"/>
    <w:basedOn w:val="Normal"/>
    <w:uiPriority w:val="34"/>
    <w:qFormat/>
    <w:rsid w:val="002B05D2"/>
    <w:pPr>
      <w:spacing w:after="200" w:line="276" w:lineRule="auto"/>
      <w:ind w:left="720" w:hanging="360"/>
      <w:contextualSpacing/>
    </w:pPr>
    <w:rPr>
      <w:rFonts w:eastAsia="Calibri"/>
      <w:color w:val="2626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studio.google.com/u/0/reporting/eda1b318-cb68-4466-b14b-ce3995b7a4ef/page/1X4c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Stefanie</dc:creator>
  <cp:keywords/>
  <dc:description/>
  <cp:lastModifiedBy>Saemenes, Nick</cp:lastModifiedBy>
  <cp:revision>8</cp:revision>
  <cp:lastPrinted>2021-03-03T23:26:00Z</cp:lastPrinted>
  <dcterms:created xsi:type="dcterms:W3CDTF">2021-05-03T17:53:00Z</dcterms:created>
  <dcterms:modified xsi:type="dcterms:W3CDTF">2021-05-03T19:57:00Z</dcterms:modified>
</cp:coreProperties>
</file>