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260" w:type="dxa"/>
              <w:start w:w="300" w:type="dxa"/>
              <w:bottom w:w="260" w:type="dxa"/>
              <w:end w:w="30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67E8F9"/>
                <w:sz w:val="22"/>
              </w:rPr>
              <w:t>AULA 5</w:t>
            </w:r>
          </w:p>
          <w:p>
            <w:r>
              <w:rPr>
                <w:b/>
                <w:i w:val="0"/>
                <w:color w:val="FFFFFF"/>
                <w:sz w:val="44"/>
              </w:rPr>
              <w:t>Uma interface consistente e responsiva</w:t>
            </w:r>
          </w:p>
          <w:p>
            <w:r>
              <w:rPr>
                <w:b w:val="0"/>
                <w:i w:val="0"/>
                <w:color w:val="CBD5E1"/>
                <w:sz w:val="22"/>
              </w:rPr>
              <w:t>Templates, Bootstrap e identidade visual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9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Projeto</w:t>
            </w:r>
          </w:p>
        </w:tc>
        <w:tc>
          <w:tcPr>
            <w:tcW w:type="dxa" w:w="47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Objetivo desta aula</w:t>
            </w:r>
          </w:p>
        </w:tc>
        <w:tc>
          <w:tcPr>
            <w:tcW w:type="dxa" w:w="34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Próximo passo</w:t>
            </w:r>
          </w:p>
        </w:tc>
      </w:tr>
      <w:tr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Catálogo Web Django</w:t>
            </w:r>
          </w:p>
        </w:tc>
        <w:tc>
          <w:tcPr>
            <w:tcW w:type="dxa" w:w="47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Criar uma base visual reutilizável para o catálogo em computador e telemóvel.</w:t>
            </w:r>
          </w:p>
        </w:tc>
        <w:tc>
          <w:tcPr>
            <w:tcW w:type="dxa" w:w="34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Aula 6 — Formulários, validação e CRUD.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Como trabalhar com esta apostila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Não leias apenas o resultado final. Executa cada etapa, abre o navegador ou o shell, observa o resultado e escreve com as tuas próprias palavras o que aconteceu.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Momento</w:t>
            </w:r>
          </w:p>
        </w:tc>
        <w:tc>
          <w:tcPr>
            <w:tcW w:type="dxa" w:w="1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Tempo</w:t>
            </w:r>
          </w:p>
        </w:tc>
        <w:tc>
          <w:tcPr>
            <w:tcW w:type="dxa" w:w="6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Ação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Compreender</w:t>
            </w:r>
          </w:p>
        </w:tc>
        <w:tc>
          <w:tcPr>
            <w:tcW w:type="dxa" w:w="1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20 min</w:t>
            </w:r>
          </w:p>
        </w:tc>
        <w:tc>
          <w:tcPr>
            <w:tcW w:type="dxa" w:w="6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Ler o conceito e explicar o fluxo.</w:t>
            </w:r>
          </w:p>
        </w:tc>
      </w:tr>
      <w:tr>
        <w:tc>
          <w:tcPr>
            <w:tcW w:type="dxa" w:w="2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Construir</w:t>
            </w:r>
          </w:p>
        </w:tc>
        <w:tc>
          <w:tcPr>
            <w:tcW w:type="dxa" w:w="1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50 min</w:t>
            </w:r>
          </w:p>
        </w:tc>
        <w:tc>
          <w:tcPr>
            <w:tcW w:type="dxa" w:w="6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Escrever os ficheiros e executar os comandos.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Praticar</w:t>
            </w:r>
          </w:p>
        </w:tc>
        <w:tc>
          <w:tcPr>
            <w:tcW w:type="dxa" w:w="1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35 min</w:t>
            </w:r>
          </w:p>
        </w:tc>
        <w:tc>
          <w:tcPr>
            <w:tcW w:type="dxa" w:w="6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Resolver o exercício sem copiar a solução.</w:t>
            </w:r>
          </w:p>
        </w:tc>
      </w:tr>
      <w:tr>
        <w:tc>
          <w:tcPr>
            <w:tcW w:type="dxa" w:w="2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Rever</w:t>
            </w:r>
          </w:p>
        </w:tc>
        <w:tc>
          <w:tcPr>
            <w:tcW w:type="dxa" w:w="1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15 min</w:t>
            </w:r>
          </w:p>
        </w:tc>
        <w:tc>
          <w:tcPr>
            <w:tcW w:type="dxa" w:w="6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Corrigir erros, marcar o checklist e fazer commit.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space="0" w:color="16A34A"/>
              <w:left w:val="single" w:sz="8" w:space="0" w:color="16A34A"/>
              <w:bottom w:val="single" w:sz="8" w:space="0" w:color="16A34A"/>
              <w:right w:val="single" w:sz="8" w:space="0" w:color="16A34A"/>
              <w:insideH w:val="single" w:sz="8" w:space="0" w:color="16A34A"/>
              <w:insideV w:val="single" w:sz="8" w:space="0" w:color="16A34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16A34A"/>
                <w:sz w:val="20"/>
              </w:rPr>
              <w:t>Regra do curso</w:t>
              <w:br/>
            </w:r>
            <w:r>
              <w:rPr>
                <w:b w:val="0"/>
                <w:i w:val="0"/>
                <w:color w:val="0F172A"/>
                <w:sz w:val="18"/>
              </w:rPr>
              <w:t>Avança apenas quando conseguires explicar o fluxo, executar os passos e alterar o exemplo sem depender de copiar linha por linha.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Identidade visual da aplicação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3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</w:t>
            </w:r>
          </w:p>
        </w:tc>
        <w:tc>
          <w:tcPr>
            <w:tcW w:type="dxa" w:w="19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Código</w:t>
            </w:r>
          </w:p>
        </w:tc>
        <w:tc>
          <w:tcPr>
            <w:tcW w:type="dxa" w:w="58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no catálogo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Azul-marinho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#0F172A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Navbar, títulos fortes e fundo escuro.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Azul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#2563EB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Botões principais e links.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Ciano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#0891B2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Destaques e informação.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Verde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#16A34A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Sucesso, produto ativo e stock disponível.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Vermelho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#DC2626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Erros, apagar e stock esgotado.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Cinza-claro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#F8FAFC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Fundo e áreas de leitura.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1. O resultado que vais construir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O catálogo deixará de ser uma página isolada. Terá uma base.html, navbar, cartões de produto, estados visuais e layout responsivo com Bootstrap.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base.html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Navbar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Conteúdo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Cards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CSS</w:t>
            </w:r>
          </w:p>
        </w:tc>
        <w:tc>
          <w:tcPr>
            <w:tcW w:type="dxa" w:w="929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Mobile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2. A estrutura de templates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templates/</w:t>
              <w:br/>
              <w:t>├── base.html</w:t>
              <w:br/>
              <w:t>└── produtos/</w:t>
              <w:br/>
              <w:t xml:space="preserve">    ├── lista.html</w:t>
              <w:br/>
              <w:t xml:space="preserve">    └── detalhe.html</w:t>
              <w:br/>
              <w:br/>
              <w:t>static/</w:t>
              <w:br/>
              <w:t>└── css/</w:t>
              <w:br/>
              <w:t xml:space="preserve">    └── app.css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estrutura</w:t>
            </w:r>
          </w:p>
        </w:tc>
      </w:tr>
    </w:tbl>
    <w:p>
      <w:pPr>
        <w:spacing w:after="0"/>
      </w:pP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Em config/settings.py, confirma que o Django procura templates na pasta principal e que os ficheiros estáticos estão configurados: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TEMPLATES = [</w:t>
              <w:br/>
              <w:t xml:space="preserve">    {</w:t>
              <w:br/>
              <w:t xml:space="preserve">        "DIRS": [BASE_DIR / "templates"],</w:t>
              <w:br/>
              <w:t xml:space="preserve">        ...</w:t>
              <w:br/>
              <w:t xml:space="preserve">    },</w:t>
              <w:br/>
              <w:t>]</w:t>
              <w:br/>
              <w:br/>
              <w:t>STATIC_URL = "static/"</w:t>
              <w:br/>
              <w:t>STATICFILES_DIRS = [BASE_DIR / "static"]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3. Criar a base.html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Todos os templates que usarem {% extends "base.html" %} receberão a mesma navbar e os mesmos estilos.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{% load static %}</w:t>
              <w:br/>
              <w:t>&lt;!doctype html&gt;</w:t>
              <w:br/>
              <w:t>&lt;html lang="pt-PT"&gt;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initial-scale=1"&gt;</w:t>
              <w:br/>
              <w:t xml:space="preserve">    &lt;title&gt;{% block title %}Catálogo{% endblock %}&lt;/title&gt;</w:t>
              <w:br/>
              <w:t xml:space="preserve">    &lt;link href="https://cdn.jsdelivr.net/npm/bootstrap@5.3.3/dist/css/bootstrap.min.css" rel="stylesheet"&gt;</w:t>
              <w:br/>
              <w:t xml:space="preserve">    &lt;link rel="stylesheet" href="{% static 'css/app.css' %}"&gt;</w:t>
              <w:br/>
              <w:t>&lt;/head&gt;</w:t>
              <w:br/>
              <w:t>&lt;body&gt;</w:t>
              <w:br/>
              <w:t>&lt;nav class="navbar navbar-expand-lg navbar-dark app-navbar"&gt;</w:t>
              <w:br/>
              <w:t xml:space="preserve">    &lt;div class="container"&gt;</w:t>
              <w:br/>
              <w:t xml:space="preserve">        &lt;a class="navbar-brand fw-bold" href="{% url 'produtos:lista' %}"&gt;Catálogo&lt;/a&gt;</w:t>
              <w:br/>
              <w:t xml:space="preserve">        &lt;span class="navbar-text text-white-50"&gt;Produtos com Django&lt;/span&gt;</w:t>
              <w:br/>
              <w:t xml:space="preserve">    &lt;/div&gt;</w:t>
              <w:br/>
              <w:t>&lt;/nav&gt;</w:t>
              <w:br/>
              <w:t>&lt;main class="container py-4"&gt;</w:t>
              <w:br/>
              <w:t xml:space="preserve">    {% block content %}{% endblock %}</w:t>
              <w:br/>
              <w:t>&lt;/main&gt;</w:t>
              <w:br/>
              <w:t>&lt;/body&gt;</w:t>
              <w:br/>
              <w:t>&lt;/html&gt;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html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4. Criar o sistema de cores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Em vez de espalhar códigos de cor pelo projeto, guarda os valores em variáveis CSS. Assim, a aplicação mantém uma identidade consistente.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:root {</w:t>
              <w:br/>
              <w:t xml:space="preserve">    --app-navy: #0F172A;</w:t>
              <w:br/>
              <w:t xml:space="preserve">    --app-blue: #2563EB;</w:t>
              <w:br/>
              <w:t xml:space="preserve">    --app-cyan: #0891B2;</w:t>
              <w:br/>
              <w:t xml:space="preserve">    --app-green: #16A34A;</w:t>
              <w:br/>
              <w:t xml:space="preserve">    --app-red: #DC2626;</w:t>
              <w:br/>
              <w:t xml:space="preserve">    --app-surface: #F8FAFC;</w:t>
              <w:br/>
              <w:t>}</w:t>
              <w:br/>
              <w:br/>
              <w:t>body {</w:t>
              <w:br/>
              <w:t xml:space="preserve">    background: var(--app-surface);</w:t>
              <w:br/>
              <w:t xml:space="preserve">    color: #334155;</w:t>
              <w:br/>
              <w:t>}</w:t>
              <w:br/>
              <w:br/>
              <w:t>.app-navbar {</w:t>
              <w:br/>
              <w:t xml:space="preserve">    background: var(--app-navy);</w:t>
              <w:br/>
              <w:t>}</w:t>
              <w:br/>
              <w:br/>
              <w:t>.product-card {</w:t>
              <w:br/>
              <w:t xml:space="preserve">    border: 0;</w:t>
              <w:br/>
              <w:t xml:space="preserve">    border-radius: 16px;</w:t>
              <w:br/>
              <w:t xml:space="preserve">    transition: transform .2s, box-shadow .2s;</w:t>
              <w:br/>
              <w:t>}</w:t>
              <w:br/>
              <w:br/>
              <w:t>.product-card:hover {</w:t>
              <w:br/>
              <w:t xml:space="preserve">    transform: translateY(-3px);</w:t>
              <w:br/>
              <w:t xml:space="preserve">    box-shadow: 0 12px 30px rgba(15, 23, 42, .12);</w:t>
              <w:br/>
              <w:t>}</w:t>
              <w:br/>
              <w:br/>
              <w:t>.price {</w:t>
              <w:br/>
              <w:t xml:space="preserve">    color: var(--app-blue);</w:t>
              <w:br/>
              <w:t xml:space="preserve">    font-size: 1.25rem;</w:t>
              <w:br/>
              <w:t xml:space="preserve">    font-weight: 700;</w:t>
              <w:br/>
              <w:t>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css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5. Transformar a lista em cartões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{% extends "base.html" %}</w:t>
              <w:br/>
              <w:br/>
              <w:t>{% block title %}Produtos | Catálogo{% endblock %}</w:t>
              <w:br/>
              <w:br/>
              <w:t>{% block content %}</w:t>
              <w:br/>
              <w:t>&lt;div class="d-flex justify-content-between align-items-center mb-4"&gt;</w:t>
              <w:br/>
              <w:t xml:space="preserve">    &lt;div&gt;</w:t>
              <w:br/>
              <w:t xml:space="preserve">        &lt;h1 class="text-dark"&gt;Produtos&lt;/h1&gt;</w:t>
              <w:br/>
              <w:t xml:space="preserve">        &lt;p class="text-secondary mb-0"&gt;Encontra o que precisas.&lt;/p&gt;</w:t>
              <w:br/>
              <w:t xml:space="preserve">    &lt;/div&gt;</w:t>
              <w:br/>
              <w:t xml:space="preserve">    &lt;a class="btn btn-primary" href="#"&gt;Novo produto&lt;/a&gt;</w:t>
              <w:br/>
              <w:t>&lt;/div&gt;</w:t>
              <w:br/>
              <w:br/>
              <w:t>&lt;div class="row g-4"&gt;</w:t>
              <w:br/>
              <w:t>{% for produto in produtos %}</w:t>
              <w:br/>
              <w:t xml:space="preserve">    &lt;div class="col-12 col-md-6 col-lg-4"&gt;</w:t>
              <w:br/>
              <w:t xml:space="preserve">        &lt;article class="card product-card h-100"&gt;</w:t>
              <w:br/>
              <w:t xml:space="preserve">            &lt;div class="card-body"&gt;</w:t>
              <w:br/>
              <w:t xml:space="preserve">                &lt;span class="badge text-bg-info mb-2"&gt;{{ produto.categoria.nome }}&lt;/span&gt;</w:t>
              <w:br/>
              <w:t xml:space="preserve">                &lt;h2 class="h5"&gt;{{ produto.nome }}&lt;/h2&gt;</w:t>
              <w:br/>
              <w:t xml:space="preserve">                &lt;p class="text-secondary"&gt;{{ produto.descricao|truncatewords:18 }}&lt;/p&gt;</w:t>
              <w:br/>
              <w:t xml:space="preserve">                &lt;p class="price"&gt;{{ produto.preco }} €&lt;/p&gt;</w:t>
              <w:br/>
              <w:t xml:space="preserve">                {% if produto.stock &gt; 0 %}</w:t>
              <w:br/>
              <w:t xml:space="preserve">                    &lt;span class="badge text-bg-success"&gt;{{ produto.stock }} em stock&lt;/span&gt;</w:t>
              <w:br/>
              <w:t xml:space="preserve">                {% else %}</w:t>
              <w:br/>
              <w:t xml:space="preserve">                    &lt;span class="badge text-bg-danger"&gt;Esgotado&lt;/span&gt;</w:t>
              <w:br/>
              <w:t xml:space="preserve">                {% endif %}</w:t>
              <w:br/>
              <w:t xml:space="preserve">            &lt;/div&gt;</w:t>
              <w:br/>
              <w:t xml:space="preserve">        &lt;/article&gt;</w:t>
              <w:br/>
              <w:t xml:space="preserve">    &lt;/div&gt;</w:t>
              <w:br/>
              <w:t>{% empty %}</w:t>
              <w:br/>
              <w:t xml:space="preserve">    &lt;div class="col-12"&gt;&lt;div class="alert alert-info"&gt;Nenhum produto encontrado.&lt;/div&gt;&lt;/div&gt;</w:t>
              <w:br/>
              <w:t>{% endfor %}</w:t>
              <w:br/>
              <w:t>&lt;/div&gt;</w:t>
              <w:br/>
              <w:t>{% endblock %}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html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6. Ilustração do layout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Navbar navy</w:t>
            </w:r>
          </w:p>
        </w:tc>
        <w:tc>
          <w:tcPr>
            <w:tcW w:type="dxa" w:w="1461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1461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Título + pesquisa</w:t>
            </w:r>
          </w:p>
        </w:tc>
        <w:tc>
          <w:tcPr>
            <w:tcW w:type="dxa" w:w="1461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1461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Cards responsivos</w:t>
            </w:r>
          </w:p>
        </w:tc>
        <w:tc>
          <w:tcPr>
            <w:tcW w:type="dxa" w:w="1461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1461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Estado vazio / alerta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2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Tamanho</w:t>
            </w:r>
          </w:p>
        </w:tc>
        <w:tc>
          <w:tcPr>
            <w:tcW w:type="dxa" w:w="7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Comportamento esperado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Telemóvel</w:t>
            </w:r>
          </w:p>
        </w:tc>
        <w:tc>
          <w:tcPr>
            <w:tcW w:type="dxa" w:w="7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Um cartão por linha; navbar simples; botões largos.</w:t>
            </w:r>
          </w:p>
        </w:tc>
      </w:tr>
      <w:tr>
        <w:tc>
          <w:tcPr>
            <w:tcW w:type="dxa" w:w="2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Tablet</w:t>
            </w:r>
          </w:p>
        </w:tc>
        <w:tc>
          <w:tcPr>
            <w:tcW w:type="dxa" w:w="7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Dois cartões por linha; espaçamento confortável.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Computador</w:t>
            </w:r>
          </w:p>
        </w:tc>
        <w:tc>
          <w:tcPr>
            <w:tcW w:type="dxa" w:w="7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Três cartões por linha; conteúdo centrado.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7. Acessibilidade e qualidade</w:t>
      </w: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Usa um único h1 por página.</w:t>
      </w: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Mantém contraste entre texto e fundo.</w:t>
      </w: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Usa labels nos campos de formulário.</w:t>
      </w: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Não uses apenas a cor para comunicar erro ou sucesso.</w:t>
      </w: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Usa alt em imagens quando elas existirem.</w:t>
      </w:r>
    </w:p>
    <w:p>
      <w:pPr>
        <w:pStyle w:val="ListBullet"/>
        <w:spacing w:after="40"/>
      </w:pPr>
      <w:r>
        <w:rPr>
          <w:b w:val="0"/>
          <w:i w:val="0"/>
          <w:color w:val="475569"/>
          <w:sz w:val="19"/>
        </w:rPr>
        <w:t>Testa a página reduzindo a janela do navegador.</w:t>
      </w:r>
    </w:p>
    <w:p>
      <w:pPr>
        <w:pStyle w:val="Heading1"/>
        <w:spacing w:before="240" w:after="100"/>
      </w:pPr>
      <w:r>
        <w:rPr>
          <w:color w:val="2563EB"/>
        </w:rPr>
        <w:t>8. Exercício guiado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Criar base.html.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Mover a navbar e o CSS para a base.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Alterar lista.html para extends.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Criar os cartões com colunas Bootstrap.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Testar a lista com produtos e sem produtos.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Abrir o DevTools e testar uma largura de telemóvel.</w:t>
      </w:r>
    </w:p>
    <w:p>
      <w:pPr>
        <w:pStyle w:val="Heading1"/>
        <w:spacing w:before="240" w:after="100"/>
      </w:pPr>
      <w:r>
        <w:rPr>
          <w:color w:val="2563EB"/>
        </w:rPr>
        <w:t>9. Desafio da aula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Criar uma página de detalhe visualmente consistente com o cartão. Ela deve mostrar nome, categoria, descrição completa, preço, stock e botão de voltar para a lista. Adiciona uma mensagem visual de “disponível” ou “esgotado”.</w:t>
      </w:r>
    </w:p>
    <w:p>
      <w:pPr>
        <w:pStyle w:val="Heading1"/>
        <w:spacing w:before="240" w:after="100"/>
      </w:pPr>
      <w:r>
        <w:rPr>
          <w:color w:val="2563EB"/>
        </w:rPr>
        <w:t>Checklist da Aula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9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Verificação</w:t>
            </w:r>
          </w:p>
        </w:tc>
        <w:tc>
          <w:tcPr>
            <w:tcW w:type="dxa" w:w="1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Concluído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Tenho base.html com block title e block content.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navbar é reutilizada.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Bootstrap está carregado.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As cores estão em variáveis CSS.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lista usa cartões responsivos.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O estado sem resultados é visível.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Testei telemóvel, tablet e computador.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Usei contraste e labels adequados.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Tentei o desafio da página de detalhe.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O que vem a seguir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Na Aula 6 vamos deixar de depender do Admin: o utilizador autorizado poderá criar, editar e apagar produtos através de formulários próprios.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CFEFF"/>
            <w:tcBorders>
              <w:top w:val="single" w:sz="8" w:space="0" w:color="0891B2"/>
              <w:left w:val="single" w:sz="8" w:space="0" w:color="0891B2"/>
              <w:bottom w:val="single" w:sz="8" w:space="0" w:color="0891B2"/>
              <w:right w:val="single" w:sz="8" w:space="0" w:color="0891B2"/>
              <w:insideH w:val="single" w:sz="8" w:space="0" w:color="0891B2"/>
              <w:insideV w:val="single" w:sz="8" w:space="0" w:color="0891B2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0891B2"/>
                <w:sz w:val="20"/>
              </w:rPr>
              <w:t>Registo de aprendizagem</w:t>
              <w:br/>
            </w:r>
            <w:r>
              <w:rPr>
                <w:b w:val="0"/>
                <w:i w:val="0"/>
                <w:color w:val="0F172A"/>
                <w:sz w:val="18"/>
              </w:rPr>
              <w:t>Antes de fechar o editor, escreve: 1) o que aprendi; 2) o erro mais difícil; 3) como o corrigi; 4) uma pergunta para a próxima aula.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475569"/>
        <w:sz w:val="14"/>
      </w:rPr>
      <w:t xml:space="preserve">Aprender fazendo • Django + Bootstrap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i w:val="0"/>
        <w:color w:val="475569"/>
        <w:sz w:val="15"/>
      </w:rPr>
      <w:t>CURSO PRÁTICO DE DJANGO  •  CATÁLOGO 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