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2149081"/>
    <w:bookmarkStart w:id="1" w:name="_Toc56722618"/>
    <w:p w14:paraId="0B792A99" w14:textId="771E2EF0" w:rsidR="00281FDE" w:rsidRPr="00EA2F00" w:rsidRDefault="00C25FCB" w:rsidP="00EA2F00">
      <w:pPr>
        <w:keepNext/>
        <w:keepLines/>
        <w:suppressAutoHyphens/>
        <w:spacing w:before="40" w:after="240"/>
        <w:outlineLvl w:val="2"/>
        <w:rPr>
          <w:rFonts w:ascii="Calibri Light" w:eastAsia="font275" w:hAnsi="Calibri Light" w:cs="font275"/>
          <w:color w:val="2F5496"/>
          <w:sz w:val="24"/>
        </w:rPr>
      </w:pPr>
      <w:r w:rsidRPr="00EA2F00">
        <w:rPr>
          <w:rFonts w:ascii="Calibri Light" w:eastAsia="font275" w:hAnsi="Calibri Light" w:cs="font275"/>
          <w:color w:val="2F5496"/>
          <w:sz w:val="24"/>
        </w:rPr>
        <w:fldChar w:fldCharType="begin"/>
      </w:r>
      <w:r w:rsidRPr="00EA2F00">
        <w:rPr>
          <w:rFonts w:ascii="Calibri Light" w:eastAsia="font275" w:hAnsi="Calibri Light" w:cs="font275"/>
          <w:color w:val="2F5496"/>
          <w:sz w:val="24"/>
        </w:rPr>
        <w:instrText xml:space="preserve"> MERGEFIELD Vulnerability </w:instrText>
      </w:r>
      <w:r w:rsidRPr="00EA2F00">
        <w:rPr>
          <w:rFonts w:ascii="Calibri Light" w:eastAsia="font275" w:hAnsi="Calibri Light" w:cs="font275"/>
          <w:color w:val="2F5496"/>
          <w:sz w:val="24"/>
        </w:rPr>
        <w:fldChar w:fldCharType="separate"/>
      </w:r>
      <w:r w:rsidR="00A1284E" w:rsidRPr="00EA2F00">
        <w:rPr>
          <w:rFonts w:ascii="Calibri Light" w:eastAsia="font275" w:hAnsi="Calibri Light" w:cs="font275"/>
          <w:color w:val="2F5496"/>
          <w:sz w:val="24"/>
        </w:rPr>
        <w:t>«</w:t>
      </w:r>
      <w:r w:rsidR="00EA2F00" w:rsidRPr="00EA2F00">
        <w:rPr>
          <w:rFonts w:ascii="Calibri Light" w:eastAsia="font275" w:hAnsi="Calibri Light" w:cs="font275"/>
          <w:color w:val="2F5496"/>
          <w:sz w:val="24"/>
        </w:rPr>
        <w:t>Nombre de vulnerabilidad</w:t>
      </w:r>
      <w:r w:rsidR="00A1284E" w:rsidRPr="00EA2F00">
        <w:rPr>
          <w:rFonts w:ascii="Calibri Light" w:eastAsia="font275" w:hAnsi="Calibri Light" w:cs="font275"/>
          <w:color w:val="2F5496"/>
          <w:sz w:val="24"/>
        </w:rPr>
        <w:t>»</w:t>
      </w:r>
      <w:r w:rsidRPr="00EA2F00">
        <w:rPr>
          <w:rFonts w:ascii="Calibri Light" w:eastAsia="font275" w:hAnsi="Calibri Light" w:cs="font275"/>
          <w:color w:val="2F5496"/>
          <w:sz w:val="24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EA2F00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320C0194" w:rsidR="00520903" w:rsidRPr="00EA2F00" w:rsidRDefault="00520903" w:rsidP="000860D2">
            <w:pPr>
              <w:pStyle w:val="Textodetabla"/>
              <w:rPr>
                <w:rFonts w:asciiTheme="minorHAnsi" w:hAnsiTheme="minorHAnsi" w:cstheme="minorHAnsi"/>
              </w:rPr>
            </w:pPr>
            <w:r w:rsidRPr="00EA2F00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="00EA2F00" w:rsidRPr="00EA2F00">
              <w:rPr>
                <w:rFonts w:asciiTheme="minorHAnsi" w:hAnsiTheme="minorHAnsi" w:cstheme="minorHAnsi"/>
                <w:sz w:val="24"/>
                <w:szCs w:val="24"/>
              </w:rPr>
              <w:t>Nombre de vulnerabilidad</w:t>
            </w:r>
            <w:r w:rsidRPr="00EA2F00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C84CFA" w:rsidRDefault="00520903" w:rsidP="000860D2">
            <w:pPr>
              <w:pStyle w:val="Textodetabla"/>
              <w:rPr>
                <w:rFonts w:asciiTheme="minorHAnsi" w:hAnsiTheme="minorHAnsi" w:cstheme="minorHAnsi"/>
                <w:sz w:val="22"/>
                <w:szCs w:val="22"/>
              </w:rPr>
            </w:pPr>
            <w:r w:rsidRPr="00C84C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«Severidad»</w:t>
            </w:r>
          </w:p>
        </w:tc>
      </w:tr>
      <w:tr w:rsidR="002B72DB" w:rsidRPr="00EA2F00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EA2F00" w:rsidRDefault="002B72DB" w:rsidP="001B3819">
            <w:pPr>
              <w:pStyle w:val="Textodetabla"/>
              <w:rPr>
                <w:rFonts w:asciiTheme="minorHAnsi" w:hAnsiTheme="minorHAnsi" w:cstheme="minorHAnsi"/>
                <w:color w:val="FFFFFF"/>
              </w:rPr>
            </w:pPr>
            <w:r w:rsidRPr="00EA2F00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EA2F00" w:rsidRDefault="002B72DB" w:rsidP="001B3819">
            <w:pPr>
              <w:pStyle w:val="Textodetabla"/>
              <w:jc w:val="both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«</w:t>
            </w:r>
            <w:r w:rsidR="00205B33"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Descripción</w:t>
            </w:r>
            <w:r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EA2F00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EA2F00" w:rsidRDefault="002B72DB" w:rsidP="001B3819">
            <w:pPr>
              <w:pStyle w:val="Textodetabla"/>
              <w:rPr>
                <w:rFonts w:asciiTheme="minorHAnsi" w:hAnsiTheme="minorHAnsi" w:cstheme="minorHAnsi"/>
                <w:color w:val="FFFFFF"/>
              </w:rPr>
            </w:pPr>
            <w:r w:rsidRPr="00EA2F00">
              <w:rPr>
                <w:rFonts w:asciiTheme="minorHAnsi" w:hAnsiTheme="minorHAnsi" w:cstheme="minorHAnsi"/>
              </w:rPr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EA2F00" w:rsidRDefault="002B72DB" w:rsidP="001B3819">
            <w:pPr>
              <w:pStyle w:val="Textodetabla"/>
              <w:jc w:val="both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«</w:t>
            </w:r>
            <w:r w:rsidR="00205B33"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Remediación</w:t>
            </w:r>
            <w:r w:rsidRPr="00EA2F00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EA2F00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EA2F00" w:rsidRDefault="002B72DB" w:rsidP="000860D2">
            <w:pPr>
              <w:pStyle w:val="Textodetabla"/>
              <w:rPr>
                <w:rFonts w:asciiTheme="minorHAnsi" w:hAnsiTheme="minorHAnsi" w:cstheme="minorHAnsi"/>
              </w:rPr>
            </w:pPr>
            <w:r w:rsidRPr="00EA2F00">
              <w:rPr>
                <w:rFonts w:asciiTheme="minorHAnsi" w:hAnsiTheme="minorHAnsi" w:cstheme="minorHAnsi"/>
              </w:rPr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EA2F00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  <w:rPr>
                <w:rFonts w:asciiTheme="minorHAnsi" w:hAnsiTheme="minorHAnsi" w:cstheme="minorHAnsi"/>
              </w:rPr>
            </w:pPr>
            <w:r w:rsidRPr="00EA2F00">
              <w:rPr>
                <w:rStyle w:val="VietareferenciaCar"/>
                <w:rFonts w:asciiTheme="minorHAnsi" w:hAnsiTheme="minorHAnsi" w:cstheme="minorHAnsi"/>
              </w:rPr>
              <w:t>«</w:t>
            </w:r>
            <w:r w:rsidR="007614F6" w:rsidRPr="00EA2F00">
              <w:rPr>
                <w:rStyle w:val="VietareferenciaCar"/>
                <w:rFonts w:asciiTheme="minorHAnsi" w:hAnsiTheme="minorHAnsi" w:cstheme="minorHAnsi"/>
              </w:rPr>
              <w:t>Referencias</w:t>
            </w:r>
            <w:r w:rsidRPr="00EA2F00">
              <w:rPr>
                <w:rStyle w:val="VietareferenciaCar"/>
                <w:rFonts w:asciiTheme="minorHAnsi" w:hAnsiTheme="minorHAnsi" w:cstheme="minorHAnsi"/>
              </w:rPr>
              <w:t>»</w:t>
            </w:r>
          </w:p>
        </w:tc>
      </w:tr>
      <w:tr w:rsidR="002B72DB" w:rsidRPr="00EA2F00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EA2F00" w:rsidRDefault="002B72DB" w:rsidP="000860D2">
            <w:pPr>
              <w:pStyle w:val="Textodetabla"/>
              <w:rPr>
                <w:rFonts w:asciiTheme="minorHAnsi" w:hAnsiTheme="minorHAnsi" w:cstheme="minorHAnsi"/>
              </w:rPr>
            </w:pPr>
            <w:r w:rsidRPr="00EA2F00">
              <w:rPr>
                <w:rFonts w:asciiTheme="minorHAnsi" w:hAnsiTheme="minorHAnsi" w:cstheme="minorHAnsi"/>
              </w:rPr>
              <w:t>SISTEMA</w:t>
            </w:r>
            <w:r w:rsidR="007614F6" w:rsidRPr="00EA2F00">
              <w:rPr>
                <w:rFonts w:asciiTheme="minorHAnsi" w:hAnsiTheme="minorHAnsi" w:cstheme="minorHAnsi"/>
              </w:rPr>
              <w:t>(</w:t>
            </w:r>
            <w:r w:rsidRPr="00EA2F00">
              <w:rPr>
                <w:rFonts w:asciiTheme="minorHAnsi" w:hAnsiTheme="minorHAnsi" w:cstheme="minorHAnsi"/>
              </w:rPr>
              <w:t>S</w:t>
            </w:r>
            <w:r w:rsidR="007614F6" w:rsidRPr="00EA2F00">
              <w:rPr>
                <w:rFonts w:asciiTheme="minorHAnsi" w:hAnsiTheme="minorHAnsi" w:cstheme="minorHAnsi"/>
              </w:rPr>
              <w:t>)</w:t>
            </w:r>
            <w:r w:rsidRPr="00EA2F00">
              <w:rPr>
                <w:rFonts w:asciiTheme="minorHAnsi" w:hAnsiTheme="minorHAnsi" w:cstheme="minorHAnsi"/>
              </w:rPr>
              <w:t xml:space="preserve"> O RUTA</w:t>
            </w:r>
            <w:r w:rsidR="007614F6" w:rsidRPr="00EA2F00">
              <w:rPr>
                <w:rFonts w:asciiTheme="minorHAnsi" w:hAnsiTheme="minorHAnsi" w:cstheme="minorHAnsi"/>
              </w:rPr>
              <w:t>(</w:t>
            </w:r>
            <w:r w:rsidRPr="00EA2F00">
              <w:rPr>
                <w:rFonts w:asciiTheme="minorHAnsi" w:hAnsiTheme="minorHAnsi" w:cstheme="minorHAnsi"/>
              </w:rPr>
              <w:t>S</w:t>
            </w:r>
            <w:r w:rsidR="007614F6" w:rsidRPr="00EA2F00">
              <w:rPr>
                <w:rFonts w:asciiTheme="minorHAnsi" w:hAnsiTheme="minorHAnsi" w:cstheme="minorHAnsi"/>
              </w:rPr>
              <w:t>)</w:t>
            </w:r>
            <w:r w:rsidRPr="00EA2F00">
              <w:rPr>
                <w:rFonts w:asciiTheme="minorHAnsi" w:hAnsiTheme="minorHAnsi" w:cstheme="minorHAnsi"/>
              </w:rPr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11A56A01" w:rsidR="002B72DB" w:rsidRPr="00EA2F00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EA2F00">
              <w:rPr>
                <w:rFonts w:asciiTheme="minorHAnsi" w:hAnsiTheme="minorHAnsi" w:cstheme="minorHAnsi"/>
                <w:sz w:val="18"/>
                <w:szCs w:val="18"/>
              </w:rPr>
              <w:t>«</w:t>
            </w:r>
            <w:r w:rsidR="00EA2F00" w:rsidRPr="00EA2F00">
              <w:rPr>
                <w:rFonts w:asciiTheme="minorHAnsi" w:hAnsiTheme="minorHAnsi" w:cstheme="minorHAnsi"/>
                <w:sz w:val="18"/>
                <w:szCs w:val="18"/>
              </w:rPr>
              <w:t>Componente afectado</w:t>
            </w:r>
            <w:r w:rsidRPr="00EA2F00">
              <w:rPr>
                <w:rFonts w:asciiTheme="minorHAnsi" w:hAnsiTheme="minorHAnsi" w:cstheme="minorHAnsi"/>
                <w:sz w:val="18"/>
                <w:szCs w:val="18"/>
              </w:rPr>
              <w:t>»</w:t>
            </w:r>
          </w:p>
        </w:tc>
      </w:tr>
      <w:tr w:rsidR="002B72DB" w:rsidRPr="00EA2F00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777777" w:rsidR="002B72DB" w:rsidRPr="00EA2F00" w:rsidRDefault="002B72DB" w:rsidP="000860D2">
            <w:pPr>
              <w:pStyle w:val="Textodetabla"/>
              <w:rPr>
                <w:rFonts w:asciiTheme="minorHAnsi" w:hAnsiTheme="minorHAnsi" w:cstheme="minorHAnsi"/>
                <w:color w:val="000000"/>
              </w:rPr>
            </w:pPr>
            <w:r w:rsidRPr="00EA2F00">
              <w:rPr>
                <w:rFonts w:asciiTheme="minorHAnsi" w:hAnsiTheme="minorHAnsi" w:cstheme="minorHAnsi"/>
              </w:rPr>
              <w:t>DETALLE DE PRUEBAS DE SEGURIDAD</w:t>
            </w:r>
          </w:p>
        </w:tc>
      </w:tr>
      <w:tr w:rsidR="002B72DB" w:rsidRPr="00EA2F00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2B0B1037" w:rsidR="002B72DB" w:rsidRPr="00EA2F00" w:rsidRDefault="002B72DB" w:rsidP="000860D2">
            <w:pPr>
              <w:pStyle w:val="Textodetabla"/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EA2F00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La prueba de la vulnerabilidad consistió en la detección de</w:t>
            </w:r>
            <w:r w:rsidR="007614F6" w:rsidRPr="00EA2F00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l</w:t>
            </w:r>
            <w:r w:rsidRPr="00EA2F00">
              <w:rPr>
                <w:rFonts w:asciiTheme="minorHAnsi" w:hAnsiTheme="minorHAnsi" w:cstheme="minorHAnsi"/>
                <w:b w:val="0"/>
                <w:bCs w:val="0"/>
                <w:color w:val="000000"/>
              </w:rPr>
              <w:t xml:space="preserve"> siguiente </w:t>
            </w:r>
            <w:r w:rsidR="007614F6" w:rsidRPr="00EA2F00">
              <w:rPr>
                <w:rFonts w:asciiTheme="minorHAnsi" w:hAnsiTheme="minorHAnsi" w:cstheme="minorHAnsi"/>
                <w:b w:val="0"/>
                <w:bCs w:val="0"/>
                <w:color w:val="000000"/>
              </w:rPr>
              <w:t xml:space="preserve">registro, </w:t>
            </w:r>
            <w:r w:rsidRPr="00EA2F00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respuesta al interactuar con el sistema:</w:t>
            </w:r>
          </w:p>
          <w:p w14:paraId="4CF7FE23" w14:textId="77777777" w:rsidR="000860D2" w:rsidRPr="00EA2F00" w:rsidRDefault="000860D2" w:rsidP="000860D2">
            <w:pPr>
              <w:pStyle w:val="Textodetabla"/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EA2F00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6F57123B" w:rsidR="002B72DB" w:rsidRPr="00EA2F00" w:rsidRDefault="002B72DB" w:rsidP="000860D2">
                  <w:pPr>
                    <w:pStyle w:val="Textodetabla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205B33" w:rsidRPr="00EA2F00">
                    <w:rPr>
                      <w:rFonts w:asciiTheme="minorHAnsi" w:hAnsiTheme="minorHAnsi" w:cstheme="minorHAnsi"/>
                      <w:b w:val="0"/>
                      <w:bCs w:val="0"/>
                      <w:noProof/>
                      <w:color w:val="000000" w:themeColor="text1"/>
                    </w:rPr>
                    <w:t>Evidencia</w:t>
                  </w: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EA2F00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EA2F00" w:rsidRDefault="002B72DB" w:rsidP="000860D2">
            <w:pPr>
              <w:pStyle w:val="Textodetabla"/>
              <w:rPr>
                <w:rFonts w:asciiTheme="minorHAnsi" w:hAnsiTheme="minorHAnsi" w:cstheme="minorHAnsi"/>
              </w:rPr>
            </w:pPr>
            <w:r w:rsidRPr="00EA2F00">
              <w:rPr>
                <w:rFonts w:asciiTheme="minorHAnsi" w:hAnsiTheme="minorHAnsi" w:cstheme="minorHAnsi"/>
              </w:rPr>
              <w:br w:type="page"/>
            </w:r>
          </w:p>
        </w:tc>
      </w:tr>
    </w:tbl>
    <w:p w14:paraId="2F8A8062" w14:textId="77777777" w:rsidR="002B72DB" w:rsidRPr="00EA2F00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</w:rPr>
      </w:pPr>
    </w:p>
    <w:p w14:paraId="3BD2725C" w14:textId="77777777" w:rsidR="00F0698E" w:rsidRPr="00EA2F00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</w:rPr>
      </w:pPr>
    </w:p>
    <w:sectPr w:rsidR="00F0698E" w:rsidRPr="00EA2F00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275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0E89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0F56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4CFA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2F00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2024-07-15T16:21:00Z</dcterms:modified>
  <cp:contentStatus/>
</cp:coreProperties>
</file>