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Override PartName="/word/media/image3.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0"/>
        <w:jc w:val="center"/>
        <w:rPr>
          <w:rFonts w:ascii="Montserrat" w:hAnsi="Montserrat"/>
          <w:b/>
          <w:bCs/>
          <w:color w:val="312E81"/>
          <w:sz w:val="44"/>
          <w:szCs w:val="44"/>
        </w:rPr>
      </w:pPr>
      <w:r>
        <w:rPr>
          <w:rFonts w:ascii="Montserrat" w:hAnsi="Montserrat"/>
          <w:b/>
          <w:bCs/>
          <w:color w:val="312E81"/>
          <w:sz w:val="44"/>
          <w:szCs w:val="44"/>
        </w:rPr>
      </w:r>
    </w:p>
    <w:p>
      <w:pPr>
        <w:pStyle w:val="Normal"/>
        <w:spacing w:lineRule="auto" w:line="240" w:before="0" w:after="800"/>
        <w:jc w:val="center"/>
        <w:rPr>
          <w:rFonts w:ascii="Montserrat" w:hAnsi="Montserrat"/>
          <w:b/>
          <w:bCs/>
          <w:color w:val="312E81"/>
          <w:sz w:val="44"/>
          <w:szCs w:val="44"/>
        </w:rPr>
      </w:pPr>
      <w:r>
        <w:rPr>
          <w:rFonts w:ascii="Montserrat" w:hAnsi="Montserrat"/>
          <w:b/>
          <w:bCs/>
          <w:color w:val="312E81"/>
          <w:sz w:val="44"/>
          <w:szCs w:val="44"/>
        </w:rPr>
        <w:t>PROTOCOLO DE PRUEBAS PARA PUESTA EN SERVICIO DE CENTRALES ELÉCTRICAS SÍNCRONAS</w:t>
      </w:r>
    </w:p>
    <w:p>
      <w:pPr>
        <w:pStyle w:val="Normal"/>
        <w:pBdr>
          <w:bottom w:val="single" w:sz="24" w:space="4" w:color="312E81"/>
        </w:pBdr>
        <w:spacing w:before="0" w:after="120"/>
        <w:jc w:val="center"/>
        <w:rPr>
          <w:color w:val="404040"/>
          <w:sz w:val="24"/>
          <w:szCs w:val="24"/>
        </w:rPr>
      </w:pPr>
      <w:r>
        <w:rPr>
          <w:color w:val="404040"/>
          <w:sz w:val="24"/>
          <w:szCs w:val="24"/>
        </w:rPr>
        <w:t>Central Eléctrica de Generación en Abasto Aislado</w:t>
      </w:r>
    </w:p>
    <w:p>
      <w:pPr>
        <w:pStyle w:val="Normal"/>
        <w:pBdr>
          <w:bottom w:val="single" w:sz="24" w:space="4" w:color="312E81"/>
        </w:pBdr>
        <w:spacing w:before="0" w:after="120"/>
        <w:jc w:val="center"/>
        <w:rPr>
          <w:color w:val="404040"/>
          <w:sz w:val="24"/>
          <w:szCs w:val="24"/>
        </w:rPr>
      </w:pPr>
      <w:r>
        <w:rPr>
          <w:color w:val="404040"/>
          <w:sz w:val="24"/>
          <w:szCs w:val="24"/>
        </w:rPr>
        <w:t>Central Tipo B</w:t>
      </w:r>
    </w:p>
    <w:p>
      <w:pPr>
        <w:pStyle w:val="Normal"/>
        <w:pBdr>
          <w:bottom w:val="single" w:sz="24" w:space="4" w:color="312E81"/>
        </w:pBdr>
        <w:spacing w:before="0" w:after="120"/>
        <w:jc w:val="center"/>
        <w:rPr>
          <w:color w:val="404040"/>
          <w:sz w:val="24"/>
          <w:szCs w:val="24"/>
        </w:rPr>
      </w:pPr>
      <w:r>
        <w:rPr>
          <w:color w:val="404040"/>
          <w:sz w:val="24"/>
          <w:szCs w:val="24"/>
        </w:rPr>
      </w:r>
    </w:p>
    <w:p>
      <w:pPr>
        <w:pStyle w:val="Normal"/>
        <w:pBdr>
          <w:bottom w:val="single" w:sz="24" w:space="4" w:color="312E81"/>
        </w:pBdr>
        <w:spacing w:before="0" w:after="200"/>
        <w:jc w:val="center"/>
        <w:rPr/>
      </w:pPr>
      <w:r>
        <w:rPr/>
      </w:r>
    </w:p>
    <w:p>
      <w:pPr>
        <w:pStyle w:val="Normal"/>
        <w:spacing w:before="600" w:after="0"/>
        <w:jc w:val="center"/>
        <w:rPr>
          <w:rFonts w:ascii="Helvetica Neue" w:hAnsi="Helvetica Neue"/>
          <w:b/>
          <w:bCs/>
        </w:rPr>
      </w:pPr>
      <w:r>
        <w:rPr>
          <w:rFonts w:ascii="Helvetica Neue" w:hAnsi="Helvetica Neue"/>
          <w:b/>
          <w:bCs/>
          <w:color w:val="312E81"/>
          <w:sz w:val="56"/>
          <w:szCs w:val="56"/>
        </w:rPr>
        <w:t>CATERPILLAR</w:t>
      </w:r>
    </w:p>
    <w:p>
      <w:pPr>
        <w:pStyle w:val="Normal"/>
        <w:pBdr>
          <w:bottom w:val="single" w:sz="24" w:space="4" w:color="312E81"/>
        </w:pBdr>
        <w:spacing w:before="0" w:after="400"/>
        <w:jc w:val="center"/>
        <w:rPr/>
      </w:pPr>
      <w:r>
        <w:rPr/>
      </w:r>
    </w:p>
    <w:p>
      <w:pPr>
        <w:pStyle w:val="Normal"/>
        <w:spacing w:before="0" w:after="120"/>
        <w:jc w:val="center"/>
        <w:rPr/>
      </w:pPr>
      <w:r>
        <w:rPr>
          <w:sz w:val="24"/>
          <w:szCs w:val="24"/>
        </w:rPr>
        <w:t>Piedras Negras, Coahuila, México</w:t>
      </w:r>
    </w:p>
    <w:p>
      <w:pPr>
        <w:pStyle w:val="Normal"/>
        <w:spacing w:before="0" w:after="800"/>
        <w:jc w:val="center"/>
        <w:rPr/>
      </w:pPr>
      <w:r>
        <w:rPr>
          <w:b/>
          <w:bCs/>
        </w:rPr>
        <w:t>PRUEBAS DE CÓDIGO DE RED</w:t>
      </w:r>
    </w:p>
    <w:tbl>
      <w:tblPr>
        <w:tblW w:w="6000" w:type="dxa"/>
        <w:jc w:val="center"/>
        <w:tblInd w:w="0" w:type="dxa"/>
        <w:tblLayout w:type="fixed"/>
        <w:tblCellMar>
          <w:top w:w="200" w:type="dxa"/>
          <w:left w:w="200" w:type="dxa"/>
          <w:bottom w:w="200" w:type="dxa"/>
          <w:right w:w="200" w:type="dxa"/>
        </w:tblCellMar>
        <w:tblLook w:firstRow="0" w:noVBand="0" w:lastRow="0" w:firstColumn="0" w:lastColumn="0" w:noHBand="0" w:val="0000"/>
      </w:tblPr>
      <w:tblGrid>
        <w:gridCol w:w="6000"/>
      </w:tblGrid>
      <w:tr>
        <w:trPr/>
        <w:tc>
          <w:tcPr>
            <w:tcW w:w="6000" w:type="dxa"/>
            <w:tcBorders>
              <w:top w:val="single" w:sz="12" w:space="0" w:color="312E81"/>
              <w:left w:val="single" w:sz="12" w:space="0" w:color="312E81"/>
              <w:bottom w:val="single" w:sz="12" w:space="0" w:color="312E81"/>
              <w:right w:val="single" w:sz="12" w:space="0" w:color="312E81"/>
            </w:tcBorders>
            <w:shd w:color="auto" w:fill="E8E7F3" w:val="clear"/>
          </w:tcPr>
          <w:p>
            <w:pPr>
              <w:pStyle w:val="Normal"/>
              <w:spacing w:before="0" w:after="80"/>
              <w:jc w:val="center"/>
              <w:rPr/>
            </w:pPr>
            <w:r>
              <w:rPr>
                <w:b/>
                <w:bCs/>
                <w:color w:val="312E81"/>
                <w:sz w:val="24"/>
                <w:szCs w:val="24"/>
              </w:rPr>
              <w:t>Pruebas por Central</w:t>
            </w:r>
          </w:p>
          <w:p>
            <w:pPr>
              <w:pStyle w:val="Normal"/>
              <w:jc w:val="center"/>
              <w:rPr/>
            </w:pPr>
            <w:r>
              <w:rPr>
                <w:color w:val="404040"/>
              </w:rPr>
              <w:t>En el punto de interconexión</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600" w:before="0" w:after="80"/>
        <w:jc w:val="center"/>
        <w:rPr>
          <w:rFonts w:ascii="Helvetica Neue Thin" w:hAnsi="Helvetica Neue Thin"/>
          <w:b/>
          <w:bCs/>
        </w:rPr>
      </w:pPr>
      <w:r>
        <w:rPr>
          <w:rFonts w:ascii="Helvetica Neue Thin" w:hAnsi="Helvetica Neue Thin"/>
          <w:b/>
          <w:bCs/>
        </w:rPr>
      </w:r>
    </w:p>
    <w:p>
      <w:pPr>
        <w:pStyle w:val="Normal"/>
        <w:spacing w:lineRule="auto" w:line="600" w:before="0" w:after="80"/>
        <w:jc w:val="center"/>
        <w:rPr>
          <w:rFonts w:ascii="Helvetica Neue Thin" w:hAnsi="Helvetica Neue Thin"/>
        </w:rPr>
      </w:pPr>
      <w:r>
        <w:rPr>
          <w:rFonts w:ascii="Helvetica Neue Thin" w:hAnsi="Helvetica Neue Thin"/>
          <w:b/>
          <w:bCs/>
        </w:rPr>
        <w:t>Proyecto:</w:t>
      </w:r>
      <w:r>
        <w:rPr>
          <w:rFonts w:ascii="Helvetica Neue Thin" w:hAnsi="Helvetica Neue Thin"/>
        </w:rPr>
        <w:t xml:space="preserve"> GCE310_CNK_Caterpillar</w:t>
      </w:r>
    </w:p>
    <w:p>
      <w:pPr>
        <w:pStyle w:val="Normal"/>
        <w:spacing w:lineRule="auto" w:line="600" w:before="0" w:after="80"/>
        <w:jc w:val="center"/>
        <w:rPr>
          <w:rFonts w:ascii="Helvetica Neue Thin" w:hAnsi="Helvetica Neue Thin"/>
        </w:rPr>
      </w:pPr>
      <w:r>
        <w:rPr>
          <w:rFonts w:ascii="Helvetica Neue Thin" w:hAnsi="Helvetica Neue Thin"/>
          <w:b/>
          <w:bCs/>
        </w:rPr>
        <w:t>Reporte:</w:t>
      </w:r>
      <w:r>
        <w:rPr>
          <w:rFonts w:ascii="Helvetica Neue Thin" w:hAnsi="Helvetica Neue Thin"/>
        </w:rPr>
        <w:t xml:space="preserve"> Reporte Pruebas por Central rev1.0</w:t>
      </w:r>
    </w:p>
    <w:p>
      <w:pPr>
        <w:pStyle w:val="Normal"/>
        <w:spacing w:lineRule="auto" w:line="600" w:before="0" w:after="80"/>
        <w:jc w:val="center"/>
        <w:rPr>
          <w:rFonts w:ascii="Helvetica Neue Thin" w:hAnsi="Helvetica Neue Thin"/>
        </w:rPr>
      </w:pPr>
      <w:r>
        <w:rPr>
          <w:rFonts w:ascii="Helvetica Neue Thin" w:hAnsi="Helvetica Neue Thin"/>
          <w:b/>
          <w:bCs/>
        </w:rPr>
        <w:t>Fecha de las Pruebas:</w:t>
      </w:r>
      <w:r>
        <w:rPr>
          <w:rFonts w:ascii="Helvetica Neue Thin" w:hAnsi="Helvetica Neue Thin"/>
        </w:rPr>
        <w:t xml:space="preserve"> Abril–Mayo 2025</w:t>
      </w:r>
    </w:p>
    <w:p>
      <w:pPr>
        <w:pStyle w:val="Normal"/>
        <w:spacing w:lineRule="auto" w:line="600" w:before="0" w:after="240"/>
        <w:jc w:val="center"/>
        <w:rPr>
          <w:rFonts w:ascii="Helvetica Neue Thin" w:hAnsi="Helvetica Neue Thin"/>
        </w:rPr>
      </w:pPr>
      <w:r>
        <w:rPr>
          <w:rFonts w:ascii="Helvetica Neue Thin" w:hAnsi="Helvetica Neue Thin"/>
          <w:b/>
          <w:bCs/>
        </w:rPr>
        <w:t>Fecha de Envío del Reporte:</w:t>
      </w:r>
      <w:r>
        <w:rPr>
          <w:rFonts w:ascii="Helvetica Neue Thin" w:hAnsi="Helvetica Neue Thin"/>
        </w:rPr>
        <w:t xml:space="preserve"> Octubre 18, 2025</w:t>
      </w:r>
    </w:p>
    <w:p>
      <w:pPr>
        <w:pStyle w:val="Normal"/>
        <w:spacing w:lineRule="auto" w:line="480" w:before="0" w:after="240"/>
        <w:rPr>
          <w:rFonts w:ascii="Helvetica Neue Thin" w:hAnsi="Helvetica Neue Thin"/>
        </w:rPr>
      </w:pPr>
      <w:r>
        <w:rPr>
          <w:rFonts w:ascii="Helvetica Neue Thin" w:hAnsi="Helvetica Neue Thin"/>
        </w:rPr>
      </w:r>
    </w:p>
    <w:p>
      <w:pPr>
        <w:pStyle w:val="Normal"/>
        <w:spacing w:before="200" w:after="100"/>
        <w:rPr>
          <w:rFonts w:ascii="Montserrat" w:hAnsi="Montserrat"/>
          <w:sz w:val="21"/>
          <w:szCs w:val="21"/>
        </w:rPr>
      </w:pPr>
      <w:r>
        <w:rPr>
          <w:rFonts w:ascii="Montserrat" w:hAnsi="Montserrat"/>
          <w:color w:val="312E81"/>
          <w:sz w:val="21"/>
          <w:szCs w:val="21"/>
        </w:rPr>
        <w:t>CONTROL DE REVISIONES</w:t>
      </w:r>
    </w:p>
    <w:tbl>
      <w:tblPr>
        <w:tblW w:w="900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1500"/>
        <w:gridCol w:w="2499"/>
        <w:gridCol w:w="3001"/>
        <w:gridCol w:w="1999"/>
      </w:tblGrid>
      <w:tr>
        <w:trPr>
          <w:tblHeader w:val="true"/>
        </w:trPr>
        <w:tc>
          <w:tcPr>
            <w:tcW w:w="1500" w:type="dxa"/>
            <w:tcBorders/>
            <w:shd w:color="auto" w:fill="312E81" w:val="clear"/>
            <w:vAlign w:val="center"/>
          </w:tcPr>
          <w:p>
            <w:pPr>
              <w:pStyle w:val="Normal"/>
              <w:jc w:val="center"/>
              <w:rPr>
                <w:b/>
                <w:bCs/>
                <w:sz w:val="18"/>
                <w:szCs w:val="18"/>
              </w:rPr>
            </w:pPr>
            <w:r>
              <w:rPr>
                <w:b/>
                <w:bCs/>
                <w:color w:val="FFFFFF"/>
                <w:sz w:val="18"/>
                <w:szCs w:val="18"/>
              </w:rPr>
              <w:t>REV</w:t>
            </w:r>
          </w:p>
        </w:tc>
        <w:tc>
          <w:tcPr>
            <w:tcW w:w="2499" w:type="dxa"/>
            <w:tcBorders/>
            <w:shd w:color="auto" w:fill="312E81" w:val="clear"/>
            <w:vAlign w:val="center"/>
          </w:tcPr>
          <w:p>
            <w:pPr>
              <w:pStyle w:val="Normal"/>
              <w:jc w:val="center"/>
              <w:rPr>
                <w:b/>
                <w:bCs/>
                <w:sz w:val="18"/>
                <w:szCs w:val="18"/>
              </w:rPr>
            </w:pPr>
            <w:r>
              <w:rPr>
                <w:b/>
                <w:bCs/>
                <w:color w:val="FFFFFF"/>
                <w:sz w:val="18"/>
                <w:szCs w:val="18"/>
              </w:rPr>
              <w:t>FECHA</w:t>
            </w:r>
          </w:p>
        </w:tc>
        <w:tc>
          <w:tcPr>
            <w:tcW w:w="3001" w:type="dxa"/>
            <w:tcBorders/>
            <w:shd w:color="auto" w:fill="312E81" w:val="clear"/>
            <w:vAlign w:val="center"/>
          </w:tcPr>
          <w:p>
            <w:pPr>
              <w:pStyle w:val="Normal"/>
              <w:jc w:val="center"/>
              <w:rPr>
                <w:b/>
                <w:bCs/>
                <w:sz w:val="18"/>
                <w:szCs w:val="18"/>
              </w:rPr>
            </w:pPr>
            <w:r>
              <w:rPr>
                <w:b/>
                <w:bCs/>
                <w:color w:val="FFFFFF"/>
                <w:sz w:val="18"/>
                <w:szCs w:val="18"/>
              </w:rPr>
              <w:t>MOTIVO</w:t>
            </w:r>
          </w:p>
        </w:tc>
        <w:tc>
          <w:tcPr>
            <w:tcW w:w="1999" w:type="dxa"/>
            <w:tcBorders/>
            <w:shd w:color="auto" w:fill="312E81" w:val="clear"/>
            <w:vAlign w:val="center"/>
          </w:tcPr>
          <w:p>
            <w:pPr>
              <w:pStyle w:val="Normal"/>
              <w:jc w:val="center"/>
              <w:rPr>
                <w:b/>
                <w:bCs/>
                <w:sz w:val="18"/>
                <w:szCs w:val="18"/>
              </w:rPr>
            </w:pPr>
            <w:r>
              <w:rPr>
                <w:b/>
                <w:bCs/>
                <w:color w:val="FFFFFF"/>
                <w:sz w:val="18"/>
                <w:szCs w:val="18"/>
              </w:rPr>
              <w:t>HOJAS REVISADAS</w:t>
            </w:r>
          </w:p>
        </w:tc>
      </w:tr>
      <w:tr>
        <w:trPr/>
        <w:tc>
          <w:tcPr>
            <w:tcW w:w="1500" w:type="dxa"/>
            <w:tcBorders/>
            <w:vAlign w:val="center"/>
          </w:tcPr>
          <w:p>
            <w:pPr>
              <w:pStyle w:val="Normal"/>
              <w:jc w:val="center"/>
              <w:rPr/>
            </w:pPr>
            <w:r>
              <w:rPr/>
              <w:t>1.0</w:t>
            </w:r>
          </w:p>
        </w:tc>
        <w:tc>
          <w:tcPr>
            <w:tcW w:w="2499" w:type="dxa"/>
            <w:tcBorders/>
            <w:vAlign w:val="center"/>
          </w:tcPr>
          <w:p>
            <w:pPr>
              <w:pStyle w:val="Normal"/>
              <w:jc w:val="center"/>
              <w:rPr/>
            </w:pPr>
            <w:r>
              <w:rPr/>
            </w:r>
          </w:p>
        </w:tc>
        <w:tc>
          <w:tcPr>
            <w:tcW w:w="3001" w:type="dxa"/>
            <w:tcBorders/>
            <w:vAlign w:val="center"/>
          </w:tcPr>
          <w:p>
            <w:pPr>
              <w:pStyle w:val="Normal"/>
              <w:jc w:val="center"/>
              <w:rPr/>
            </w:pPr>
            <w:r>
              <w:rPr/>
            </w:r>
          </w:p>
        </w:tc>
        <w:tc>
          <w:tcPr>
            <w:tcW w:w="1999" w:type="dxa"/>
            <w:tcBorders/>
            <w:vAlign w:val="center"/>
          </w:tcPr>
          <w:p>
            <w:pPr>
              <w:pStyle w:val="Normal"/>
              <w:jc w:val="center"/>
              <w:rPr/>
            </w:pPr>
            <w:r>
              <w:rPr/>
            </w:r>
          </w:p>
        </w:tc>
      </w:tr>
      <w:tr>
        <w:trPr/>
        <w:tc>
          <w:tcPr>
            <w:tcW w:w="1500" w:type="dxa"/>
            <w:tcBorders/>
            <w:vAlign w:val="center"/>
          </w:tcPr>
          <w:p>
            <w:pPr>
              <w:pStyle w:val="Normal"/>
              <w:jc w:val="center"/>
              <w:rPr/>
            </w:pPr>
            <w:r>
              <w:rPr/>
            </w:r>
          </w:p>
        </w:tc>
        <w:tc>
          <w:tcPr>
            <w:tcW w:w="2499" w:type="dxa"/>
            <w:tcBorders/>
            <w:vAlign w:val="center"/>
          </w:tcPr>
          <w:p>
            <w:pPr>
              <w:pStyle w:val="Normal"/>
              <w:jc w:val="center"/>
              <w:rPr/>
            </w:pPr>
            <w:r>
              <w:rPr/>
            </w:r>
          </w:p>
        </w:tc>
        <w:tc>
          <w:tcPr>
            <w:tcW w:w="3001" w:type="dxa"/>
            <w:tcBorders/>
            <w:vAlign w:val="center"/>
          </w:tcPr>
          <w:p>
            <w:pPr>
              <w:pStyle w:val="Normal"/>
              <w:jc w:val="center"/>
              <w:rPr/>
            </w:pPr>
            <w:r>
              <w:rPr/>
            </w:r>
          </w:p>
        </w:tc>
        <w:tc>
          <w:tcPr>
            <w:tcW w:w="1999" w:type="dxa"/>
            <w:tcBorders/>
            <w:vAlign w:val="center"/>
          </w:tcPr>
          <w:p>
            <w:pPr>
              <w:pStyle w:val="Normal"/>
              <w:jc w:val="center"/>
              <w:rPr/>
            </w:pPr>
            <w:r>
              <w:rPr/>
            </w:r>
          </w:p>
        </w:tc>
      </w:tr>
    </w:tbl>
    <w:p>
      <w:pPr>
        <w:pStyle w:val="Normal"/>
        <w:rPr/>
      </w:pPr>
      <w:r>
        <w:rPr/>
      </w:r>
    </w:p>
    <w:sdt>
      <w:sdtPr>
        <w:docPartObj>
          <w:docPartGallery w:val="Table of Contents"/>
          <w:docPartUnique w:val="true"/>
        </w:docPartObj>
      </w:sdtPr>
      <w:sdtContent>
        <w:p>
          <w:pPr>
            <w:pStyle w:val="TOCHeading"/>
            <w:spacing w:before="0" w:after="0"/>
            <w:rPr>
              <w:rFonts w:ascii="Helvetica Neue Light" w:hAnsi="Helvetica Neue Light"/>
              <w:b w:val="false"/>
              <w:bCs w:val="false"/>
              <w:color w:val="312E81"/>
              <w:sz w:val="18"/>
              <w:szCs w:val="18"/>
            </w:rPr>
          </w:pPr>
          <w:r>
            <w:br w:type="page"/>
          </w:r>
          <w:r>
            <w:rPr>
              <w:rFonts w:ascii="Helvetica Neue Light" w:hAnsi="Helvetica Neue Light"/>
              <w:b w:val="false"/>
              <w:bCs w:val="false"/>
              <w:color w:val="312E81"/>
              <w:sz w:val="18"/>
              <w:szCs w:val="18"/>
              <w:lang w:val="es-ES"/>
            </w:rPr>
            <w:t>Tabla de contenido</w:t>
          </w:r>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r>
            <w:fldChar w:fldCharType="begin"/>
          </w:r>
          <w:r>
            <w:rPr>
              <w:webHidden/>
              <w:rStyle w:val="Enlacedelndice"/>
              <w:i w:val="false"/>
              <w:b w:val="false"/>
              <w:iCs w:val="false"/>
              <w:bCs w:val="false"/>
              <w:rFonts w:ascii="Helvetica Neue Light" w:hAnsi="Helvetica Neue Light"/>
            </w:rPr>
            <w:instrText xml:space="preserve"> TOC \z \o "1-3" \u \h</w:instrText>
          </w:r>
          <w:r>
            <w:rPr>
              <w:webHidden/>
              <w:rStyle w:val="Enlacedelndice"/>
              <w:i w:val="false"/>
              <w:b w:val="false"/>
              <w:iCs w:val="false"/>
              <w:bCs w:val="false"/>
              <w:rFonts w:ascii="Helvetica Neue Light" w:hAnsi="Helvetica Neue Light"/>
            </w:rPr>
            <w:fldChar w:fldCharType="separate"/>
          </w:r>
          <w:hyperlink w:anchor="_Toc230532592">
            <w:r>
              <w:rPr>
                <w:webHidden/>
                <w:rStyle w:val="Enlacedelndice"/>
                <w:rFonts w:ascii="Helvetica Neue Light" w:hAnsi="Helvetica Neue Light"/>
                <w:b w:val="false"/>
                <w:bCs w:val="false"/>
                <w:i w:val="false"/>
                <w:iCs w:val="false"/>
              </w:rPr>
              <w:t>1. Definiciones y Abreviaciones</w:t>
            </w:r>
            <w:r>
              <w:rPr>
                <w:webHidden/>
              </w:rPr>
              <w:fldChar w:fldCharType="begin"/>
            </w:r>
            <w:r>
              <w:rPr>
                <w:webHidden/>
              </w:rPr>
              <w:instrText xml:space="preserve">PAGEREF _Toc230532592 \h</w:instrText>
            </w:r>
            <w:r>
              <w:rPr>
                <w:webHidden/>
              </w:rPr>
              <w:fldChar w:fldCharType="separate"/>
            </w:r>
            <w:r>
              <w:rPr>
                <w:rStyle w:val="Enlacedelndice"/>
                <w:rFonts w:ascii="Helvetica Neue Light" w:hAnsi="Helvetica Neue Light"/>
                <w:b w:val="false"/>
                <w:bCs w:val="false"/>
                <w:i w:val="false"/>
                <w:iCs w:val="false"/>
                <w:vanish w:val="false"/>
              </w:rPr>
              <w:tab/>
              <w:t>5</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593">
            <w:r>
              <w:rPr>
                <w:webHidden/>
                <w:rStyle w:val="Enlacedelndice"/>
                <w:rFonts w:ascii="Helvetica Neue Light" w:hAnsi="Helvetica Neue Light"/>
                <w:b w:val="false"/>
                <w:bCs w:val="false"/>
                <w:i w:val="false"/>
                <w:iCs w:val="false"/>
              </w:rPr>
              <w:t>2. OBJETIVO</w:t>
            </w:r>
            <w:r>
              <w:rPr>
                <w:webHidden/>
              </w:rPr>
              <w:fldChar w:fldCharType="begin"/>
            </w:r>
            <w:r>
              <w:rPr>
                <w:webHidden/>
              </w:rPr>
              <w:instrText xml:space="preserve">PAGEREF _Toc230532593 \h</w:instrText>
            </w:r>
            <w:r>
              <w:rPr>
                <w:webHidden/>
              </w:rPr>
              <w:fldChar w:fldCharType="separate"/>
            </w:r>
            <w:r>
              <w:rPr>
                <w:rStyle w:val="Enlacedelndice"/>
                <w:rFonts w:ascii="Helvetica Neue Light" w:hAnsi="Helvetica Neue Light"/>
                <w:b w:val="false"/>
                <w:bCs w:val="false"/>
                <w:i w:val="false"/>
                <w:iCs w:val="false"/>
                <w:vanish w:val="false"/>
              </w:rPr>
              <w:tab/>
              <w:t>7</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594">
            <w:r>
              <w:rPr>
                <w:webHidden/>
                <w:rStyle w:val="Enlacedelndice"/>
                <w:rFonts w:ascii="Helvetica Neue Light" w:hAnsi="Helvetica Neue Light"/>
                <w:b w:val="false"/>
                <w:bCs w:val="false"/>
                <w:i w:val="false"/>
                <w:iCs w:val="false"/>
              </w:rPr>
              <w:t>3. ALCANCE</w:t>
            </w:r>
            <w:r>
              <w:rPr>
                <w:webHidden/>
              </w:rPr>
              <w:fldChar w:fldCharType="begin"/>
            </w:r>
            <w:r>
              <w:rPr>
                <w:webHidden/>
              </w:rPr>
              <w:instrText xml:space="preserve">PAGEREF _Toc230532594 \h</w:instrText>
            </w:r>
            <w:r>
              <w:rPr>
                <w:webHidden/>
              </w:rPr>
              <w:fldChar w:fldCharType="separate"/>
            </w:r>
            <w:r>
              <w:rPr>
                <w:rStyle w:val="Enlacedelndice"/>
                <w:rFonts w:ascii="Helvetica Neue Light" w:hAnsi="Helvetica Neue Light"/>
                <w:b w:val="false"/>
                <w:bCs w:val="false"/>
                <w:i w:val="false"/>
                <w:iCs w:val="false"/>
                <w:vanish w:val="false"/>
              </w:rPr>
              <w:tab/>
              <w:t>7</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595">
            <w:r>
              <w:rPr>
                <w:webHidden/>
                <w:rStyle w:val="Enlacedelndice"/>
                <w:rFonts w:ascii="Helvetica Neue Light" w:hAnsi="Helvetica Neue Light"/>
                <w:b w:val="false"/>
                <w:bCs w:val="false"/>
              </w:rPr>
              <w:t>Configuracion del Proyecto</w:t>
            </w:r>
            <w:r>
              <w:rPr>
                <w:webHidden/>
              </w:rPr>
              <w:fldChar w:fldCharType="begin"/>
            </w:r>
            <w:r>
              <w:rPr>
                <w:webHidden/>
              </w:rPr>
              <w:instrText xml:space="preserve">PAGEREF _Toc230532595 \h</w:instrText>
            </w:r>
            <w:r>
              <w:rPr>
                <w:webHidden/>
              </w:rPr>
              <w:fldChar w:fldCharType="separate"/>
            </w:r>
            <w:r>
              <w:rPr>
                <w:rStyle w:val="Enlacedelndice"/>
                <w:rFonts w:ascii="Helvetica Neue Light" w:hAnsi="Helvetica Neue Light"/>
                <w:b w:val="false"/>
                <w:bCs w:val="false"/>
                <w:vanish w:val="false"/>
              </w:rPr>
              <w:tab/>
              <w:t>8</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596">
            <w:r>
              <w:rPr>
                <w:webHidden/>
                <w:rStyle w:val="Enlacedelndice"/>
                <w:rFonts w:ascii="Helvetica Neue Light" w:hAnsi="Helvetica Neue Light"/>
                <w:b w:val="false"/>
                <w:bCs w:val="false"/>
                <w:i w:val="false"/>
                <w:iCs w:val="false"/>
              </w:rPr>
              <w:t>3. Pruebas por Central Eléctrica</w:t>
            </w:r>
            <w:r>
              <w:rPr>
                <w:webHidden/>
              </w:rPr>
              <w:fldChar w:fldCharType="begin"/>
            </w:r>
            <w:r>
              <w:rPr>
                <w:webHidden/>
              </w:rPr>
              <w:instrText xml:space="preserve">PAGEREF _Toc230532596 \h</w:instrText>
            </w:r>
            <w:r>
              <w:rPr>
                <w:webHidden/>
              </w:rPr>
              <w:fldChar w:fldCharType="separate"/>
            </w:r>
            <w:r>
              <w:rPr>
                <w:rStyle w:val="Enlacedelndice"/>
                <w:rFonts w:ascii="Helvetica Neue Light" w:hAnsi="Helvetica Neue Light"/>
                <w:b w:val="false"/>
                <w:bCs w:val="false"/>
                <w:i w:val="false"/>
                <w:iCs w:val="false"/>
                <w:vanish w:val="false"/>
              </w:rPr>
              <w:tab/>
              <w:t>10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597">
            <w:r>
              <w:rPr>
                <w:webHidden/>
                <w:rStyle w:val="Enlacedelndice"/>
                <w:rFonts w:ascii="Helvetica Neue Light" w:hAnsi="Helvetica Neue Light"/>
                <w:b w:val="false"/>
                <w:bCs w:val="false"/>
              </w:rPr>
              <w:t>3.1. Prueba 1 - Razón de cambio 2.5 Hz/s</w:t>
            </w:r>
            <w:r>
              <w:rPr>
                <w:webHidden/>
              </w:rPr>
              <w:fldChar w:fldCharType="begin"/>
            </w:r>
            <w:r>
              <w:rPr>
                <w:webHidden/>
              </w:rPr>
              <w:instrText xml:space="preserve">PAGEREF _Toc230532597 \h</w:instrText>
            </w:r>
            <w:r>
              <w:rPr>
                <w:webHidden/>
              </w:rPr>
              <w:fldChar w:fldCharType="separate"/>
            </w:r>
            <w:r>
              <w:rPr>
                <w:rStyle w:val="Enlacedelndice"/>
                <w:rFonts w:ascii="Helvetica Neue Light" w:hAnsi="Helvetica Neue Light"/>
                <w:b w:val="false"/>
                <w:bCs w:val="false"/>
                <w:vanish w:val="false"/>
              </w:rPr>
              <w:tab/>
              <w:t>11</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598">
            <w:r>
              <w:rPr>
                <w:webHidden/>
                <w:rStyle w:val="Enlacedelndice"/>
                <w:rFonts w:ascii="Helvetica Neue Light" w:hAnsi="Helvetica Neue Light"/>
                <w:b w:val="false"/>
                <w:bCs w:val="false"/>
              </w:rPr>
              <w:t>3.2. Prueba 2 - Rango de Frecuencia</w:t>
            </w:r>
            <w:r>
              <w:rPr>
                <w:webHidden/>
              </w:rPr>
              <w:fldChar w:fldCharType="begin"/>
            </w:r>
            <w:r>
              <w:rPr>
                <w:webHidden/>
              </w:rPr>
              <w:instrText xml:space="preserve">PAGEREF _Toc230532598 \h</w:instrText>
            </w:r>
            <w:r>
              <w:rPr>
                <w:webHidden/>
              </w:rPr>
              <w:fldChar w:fldCharType="separate"/>
            </w:r>
            <w:r>
              <w:rPr>
                <w:rStyle w:val="Enlacedelndice"/>
                <w:rFonts w:ascii="Helvetica Neue Light" w:hAnsi="Helvetica Neue Light"/>
                <w:b w:val="false"/>
                <w:bCs w:val="false"/>
                <w:vanish w:val="false"/>
              </w:rPr>
              <w:tab/>
              <w:t>14</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599">
            <w:r>
              <w:rPr>
                <w:webHidden/>
                <w:rStyle w:val="Enlacedelndice"/>
                <w:rFonts w:ascii="Helvetica Neue Light" w:hAnsi="Helvetica Neue Light"/>
                <w:b w:val="false"/>
                <w:bCs w:val="false"/>
              </w:rPr>
              <w:t>3.3. Prueba 3 - Limitación Total de Potencia Activa</w:t>
            </w:r>
            <w:r>
              <w:rPr>
                <w:webHidden/>
              </w:rPr>
              <w:fldChar w:fldCharType="begin"/>
            </w:r>
            <w:r>
              <w:rPr>
                <w:webHidden/>
              </w:rPr>
              <w:instrText xml:space="preserve">PAGEREF _Toc230532599 \h</w:instrText>
            </w:r>
            <w:r>
              <w:rPr>
                <w:webHidden/>
              </w:rPr>
              <w:fldChar w:fldCharType="separate"/>
            </w:r>
            <w:r>
              <w:rPr>
                <w:rStyle w:val="Enlacedelndice"/>
                <w:rFonts w:ascii="Helvetica Neue Light" w:hAnsi="Helvetica Neue Light"/>
                <w:b w:val="false"/>
                <w:bCs w:val="false"/>
                <w:vanish w:val="false"/>
              </w:rPr>
              <w:tab/>
              <w:t>17</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0">
            <w:r>
              <w:rPr>
                <w:webHidden/>
                <w:rStyle w:val="Enlacedelndice"/>
                <w:rFonts w:ascii="Helvetica Neue Light" w:hAnsi="Helvetica Neue Light"/>
                <w:b w:val="false"/>
                <w:bCs w:val="false"/>
              </w:rPr>
              <w:t>3.4. Prueba 4 - Reconexión Automática</w:t>
            </w:r>
            <w:r>
              <w:rPr>
                <w:webHidden/>
              </w:rPr>
              <w:fldChar w:fldCharType="begin"/>
            </w:r>
            <w:r>
              <w:rPr>
                <w:webHidden/>
              </w:rPr>
              <w:instrText xml:space="preserve">PAGEREF _Toc230532600 \h</w:instrText>
            </w:r>
            <w:r>
              <w:rPr>
                <w:webHidden/>
              </w:rPr>
              <w:fldChar w:fldCharType="separate"/>
            </w:r>
            <w:r>
              <w:rPr>
                <w:rStyle w:val="Enlacedelndice"/>
                <w:rFonts w:ascii="Helvetica Neue Light" w:hAnsi="Helvetica Neue Light"/>
                <w:b w:val="false"/>
                <w:bCs w:val="false"/>
                <w:vanish w:val="false"/>
              </w:rPr>
              <w:tab/>
              <w:t>20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1">
            <w:r>
              <w:rPr>
                <w:webHidden/>
                <w:rStyle w:val="Enlacedelndice"/>
                <w:rFonts w:ascii="Helvetica Neue Light" w:hAnsi="Helvetica Neue Light"/>
                <w:b w:val="false"/>
                <w:bCs w:val="false"/>
              </w:rPr>
              <w:t>3.5. Prueba 5 - Limitación Parcial de Potencia Activa</w:t>
            </w:r>
            <w:r>
              <w:rPr>
                <w:webHidden/>
              </w:rPr>
              <w:fldChar w:fldCharType="begin"/>
            </w:r>
            <w:r>
              <w:rPr>
                <w:webHidden/>
              </w:rPr>
              <w:instrText xml:space="preserve">PAGEREF _Toc230532601 \h</w:instrText>
            </w:r>
            <w:r>
              <w:rPr>
                <w:webHidden/>
              </w:rPr>
              <w:fldChar w:fldCharType="separate"/>
            </w:r>
            <w:r>
              <w:rPr>
                <w:rStyle w:val="Enlacedelndice"/>
                <w:rFonts w:ascii="Helvetica Neue Light" w:hAnsi="Helvetica Neue Light"/>
                <w:b w:val="false"/>
                <w:bCs w:val="false"/>
                <w:vanish w:val="false"/>
              </w:rPr>
              <w:tab/>
              <w:t>22</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2">
            <w:r>
              <w:rPr>
                <w:webHidden/>
                <w:rStyle w:val="Enlacedelndice"/>
                <w:rFonts w:ascii="Helvetica Neue Light" w:hAnsi="Helvetica Neue Light"/>
                <w:b w:val="false"/>
                <w:bCs w:val="false"/>
              </w:rPr>
              <w:t>3.6. Prueba 6 - Control Primario de Frecuencia</w:t>
            </w:r>
            <w:r>
              <w:rPr>
                <w:webHidden/>
              </w:rPr>
              <w:fldChar w:fldCharType="begin"/>
            </w:r>
            <w:r>
              <w:rPr>
                <w:webHidden/>
              </w:rPr>
              <w:instrText xml:space="preserve">PAGEREF _Toc230532602 \h</w:instrText>
            </w:r>
            <w:r>
              <w:rPr>
                <w:webHidden/>
              </w:rPr>
              <w:fldChar w:fldCharType="separate"/>
            </w:r>
            <w:r>
              <w:rPr>
                <w:rStyle w:val="Enlacedelndice"/>
                <w:rFonts w:ascii="Helvetica Neue Light" w:hAnsi="Helvetica Neue Light"/>
                <w:b w:val="false"/>
                <w:bCs w:val="false"/>
                <w:vanish w:val="false"/>
              </w:rPr>
              <w:tab/>
              <w:t>24</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3">
            <w:r>
              <w:rPr>
                <w:webHidden/>
                <w:rStyle w:val="Enlacedelndice"/>
                <w:rFonts w:ascii="Helvetica Neue Light" w:hAnsi="Helvetica Neue Light"/>
                <w:b w:val="false"/>
                <w:bCs w:val="false"/>
              </w:rPr>
              <w:t>3.7. Prueba 7 - Control Secundario de Frecuencia</w:t>
            </w:r>
            <w:r>
              <w:rPr>
                <w:webHidden/>
              </w:rPr>
              <w:fldChar w:fldCharType="begin"/>
            </w:r>
            <w:r>
              <w:rPr>
                <w:webHidden/>
              </w:rPr>
              <w:instrText xml:space="preserve">PAGEREF _Toc230532603 \h</w:instrText>
            </w:r>
            <w:r>
              <w:rPr>
                <w:webHidden/>
              </w:rPr>
              <w:fldChar w:fldCharType="separate"/>
            </w:r>
            <w:r>
              <w:rPr>
                <w:rStyle w:val="Enlacedelndice"/>
                <w:rFonts w:ascii="Helvetica Neue Light" w:hAnsi="Helvetica Neue Light"/>
                <w:b w:val="false"/>
                <w:bCs w:val="false"/>
                <w:vanish w:val="false"/>
              </w:rPr>
              <w:tab/>
              <w:t>26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4">
            <w:r>
              <w:rPr>
                <w:webHidden/>
                <w:rStyle w:val="Enlacedelndice"/>
                <w:rFonts w:ascii="Helvetica Neue Light" w:hAnsi="Helvetica Neue Light"/>
                <w:b w:val="false"/>
                <w:bCs w:val="false"/>
              </w:rPr>
              <w:t>3.8. Prueba 8 - Rango de Tensión en el Punto de Interconexión (no aplica)</w:t>
            </w:r>
            <w:r>
              <w:rPr>
                <w:webHidden/>
              </w:rPr>
              <w:fldChar w:fldCharType="begin"/>
            </w:r>
            <w:r>
              <w:rPr>
                <w:webHidden/>
              </w:rPr>
              <w:instrText xml:space="preserve">PAGEREF _Toc230532604 \h</w:instrText>
            </w:r>
            <w:r>
              <w:rPr>
                <w:webHidden/>
              </w:rPr>
              <w:fldChar w:fldCharType="separate"/>
            </w:r>
            <w:r>
              <w:rPr>
                <w:rStyle w:val="Enlacedelndice"/>
                <w:rFonts w:ascii="Helvetica Neue Light" w:hAnsi="Helvetica Neue Light"/>
                <w:b w:val="false"/>
                <w:bCs w:val="false"/>
                <w:vanish w:val="false"/>
              </w:rPr>
              <w:tab/>
              <w:t>27</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5">
            <w:r>
              <w:rPr>
                <w:webHidden/>
                <w:rStyle w:val="Enlacedelndice"/>
                <w:rFonts w:ascii="Helvetica Neue Light" w:hAnsi="Helvetica Neue Light"/>
                <w:b w:val="false"/>
                <w:bCs w:val="false"/>
              </w:rPr>
              <w:t>3.9. Prueba 9 - Rango de Tensión en el Punto de Interconexión</w:t>
            </w:r>
            <w:r>
              <w:rPr>
                <w:webHidden/>
              </w:rPr>
              <w:fldChar w:fldCharType="begin"/>
            </w:r>
            <w:r>
              <w:rPr>
                <w:webHidden/>
              </w:rPr>
              <w:instrText xml:space="preserve">PAGEREF _Toc230532605 \h</w:instrText>
            </w:r>
            <w:r>
              <w:rPr>
                <w:webHidden/>
              </w:rPr>
              <w:fldChar w:fldCharType="separate"/>
            </w:r>
            <w:r>
              <w:rPr>
                <w:rStyle w:val="Enlacedelndice"/>
                <w:rFonts w:ascii="Helvetica Neue Light" w:hAnsi="Helvetica Neue Light"/>
                <w:b w:val="false"/>
                <w:bCs w:val="false"/>
                <w:vanish w:val="false"/>
              </w:rPr>
              <w:tab/>
              <w:t>27</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6">
            <w:r>
              <w:rPr>
                <w:webHidden/>
                <w:rStyle w:val="Enlacedelndice"/>
                <w:rFonts w:ascii="Helvetica Neue Light" w:hAnsi="Helvetica Neue Light"/>
                <w:b w:val="false"/>
                <w:bCs w:val="false"/>
              </w:rPr>
              <w:t>3.10. Prueba 10 - Capacidad de Potencia Reactiva</w:t>
            </w:r>
            <w:r>
              <w:rPr>
                <w:webHidden/>
              </w:rPr>
              <w:fldChar w:fldCharType="begin"/>
            </w:r>
            <w:r>
              <w:rPr>
                <w:webHidden/>
              </w:rPr>
              <w:instrText xml:space="preserve">PAGEREF _Toc230532606 \h</w:instrText>
            </w:r>
            <w:r>
              <w:rPr>
                <w:webHidden/>
              </w:rPr>
              <w:fldChar w:fldCharType="separate"/>
            </w:r>
            <w:r>
              <w:rPr>
                <w:rStyle w:val="Enlacedelndice"/>
                <w:rFonts w:ascii="Helvetica Neue Light" w:hAnsi="Helvetica Neue Light"/>
                <w:b w:val="false"/>
                <w:bCs w:val="false"/>
                <w:vanish w:val="false"/>
              </w:rPr>
              <w:tab/>
              <w:t>30</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7">
            <w:r>
              <w:rPr>
                <w:webHidden/>
                <w:rStyle w:val="Enlacedelndice"/>
                <w:rFonts w:ascii="Helvetica Neue Light" w:hAnsi="Helvetica Neue Light"/>
                <w:b w:val="false"/>
                <w:bCs w:val="false"/>
              </w:rPr>
              <w:t>3.11. Prueba 11 - Capacidad de Potencia Reactiva a Potencia Máxima (no aplica)</w:t>
            </w:r>
            <w:r>
              <w:rPr>
                <w:webHidden/>
              </w:rPr>
              <w:fldChar w:fldCharType="begin"/>
            </w:r>
            <w:r>
              <w:rPr>
                <w:webHidden/>
              </w:rPr>
              <w:instrText xml:space="preserve">PAGEREF _Toc230532607 \h</w:instrText>
            </w:r>
            <w:r>
              <w:rPr>
                <w:webHidden/>
              </w:rPr>
              <w:fldChar w:fldCharType="separate"/>
            </w:r>
            <w:r>
              <w:rPr>
                <w:rStyle w:val="Enlacedelndice"/>
                <w:rFonts w:ascii="Helvetica Neue Light" w:hAnsi="Helvetica Neue Light"/>
                <w:b w:val="false"/>
                <w:bCs w:val="false"/>
                <w:vanish w:val="false"/>
              </w:rPr>
              <w:tab/>
              <w:t>33</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8">
            <w:r>
              <w:rPr>
                <w:webHidden/>
                <w:rStyle w:val="Enlacedelndice"/>
                <w:rFonts w:ascii="Helvetica Neue Light" w:hAnsi="Helvetica Neue Light"/>
                <w:b w:val="false"/>
                <w:bCs w:val="false"/>
              </w:rPr>
              <w:t>3.12. Prueba 12 - Capacidad de Potencia Reactiva Debajo de Potencia Máxima (no aplica)</w:t>
            </w:r>
            <w:r>
              <w:rPr>
                <w:webHidden/>
              </w:rPr>
              <w:fldChar w:fldCharType="begin"/>
            </w:r>
            <w:r>
              <w:rPr>
                <w:webHidden/>
              </w:rPr>
              <w:instrText xml:space="preserve">PAGEREF _Toc230532608 \h</w:instrText>
            </w:r>
            <w:r>
              <w:rPr>
                <w:webHidden/>
              </w:rPr>
              <w:fldChar w:fldCharType="separate"/>
            </w:r>
            <w:r>
              <w:rPr>
                <w:rStyle w:val="Enlacedelndice"/>
                <w:rFonts w:ascii="Helvetica Neue Light" w:hAnsi="Helvetica Neue Light"/>
                <w:b w:val="false"/>
                <w:bCs w:val="false"/>
                <w:vanish w:val="false"/>
              </w:rPr>
              <w:tab/>
              <w:t>33</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09">
            <w:r>
              <w:rPr>
                <w:webHidden/>
                <w:rStyle w:val="Enlacedelndice"/>
                <w:rFonts w:ascii="Helvetica Neue Light" w:hAnsi="Helvetica Neue Light"/>
                <w:b w:val="false"/>
                <w:bCs w:val="false"/>
              </w:rPr>
              <w:t>3.13. Prueba 13 - Sistema de Control de Tensión</w:t>
            </w:r>
            <w:r>
              <w:rPr>
                <w:webHidden/>
              </w:rPr>
              <w:fldChar w:fldCharType="begin"/>
            </w:r>
            <w:r>
              <w:rPr>
                <w:webHidden/>
              </w:rPr>
              <w:instrText xml:space="preserve">PAGEREF _Toc230532609 \h</w:instrText>
            </w:r>
            <w:r>
              <w:rPr>
                <w:webHidden/>
              </w:rPr>
              <w:fldChar w:fldCharType="separate"/>
            </w:r>
            <w:r>
              <w:rPr>
                <w:rStyle w:val="Enlacedelndice"/>
                <w:rFonts w:ascii="Helvetica Neue Light" w:hAnsi="Helvetica Neue Light"/>
                <w:b w:val="false"/>
                <w:bCs w:val="false"/>
                <w:vanish w:val="false"/>
              </w:rPr>
              <w:tab/>
              <w:t>33</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10">
            <w:r>
              <w:rPr>
                <w:webHidden/>
                <w:rStyle w:val="Enlacedelndice"/>
                <w:rFonts w:ascii="Helvetica Neue Light" w:hAnsi="Helvetica Neue Light"/>
                <w:b w:val="false"/>
                <w:bCs w:val="false"/>
              </w:rPr>
              <w:t>3.14. Prueba 14 - Control de Tensión en Condiciones Dinámicas o de Falla</w:t>
            </w:r>
            <w:r>
              <w:rPr>
                <w:webHidden/>
              </w:rPr>
              <w:fldChar w:fldCharType="begin"/>
            </w:r>
            <w:r>
              <w:rPr>
                <w:webHidden/>
              </w:rPr>
              <w:instrText xml:space="preserve">PAGEREF _Toc230532610 \h</w:instrText>
            </w:r>
            <w:r>
              <w:rPr>
                <w:webHidden/>
              </w:rPr>
              <w:fldChar w:fldCharType="separate"/>
            </w:r>
            <w:r>
              <w:rPr>
                <w:rStyle w:val="Enlacedelndice"/>
                <w:rFonts w:ascii="Helvetica Neue Light" w:hAnsi="Helvetica Neue Light"/>
                <w:b w:val="false"/>
                <w:bCs w:val="false"/>
                <w:vanish w:val="false"/>
              </w:rPr>
              <w:tab/>
              <w:t>36</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11">
            <w:r>
              <w:rPr>
                <w:webHidden/>
                <w:rStyle w:val="Enlacedelndice"/>
                <w:rFonts w:ascii="Helvetica Neue Light" w:hAnsi="Helvetica Neue Light"/>
                <w:b w:val="false"/>
                <w:bCs w:val="false"/>
              </w:rPr>
              <w:t>3.15. Prueba 15 - Arranque de Emergencia (opcional, no aplica)</w:t>
            </w:r>
            <w:r>
              <w:rPr>
                <w:webHidden/>
              </w:rPr>
              <w:fldChar w:fldCharType="begin"/>
            </w:r>
            <w:r>
              <w:rPr>
                <w:webHidden/>
              </w:rPr>
              <w:instrText xml:space="preserve">PAGEREF _Toc230532611 \h</w:instrText>
            </w:r>
            <w:r>
              <w:rPr>
                <w:webHidden/>
              </w:rPr>
              <w:fldChar w:fldCharType="separate"/>
            </w:r>
            <w:r>
              <w:rPr>
                <w:rStyle w:val="Enlacedelndice"/>
                <w:rFonts w:ascii="Helvetica Neue Light" w:hAnsi="Helvetica Neue Light"/>
                <w:b w:val="false"/>
                <w:bCs w:val="false"/>
                <w:vanish w:val="false"/>
              </w:rPr>
              <w:tab/>
              <w:t>39</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12">
            <w:r>
              <w:rPr>
                <w:webHidden/>
                <w:rStyle w:val="Enlacedelndice"/>
                <w:rFonts w:ascii="Helvetica Neue Light" w:hAnsi="Helvetica Neue Light"/>
                <w:b w:val="false"/>
                <w:bCs w:val="false"/>
              </w:rPr>
              <w:t>3.16. Prueba 16 - Operación en Modo Isla (no aplica)</w:t>
            </w:r>
            <w:r>
              <w:rPr>
                <w:webHidden/>
              </w:rPr>
              <w:fldChar w:fldCharType="begin"/>
            </w:r>
            <w:r>
              <w:rPr>
                <w:webHidden/>
              </w:rPr>
              <w:instrText xml:space="preserve">PAGEREF _Toc230532612 \h</w:instrText>
            </w:r>
            <w:r>
              <w:rPr>
                <w:webHidden/>
              </w:rPr>
              <w:fldChar w:fldCharType="separate"/>
            </w:r>
            <w:r>
              <w:rPr>
                <w:rStyle w:val="Enlacedelndice"/>
                <w:rFonts w:ascii="Helvetica Neue Light" w:hAnsi="Helvetica Neue Light"/>
                <w:b w:val="false"/>
                <w:bCs w:val="false"/>
                <w:vanish w:val="false"/>
              </w:rPr>
              <w:tab/>
              <w:t>39</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13">
            <w:r>
              <w:rPr>
                <w:webHidden/>
                <w:rStyle w:val="Enlacedelndice"/>
                <w:rFonts w:ascii="Helvetica Neue Light" w:hAnsi="Helvetica Neue Light"/>
                <w:b w:val="false"/>
                <w:bCs w:val="false"/>
              </w:rPr>
              <w:t>3.17. Prueba 17 - Resincronización Rápida (no aplica)</w:t>
            </w:r>
            <w:r>
              <w:rPr>
                <w:webHidden/>
              </w:rPr>
              <w:fldChar w:fldCharType="begin"/>
            </w:r>
            <w:r>
              <w:rPr>
                <w:webHidden/>
              </w:rPr>
              <w:instrText xml:space="preserve">PAGEREF _Toc230532613 \h</w:instrText>
            </w:r>
            <w:r>
              <w:rPr>
                <w:webHidden/>
              </w:rPr>
              <w:fldChar w:fldCharType="separate"/>
            </w:r>
            <w:r>
              <w:rPr>
                <w:rStyle w:val="Enlacedelndice"/>
                <w:rFonts w:ascii="Helvetica Neue Light" w:hAnsi="Helvetica Neue Light"/>
                <w:b w:val="false"/>
                <w:bCs w:val="false"/>
                <w:vanish w:val="false"/>
              </w:rPr>
              <w:tab/>
              <w:t>39</w:t>
            </w:r>
            <w:r>
              <w:rPr>
                <w:webHidden/>
              </w:rPr>
              <w:fldChar w:fldCharType="end"/>
            </w:r>
          </w:hyperlink>
        </w:p>
        <w:p>
          <w:pPr>
            <w:pStyle w:val="TOC2"/>
            <w:tabs>
              <w:tab w:val="clear" w:pos="708"/>
              <w:tab w:val="right" w:pos="9350" w:leader="none"/>
            </w:tabs>
            <w:rPr>
              <w:rFonts w:ascii="Helvetica Neue Light" w:hAnsi="Helvetica Neue Light" w:eastAsia="" w:cs="" w:cstheme="minorBidi" w:eastAsiaTheme="minorEastAsia"/>
              <w:b w:val="false"/>
              <w:bCs w:val="false"/>
              <w:kern w:val="2"/>
              <w:sz w:val="24"/>
              <w:szCs w:val="24"/>
              <w:lang w:val="es-MX"/>
              <w14:ligatures w14:val="standardContextual"/>
            </w:rPr>
          </w:pPr>
          <w:hyperlink w:anchor="_Toc230532614">
            <w:r>
              <w:rPr>
                <w:webHidden/>
                <w:rStyle w:val="Enlacedelndice"/>
                <w:rFonts w:ascii="Helvetica Neue Light" w:hAnsi="Helvetica Neue Light"/>
                <w:b w:val="false"/>
                <w:bCs w:val="false"/>
              </w:rPr>
              <w:t>3.18. Prueba 18 - Requerimientos Generales de Administración del Sistema</w:t>
            </w:r>
            <w:r>
              <w:rPr>
                <w:webHidden/>
              </w:rPr>
              <w:fldChar w:fldCharType="begin"/>
            </w:r>
            <w:r>
              <w:rPr>
                <w:webHidden/>
              </w:rPr>
              <w:instrText xml:space="preserve">PAGEREF _Toc230532614 \h</w:instrText>
            </w:r>
            <w:r>
              <w:rPr>
                <w:webHidden/>
              </w:rPr>
              <w:fldChar w:fldCharType="separate"/>
            </w:r>
            <w:r>
              <w:rPr>
                <w:rStyle w:val="Enlacedelndice"/>
                <w:rFonts w:ascii="Helvetica Neue Light" w:hAnsi="Helvetica Neue Light"/>
                <w:b w:val="false"/>
                <w:bCs w:val="false"/>
                <w:vanish w:val="false"/>
              </w:rPr>
              <w:tab/>
              <w:t>40</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15">
            <w:r>
              <w:rPr>
                <w:webHidden/>
                <w:rStyle w:val="Enlacedelndice"/>
                <w:rFonts w:ascii="Helvetica Neue Light" w:hAnsi="Helvetica Neue Light"/>
              </w:rPr>
              <w:t>Esquemas de control y ajustes</w:t>
            </w:r>
            <w:r>
              <w:rPr>
                <w:webHidden/>
              </w:rPr>
              <w:fldChar w:fldCharType="begin"/>
            </w:r>
            <w:r>
              <w:rPr>
                <w:webHidden/>
              </w:rPr>
              <w:instrText xml:space="preserve">PAGEREF _Toc230532615 \h</w:instrText>
            </w:r>
            <w:r>
              <w:rPr>
                <w:webHidden/>
              </w:rPr>
              <w:fldChar w:fldCharType="separate"/>
            </w:r>
            <w:r>
              <w:rPr>
                <w:rStyle w:val="Enlacedelndice"/>
                <w:rFonts w:ascii="Helvetica Neue Light" w:hAnsi="Helvetica Neue Light"/>
                <w:vanish w:val="false"/>
              </w:rPr>
              <w:tab/>
              <w:t>41</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16">
            <w:r>
              <w:rPr>
                <w:webHidden/>
                <w:rStyle w:val="Enlacedelndice"/>
                <w:rFonts w:ascii="Helvetica Neue Light" w:hAnsi="Helvetica Neue Light"/>
              </w:rPr>
              <w:t>Esquemas de protección y ajustes</w:t>
            </w:r>
            <w:r>
              <w:rPr>
                <w:webHidden/>
              </w:rPr>
              <w:fldChar w:fldCharType="begin"/>
            </w:r>
            <w:r>
              <w:rPr>
                <w:webHidden/>
              </w:rPr>
              <w:instrText xml:space="preserve">PAGEREF _Toc230532616 \h</w:instrText>
            </w:r>
            <w:r>
              <w:rPr>
                <w:webHidden/>
              </w:rPr>
              <w:fldChar w:fldCharType="separate"/>
            </w:r>
            <w:r>
              <w:rPr>
                <w:rStyle w:val="Enlacedelndice"/>
                <w:rFonts w:ascii="Helvetica Neue Light" w:hAnsi="Helvetica Neue Light"/>
                <w:vanish w:val="false"/>
              </w:rPr>
              <w:tab/>
              <w:t>41</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17">
            <w:r>
              <w:rPr>
                <w:webHidden/>
                <w:rStyle w:val="Enlacedelndice"/>
                <w:rFonts w:ascii="Helvetica Neue Light" w:hAnsi="Helvetica Neue Light"/>
              </w:rPr>
              <w:t>Prioridad de protección y control</w:t>
            </w:r>
            <w:r>
              <w:rPr>
                <w:webHidden/>
              </w:rPr>
              <w:fldChar w:fldCharType="begin"/>
            </w:r>
            <w:r>
              <w:rPr>
                <w:webHidden/>
              </w:rPr>
              <w:instrText xml:space="preserve">PAGEREF _Toc230532617 \h</w:instrText>
            </w:r>
            <w:r>
              <w:rPr>
                <w:webHidden/>
              </w:rPr>
              <w:fldChar w:fldCharType="separate"/>
            </w:r>
            <w:r>
              <w:rPr>
                <w:rStyle w:val="Enlacedelndice"/>
                <w:rFonts w:ascii="Helvetica Neue Light" w:hAnsi="Helvetica Neue Light"/>
                <w:vanish w:val="false"/>
              </w:rPr>
              <w:tab/>
              <w:t>42</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18">
            <w:r>
              <w:rPr>
                <w:webHidden/>
                <w:rStyle w:val="Enlacedelndice"/>
                <w:rFonts w:ascii="Helvetica Neue Light" w:hAnsi="Helvetica Neue Light"/>
              </w:rPr>
              <w:t>Intercambio de información</w:t>
            </w:r>
            <w:r>
              <w:rPr>
                <w:webHidden/>
              </w:rPr>
              <w:fldChar w:fldCharType="begin"/>
            </w:r>
            <w:r>
              <w:rPr>
                <w:webHidden/>
              </w:rPr>
              <w:instrText xml:space="preserve">PAGEREF _Toc230532618 \h</w:instrText>
            </w:r>
            <w:r>
              <w:rPr>
                <w:webHidden/>
              </w:rPr>
              <w:fldChar w:fldCharType="separate"/>
            </w:r>
            <w:r>
              <w:rPr>
                <w:rStyle w:val="Enlacedelndice"/>
                <w:rFonts w:ascii="Helvetica Neue Light" w:hAnsi="Helvetica Neue Light"/>
                <w:vanish w:val="false"/>
              </w:rPr>
              <w:tab/>
              <w:t>42</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19">
            <w:r>
              <w:rPr>
                <w:webHidden/>
                <w:rStyle w:val="Enlacedelndice"/>
                <w:rFonts w:ascii="Helvetica Neue Light" w:hAnsi="Helvetica Neue Light"/>
              </w:rPr>
              <w:t>Instrumentación para Centrales Eléctricas</w:t>
            </w:r>
            <w:r>
              <w:rPr>
                <w:webHidden/>
              </w:rPr>
              <w:fldChar w:fldCharType="begin"/>
            </w:r>
            <w:r>
              <w:rPr>
                <w:webHidden/>
              </w:rPr>
              <w:instrText xml:space="preserve">PAGEREF _Toc230532619 \h</w:instrText>
            </w:r>
            <w:r>
              <w:rPr>
                <w:webHidden/>
              </w:rPr>
              <w:fldChar w:fldCharType="separate"/>
            </w:r>
            <w:r>
              <w:rPr>
                <w:rStyle w:val="Enlacedelndice"/>
                <w:rFonts w:ascii="Helvetica Neue Light" w:hAnsi="Helvetica Neue Light"/>
                <w:vanish w:val="false"/>
              </w:rPr>
              <w:tab/>
              <w:t>42</w:t>
            </w:r>
            <w:r>
              <w:rPr>
                <w:webHidden/>
              </w:rPr>
              <w:fldChar w:fldCharType="end"/>
            </w:r>
          </w:hyperlink>
        </w:p>
        <w:p>
          <w:pPr>
            <w:pStyle w:val="TOC3"/>
            <w:tabs>
              <w:tab w:val="clear" w:pos="708"/>
              <w:tab w:val="right" w:pos="9350" w:leader="none"/>
            </w:tabs>
            <w:rPr>
              <w:rFonts w:ascii="Helvetica Neue Light" w:hAnsi="Helvetica Neue Light" w:eastAsia="" w:cs="" w:cstheme="minorBidi" w:eastAsiaTheme="minorEastAsia"/>
              <w:kern w:val="2"/>
              <w:sz w:val="24"/>
              <w:szCs w:val="24"/>
              <w:lang w:val="es-MX"/>
              <w14:ligatures w14:val="standardContextual"/>
            </w:rPr>
          </w:pPr>
          <w:hyperlink w:anchor="_Toc230532620">
            <w:r>
              <w:rPr>
                <w:webHidden/>
                <w:rStyle w:val="Enlacedelndice"/>
                <w:rFonts w:ascii="Helvetica Neue Light" w:hAnsi="Helvetica Neue Light"/>
              </w:rPr>
              <w:t>Modelos de simulación</w:t>
            </w:r>
            <w:r>
              <w:rPr>
                <w:webHidden/>
              </w:rPr>
              <w:fldChar w:fldCharType="begin"/>
            </w:r>
            <w:r>
              <w:rPr>
                <w:webHidden/>
              </w:rPr>
              <w:instrText xml:space="preserve">PAGEREF _Toc230532620 \h</w:instrText>
            </w:r>
            <w:r>
              <w:rPr>
                <w:webHidden/>
              </w:rPr>
              <w:fldChar w:fldCharType="separate"/>
            </w:r>
            <w:r>
              <w:rPr>
                <w:rStyle w:val="Enlacedelndice"/>
                <w:rFonts w:ascii="Helvetica Neue Light" w:hAnsi="Helvetica Neue Light"/>
                <w:vanish w:val="false"/>
              </w:rPr>
              <w:tab/>
              <w:t>43</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621">
            <w:r>
              <w:rPr>
                <w:webHidden/>
                <w:rStyle w:val="Enlacedelndice"/>
                <w:rFonts w:ascii="Helvetica Neue Light" w:hAnsi="Helvetica Neue Light"/>
                <w:b w:val="false"/>
                <w:bCs w:val="false"/>
                <w:i w:val="false"/>
                <w:iCs w:val="false"/>
              </w:rPr>
              <w:t>4. Datos de pruebas</w:t>
            </w:r>
            <w:r>
              <w:rPr>
                <w:webHidden/>
              </w:rPr>
              <w:fldChar w:fldCharType="begin"/>
            </w:r>
            <w:r>
              <w:rPr>
                <w:webHidden/>
              </w:rPr>
              <w:instrText xml:space="preserve">PAGEREF _Toc230532621 \h</w:instrText>
            </w:r>
            <w:r>
              <w:rPr>
                <w:webHidden/>
              </w:rPr>
              <w:fldChar w:fldCharType="separate"/>
            </w:r>
            <w:r>
              <w:rPr>
                <w:rStyle w:val="Enlacedelndice"/>
                <w:rFonts w:ascii="Helvetica Neue Light" w:hAnsi="Helvetica Neue Light"/>
                <w:b w:val="false"/>
                <w:bCs w:val="false"/>
                <w:i w:val="false"/>
                <w:iCs w:val="false"/>
                <w:vanish w:val="false"/>
              </w:rPr>
              <w:tab/>
              <w:t>44</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622">
            <w:r>
              <w:rPr>
                <w:webHidden/>
                <w:rStyle w:val="Enlacedelndice"/>
                <w:rFonts w:ascii="Helvetica Neue Light" w:hAnsi="Helvetica Neue Light"/>
                <w:b w:val="false"/>
                <w:bCs w:val="false"/>
                <w:i w:val="false"/>
                <w:iCs w:val="false"/>
              </w:rPr>
              <w:t>5. Certificados de Calibración de Equipos de Medición</w:t>
            </w:r>
            <w:r>
              <w:rPr>
                <w:webHidden/>
              </w:rPr>
              <w:fldChar w:fldCharType="begin"/>
            </w:r>
            <w:r>
              <w:rPr>
                <w:webHidden/>
              </w:rPr>
              <w:instrText xml:space="preserve">PAGEREF _Toc230532622 \h</w:instrText>
            </w:r>
            <w:r>
              <w:rPr>
                <w:webHidden/>
              </w:rPr>
              <w:fldChar w:fldCharType="separate"/>
            </w:r>
            <w:r>
              <w:rPr>
                <w:rStyle w:val="Enlacedelndice"/>
                <w:rFonts w:ascii="Helvetica Neue Light" w:hAnsi="Helvetica Neue Light"/>
                <w:b w:val="false"/>
                <w:bCs w:val="false"/>
                <w:i w:val="false"/>
                <w:iCs w:val="false"/>
                <w:vanish w:val="false"/>
              </w:rPr>
              <w:tab/>
              <w:t>44</w:t>
            </w:r>
            <w:r>
              <w:rPr>
                <w:webHidden/>
              </w:rPr>
              <w:fldChar w:fldCharType="end"/>
            </w:r>
          </w:hyperlink>
        </w:p>
        <w:p>
          <w:pPr>
            <w:pStyle w:val="TOC1"/>
            <w:tabs>
              <w:tab w:val="clear" w:pos="708"/>
              <w:tab w:val="right" w:pos="9350" w:leader="none"/>
            </w:tabs>
            <w:rPr>
              <w:rFonts w:ascii="Helvetica Neue Light" w:hAnsi="Helvetica Neue Light" w:eastAsia="" w:cs="" w:cstheme="minorBidi" w:eastAsiaTheme="minorEastAsia"/>
              <w:b w:val="false"/>
              <w:bCs w:val="false"/>
              <w:i w:val="false"/>
              <w:i w:val="false"/>
              <w:iCs w:val="false"/>
              <w:kern w:val="2"/>
              <w:lang w:val="es-MX"/>
              <w14:ligatures w14:val="standardContextual"/>
            </w:rPr>
          </w:pPr>
          <w:hyperlink w:anchor="_Toc230532623">
            <w:r>
              <w:rPr>
                <w:webHidden/>
                <w:rStyle w:val="Enlacedelndice"/>
                <w:rFonts w:ascii="Helvetica Neue Light" w:hAnsi="Helvetica Neue Light"/>
                <w:b w:val="false"/>
                <w:bCs w:val="false"/>
                <w:i w:val="false"/>
                <w:iCs w:val="false"/>
              </w:rPr>
              <w:t>6. Referencias</w:t>
            </w:r>
            <w:r>
              <w:rPr>
                <w:webHidden/>
              </w:rPr>
              <w:fldChar w:fldCharType="begin"/>
            </w:r>
            <w:r>
              <w:rPr>
                <w:webHidden/>
              </w:rPr>
              <w:instrText xml:space="preserve">PAGEREF _Toc230532623 \h</w:instrText>
            </w:r>
            <w:r>
              <w:rPr>
                <w:webHidden/>
              </w:rPr>
              <w:fldChar w:fldCharType="separate"/>
            </w:r>
            <w:r>
              <w:rPr>
                <w:rStyle w:val="Enlacedelndice"/>
                <w:rFonts w:ascii="Helvetica Neue Light" w:hAnsi="Helvetica Neue Light"/>
                <w:b w:val="false"/>
                <w:bCs w:val="false"/>
                <w:i w:val="false"/>
                <w:iCs w:val="false"/>
                <w:vanish w:val="false"/>
              </w:rPr>
              <w:tab/>
              <w:t>44</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30532592"/>
      <w:r>
        <w:rPr/>
        <w:t>1. Definiciones y Abreviaciones</w:t>
      </w:r>
      <w:bookmarkEnd w:id="0"/>
    </w:p>
    <w:p>
      <w:pPr>
        <w:pStyle w:val="Normal"/>
        <w:spacing w:before="160" w:after="80"/>
        <w:rPr>
          <w:rFonts w:ascii="Montserrat Medium" w:hAnsi="Montserrat Medium"/>
        </w:rPr>
      </w:pPr>
      <w:r>
        <w:rPr>
          <w:rFonts w:ascii="Montserrat Medium" w:hAnsi="Montserrat Medium"/>
          <w:color w:val="312E81"/>
        </w:rPr>
        <w:t>Tabla 1.1: Definiciones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34" w:footer="708" w:bottom="1440"/>
          <w:pgNumType w:fmt="decimal"/>
          <w:formProt w:val="false"/>
          <w:titlePg/>
          <w:textDirection w:val="lrTb"/>
          <w:docGrid w:type="default" w:linePitch="360" w:charSpace="0"/>
        </w:sectPr>
      </w:pPr>
    </w:p>
    <w:tbl>
      <w:tblPr>
        <w:tblW w:w="4248" w:type="dxa"/>
        <w:jc w:val="center"/>
        <w:tblInd w:w="0" w:type="dxa"/>
        <w:tblLayout w:type="fixed"/>
        <w:tblCellMar>
          <w:top w:w="100" w:type="dxa"/>
          <w:left w:w="120" w:type="dxa"/>
          <w:bottom w:w="100" w:type="dxa"/>
          <w:right w:w="120" w:type="dxa"/>
        </w:tblCellMar>
        <w:tblLook w:firstRow="0" w:noVBand="0" w:lastRow="0" w:firstColumn="0" w:lastColumn="0" w:noHBand="0" w:val="0000"/>
      </w:tblPr>
      <w:tblGrid>
        <w:gridCol w:w="1129"/>
        <w:gridCol w:w="3118"/>
      </w:tblGrid>
      <w:tr>
        <w:trPr>
          <w:tblHeader w:val="true"/>
          <w:trHeight w:val="425" w:hRule="atLeast"/>
        </w:trPr>
        <w:tc>
          <w:tcPr>
            <w:tcW w:w="112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b/>
                <w:bCs/>
              </w:rPr>
            </w:pPr>
            <w:r>
              <w:rPr>
                <w:b/>
                <w:bCs/>
                <w:color w:val="FFFFFF"/>
              </w:rPr>
              <w:t>Término</w:t>
            </w:r>
          </w:p>
        </w:tc>
        <w:tc>
          <w:tcPr>
            <w:tcW w:w="3118"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b/>
                <w:bCs/>
              </w:rPr>
            </w:pPr>
            <w:r>
              <w:rPr>
                <w:b/>
                <w:bCs/>
                <w:color w:val="FFFFFF"/>
              </w:rPr>
              <w:t>Definición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Un</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Activa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Q</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Reactiva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Aparente</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Sn</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Aparente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Velocidad del rotor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Pnom</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Activa nominal</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Pmax</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Potencia Activa Máxima declarada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Frecuencia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tr</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Tiempo de respuesta</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ts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Tiempo de estabilización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SP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Sobrepaso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Vg</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 de generador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Ig</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Corriente de generador</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 de campo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If</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Corriente de campo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Vgsp</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Consigna de voltaje de generador (setpoint)</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ε</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Constante de amortiguamiento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Vaux</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 de auxiliares</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Vbus</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Voltaje en el bus de alta tensión</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%CRc</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Constante de regulación del compensador de reactivos calculado</w:t>
            </w:r>
          </w:p>
        </w:tc>
      </w:tr>
      <w:tr>
        <w:trPr/>
        <w:tc>
          <w:tcPr>
            <w:tcW w:w="1129" w:type="dxa"/>
            <w:tcBorders>
              <w:top w:val="single" w:sz="4" w:space="0" w:color="BFBFBF"/>
              <w:left w:val="single" w:sz="4" w:space="0" w:color="BFBFBF"/>
              <w:bottom w:val="single" w:sz="4" w:space="0" w:color="BFBFBF"/>
              <w:right w:val="single" w:sz="4" w:space="0" w:color="BFBFBF"/>
            </w:tcBorders>
            <w:vAlign w:val="center"/>
          </w:tcPr>
          <w:p>
            <w:pPr>
              <w:pStyle w:val="Normal"/>
              <w:jc w:val="center"/>
              <w:rPr>
                <w:b/>
                <w:bCs/>
                <w:sz w:val="20"/>
                <w:szCs w:val="20"/>
              </w:rPr>
            </w:pPr>
            <w:r>
              <w:rPr>
                <w:b/>
                <w:bCs/>
                <w:sz w:val="20"/>
                <w:szCs w:val="20"/>
              </w:rPr>
              <w:t>%CRd</w:t>
            </w:r>
          </w:p>
        </w:tc>
        <w:tc>
          <w:tcPr>
            <w:tcW w:w="3118"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Constante de regulación de compensador de reactivos programado en el regulador de tensión</w:t>
            </w:r>
          </w:p>
        </w:tc>
      </w:tr>
    </w:tbl>
    <w:p>
      <w:pPr>
        <w:sectPr>
          <w:type w:val="continuous"/>
          <w:pgSz w:w="12240" w:h="15840"/>
          <w:pgMar w:left="1440" w:right="1440" w:gutter="0" w:header="708" w:top="1434" w:footer="708" w:bottom="1440"/>
          <w:cols w:num="2" w:space="720" w:equalWidth="true" w:sep="false"/>
          <w:formProt w:val="false"/>
          <w:titlePg/>
          <w:textDirection w:val="lrTb"/>
          <w:docGrid w:type="default" w:linePitch="360" w:charSpace="0"/>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160" w:after="80"/>
        <w:rPr>
          <w:rFonts w:ascii="Montserrat Medium" w:hAnsi="Montserrat Medium"/>
          <w:color w:val="312E81"/>
        </w:rPr>
      </w:pPr>
      <w:r>
        <w:rPr>
          <w:rFonts w:ascii="Montserrat Medium" w:hAnsi="Montserrat Medium"/>
          <w:color w:val="312E81"/>
        </w:rPr>
        <w:t>Tabla 1.2: Abreviaciones</w:t>
      </w:r>
    </w:p>
    <w:tbl>
      <w:tblPr>
        <w:tblW w:w="900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1293"/>
        <w:gridCol w:w="7706"/>
      </w:tblGrid>
      <w:tr>
        <w:trPr>
          <w:tblHeader w:val="true"/>
        </w:trPr>
        <w:tc>
          <w:tcPr>
            <w:tcW w:w="1293"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sz w:val="21"/>
                <w:szCs w:val="21"/>
              </w:rPr>
            </w:pPr>
            <w:r>
              <w:rPr>
                <w:b/>
                <w:bCs/>
                <w:color w:val="FFFFFF"/>
                <w:sz w:val="21"/>
                <w:szCs w:val="21"/>
              </w:rPr>
              <w:t>Abreviación</w:t>
            </w:r>
          </w:p>
        </w:tc>
        <w:tc>
          <w:tcPr>
            <w:tcW w:w="7706"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sz w:val="21"/>
                <w:szCs w:val="21"/>
              </w:rPr>
            </w:pPr>
            <w:r>
              <w:rPr>
                <w:b/>
                <w:bCs/>
                <w:color w:val="FFFFFF"/>
                <w:sz w:val="21"/>
                <w:szCs w:val="21"/>
              </w:rPr>
              <w:t>Término completo / Descripción</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LIE</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Ley de la Industria Eléctrica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CENACE</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Centro Nacional de Control de Energía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CNE</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Comisión Nacional de Energía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SIN</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Sistema Interconectado Nacional</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PSS</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Sistema estabilizador de potencia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POD</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Amortiguador de Oscilaciones de Potencia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AFS</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Amortiguamiento Fuera de Servicio = (p3f − p0f) / (p1f − p0f)</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AES</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Amortiguamiento En Servicio = (p3d − p0d) / (p1d − p0d)</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MEL</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Limitador de mínima excitación</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OEL</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Limitador de máxima excitación</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AVR</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Regulador Automático de Voltaje</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AGC</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Controlador Automático de Generación</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F.P.</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Factor de Potencia</w:t>
            </w:r>
          </w:p>
        </w:tc>
      </w:tr>
      <w:tr>
        <w:trPr/>
        <w:tc>
          <w:tcPr>
            <w:tcW w:w="1293"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UCE</w:t>
            </w:r>
          </w:p>
        </w:tc>
        <w:tc>
          <w:tcPr>
            <w:tcW w:w="7706" w:type="dxa"/>
            <w:tcBorders>
              <w:top w:val="single" w:sz="4" w:space="0" w:color="BFBFBF"/>
              <w:left w:val="single" w:sz="4" w:space="0" w:color="BFBFBF"/>
              <w:bottom w:val="single" w:sz="4" w:space="0" w:color="BFBFBF"/>
              <w:right w:val="single" w:sz="4" w:space="0" w:color="BFBFBF"/>
            </w:tcBorders>
            <w:vAlign w:val="center"/>
          </w:tcPr>
          <w:p>
            <w:pPr>
              <w:pStyle w:val="Normal"/>
              <w:jc w:val="center"/>
              <w:rPr>
                <w:sz w:val="21"/>
                <w:szCs w:val="21"/>
              </w:rPr>
            </w:pPr>
            <w:r>
              <w:rPr>
                <w:sz w:val="21"/>
                <w:szCs w:val="21"/>
              </w:rPr>
              <w:t>Unidad de Control de Excitación</w:t>
            </w:r>
          </w:p>
        </w:tc>
      </w:tr>
    </w:tbl>
    <w:p>
      <w:pPr>
        <w:pStyle w:val="Normal"/>
        <w:rPr/>
      </w:pPr>
      <w:r>
        <w:rPr/>
      </w:r>
      <w:r>
        <w:br w:type="page"/>
      </w:r>
    </w:p>
    <w:p>
      <w:pPr>
        <w:pStyle w:val="Heading1"/>
        <w:spacing w:before="0" w:after="200"/>
        <w:rPr/>
      </w:pPr>
      <w:bookmarkStart w:id="1" w:name="_Toc230532593"/>
      <w:r>
        <w:rPr/>
        <w:t>2. OBJETIVO</w:t>
      </w:r>
      <w:bookmarkEnd w:id="1"/>
    </w:p>
    <w:p>
      <w:pPr>
        <w:pStyle w:val="Normal"/>
        <w:spacing w:before="0" w:after="120"/>
        <w:rPr/>
      </w:pPr>
      <w:r>
        <w:rPr/>
        <w:t>El objetivo del presente documento es presentar la metodología, el control, el registro y la documentación asociada a cada una de las Pruebas de Comportamiento aplicables a la Central Eléctrica de Generación en Abasto Aislado CNK Caterpillar y a su Centro de Carga asociado, ubicados en Santa Catarina, Nuevo León, en relación con la actualización de la Demanda Contratada y el proceso correspondiente ante el Centro Nacional de Control de Energía (CENACE).</w:t>
      </w:r>
    </w:p>
    <w:p>
      <w:pPr>
        <w:pStyle w:val="Normal"/>
        <w:spacing w:before="0" w:after="120"/>
        <w:rPr/>
      </w:pPr>
      <w:r>
        <w:rPr/>
        <w:t>La metodología usada para la ejecución de las pruebas se apegó al procedimiento específico creado para la central eléctrica. Este procedimiento a su vez tiene como base los siguientes documentos:</w:t>
      </w:r>
    </w:p>
    <w:p>
      <w:pPr>
        <w:pStyle w:val="ListParagraph"/>
        <w:numPr>
          <w:ilvl w:val="0"/>
          <w:numId w:val="17"/>
        </w:numPr>
        <w:rPr/>
      </w:pPr>
      <w:r>
        <w:rPr/>
        <w:t>Código de red 2.0 publicado el 31 de diciembre del 2021, resolución núm. res/550/2021.</w:t>
      </w:r>
    </w:p>
    <w:p>
      <w:pPr>
        <w:pStyle w:val="ListParagraph"/>
        <w:numPr>
          <w:ilvl w:val="0"/>
          <w:numId w:val="1"/>
        </w:numPr>
        <w:rPr/>
      </w:pPr>
      <w:r>
        <w:rPr/>
        <w:t>Norma mexicana ANCE. Sistemas de control de centrales generadoras – Sistemas de excitación estáticos controlados por tiristores para generador síncrono – Especificaciones y pruebas. NMX-J-501-ANCE.</w:t>
      </w:r>
    </w:p>
    <w:p>
      <w:pPr>
        <w:pStyle w:val="ListParagraph"/>
        <w:numPr>
          <w:ilvl w:val="0"/>
          <w:numId w:val="1"/>
        </w:numPr>
        <w:rPr/>
      </w:pPr>
      <w:r>
        <w:rPr/>
        <w:t>Manual Regulatorio de Coordinación Operativa y Procedimiento de operación para la declaración de entrada en operación comercial de centrales eléctricas y centros de carga. Resolución 02/2019.</w:t>
      </w:r>
    </w:p>
    <w:p>
      <w:pPr>
        <w:pStyle w:val="Normal"/>
        <w:rPr/>
      </w:pPr>
      <w:r>
        <w:rPr/>
      </w:r>
    </w:p>
    <w:p>
      <w:pPr>
        <w:pStyle w:val="Heading1"/>
        <w:rPr/>
      </w:pPr>
      <w:bookmarkStart w:id="2" w:name="_Toc230532594"/>
      <w:r>
        <w:rPr/>
        <w:t>3. ALCANCE</w:t>
      </w:r>
      <w:bookmarkEnd w:id="2"/>
    </w:p>
    <w:p>
      <w:pPr>
        <w:pStyle w:val="Normal"/>
        <w:rPr/>
      </w:pPr>
      <w:r>
        <w:rPr/>
        <w:t>Dentro de los alcances de las Pruebas de Comportamiento se consideran tanto las pruebas a nivel unidad, como todas aquellas pruebas necesarias en función de la topología de la Central Eléctrica y del Centro de Carga, así como también de su modo de operación ante el Mercado Eléctrico Mayorista.</w:t>
      </w:r>
    </w:p>
    <w:p>
      <w:pPr>
        <w:pStyle w:val="Normal"/>
        <w:rPr/>
      </w:pPr>
      <w:r>
        <w:rPr/>
      </w:r>
    </w:p>
    <w:p>
      <w:pPr>
        <w:pStyle w:val="Normal"/>
        <w:rPr/>
      </w:pPr>
      <w:r>
        <w:rPr/>
        <w:t>Respecto a las pruebas por unidad, estas serán realizadas a unidades representativas de cada tipo, asumiendo que las respuestas obtenidas de las pruebas de desempeño aplicadas, se mantendrán sin cambios significativos en el resto de unidades que no han sido sometidas a las pruebas; esto, partiendo de la premisa de que las características físicas de diseño de las unidades síncronas y los ajustes de los controles son iguales para el conjunto completo (unidades bajo prueba y no probadas).</w:t>
      </w:r>
    </w:p>
    <w:p>
      <w:pPr>
        <w:pStyle w:val="Normal"/>
        <w:spacing w:lineRule="auto" w:line="240"/>
        <w:jc w:val="left"/>
        <w:rPr/>
      </w:pPr>
      <w:r>
        <w:rPr/>
      </w:r>
      <w:r>
        <w:br w:type="page"/>
      </w:r>
    </w:p>
    <w:p>
      <w:pPr>
        <w:pStyle w:val="Normal"/>
        <w:spacing w:before="0" w:after="0"/>
        <w:rPr/>
      </w:pPr>
      <w:r>
        <w:rPr/>
      </w:r>
    </w:p>
    <w:p>
      <w:pPr>
        <w:pStyle w:val="Normal"/>
        <w:rPr/>
      </w:pPr>
      <w:r>
        <w:rPr/>
        <w:t>Por su parte, dado que dentro de los modos de operación de la Central Eléctrica y el Centro de Carga si se encuentra la inyección de energía eléctrica en el Punto de Interconexión, el presente reporte documenta el cumplimiento de las pruebas por Central Eléctrica/Centro de Carga bajo los siguientes escenarios de operación:</w:t>
      </w:r>
    </w:p>
    <w:p>
      <w:pPr>
        <w:pStyle w:val="Normal"/>
        <w:rPr/>
      </w:pPr>
      <w:r>
        <w:rPr/>
      </w:r>
    </w:p>
    <w:p>
      <w:pPr>
        <w:pStyle w:val="Normal"/>
        <w:rPr/>
      </w:pPr>
      <w:r>
        <w:rPr/>
        <w:t>Para verificar el cumplimiento de la Central Eléctrica y evitar alguna afectación a la productividad de los productos y servicios del Centro de Carga, se propone lo siguiente:</w:t>
      </w:r>
    </w:p>
    <w:p>
      <w:pPr>
        <w:pStyle w:val="Normal"/>
        <w:rPr/>
      </w:pPr>
      <w:r>
        <w:rPr/>
      </w:r>
    </w:p>
    <w:p>
      <w:pPr>
        <w:pStyle w:val="ListParagraph"/>
        <w:ind w:left="720"/>
        <w:rPr/>
      </w:pPr>
      <w:r>
        <w:rPr/>
        <w:t>a)</w:t>
        <w:tab/>
        <w:t>Escenario 1. Centro de Carga en Operación Normal con Central Eléctrica a Máxima Generación.</w:t>
      </w:r>
    </w:p>
    <w:p>
      <w:pPr>
        <w:pStyle w:val="Normal"/>
        <w:ind w:hanging="360" w:left="720"/>
        <w:rPr/>
      </w:pPr>
      <w:r>
        <w:rPr/>
        <w:t>Asimismo, para verificar el cumplimiento del Centro de Carga, se propone lo siguiente:</w:t>
      </w:r>
    </w:p>
    <w:p>
      <w:pPr>
        <w:pStyle w:val="Normal"/>
        <w:ind w:hanging="360" w:left="720"/>
        <w:rPr/>
      </w:pPr>
      <w:r>
        <w:rPr/>
      </w:r>
    </w:p>
    <w:p>
      <w:pPr>
        <w:pStyle w:val="ListParagraph"/>
        <w:ind w:left="720"/>
        <w:rPr/>
      </w:pPr>
      <w:r>
        <w:rPr/>
        <w:t>b)</w:t>
        <w:tab/>
        <w:t xml:space="preserve">Escenario 2. Centro de Carga a su máxima Demanda Operativa con la Central Eléctrica a mínima Generación. </w:t>
      </w:r>
    </w:p>
    <w:p>
      <w:pPr>
        <w:pStyle w:val="ListParagraph"/>
        <w:ind w:left="720"/>
        <w:rPr/>
      </w:pPr>
      <w:r>
        <w:rPr/>
        <w:t>c)</w:t>
        <w:tab/>
        <w:t>Escenario 3. Centro de Carga en Operación Normal con la Central Eléctrica Fuera.</w:t>
      </w:r>
    </w:p>
    <w:p>
      <w:pPr>
        <w:pStyle w:val="Heading2"/>
        <w:rPr/>
      </w:pPr>
      <w:bookmarkStart w:id="3" w:name="_Toc230532595"/>
      <w:r>
        <w:rPr/>
        <w:t>Configuracion del Proyecto</w:t>
      </w:r>
      <w:bookmarkEnd w:id="3"/>
    </w:p>
    <w:p>
      <w:pPr>
        <w:pStyle w:val="Normal"/>
        <w:spacing w:before="0" w:after="120"/>
        <w:rPr/>
      </w:pPr>
      <w:r>
        <w:rPr/>
        <w:t xml:space="preserve">El proyecto se ubica en Carretera a Villa de García km 4.5, C.P. 66350, en el municipio de Santa Catarina, Estado de Nuevo León. El sistema se encuentra conformado por una Central Eléctrica integrada por </w:t>
      </w:r>
      <w:r>
        <w:rPr>
          <w:b/>
          <w:bCs/>
        </w:rPr>
        <w:t>4 Unidades de Generación con una capacidad de 1.475 MW</w:t>
      </w:r>
      <w:r>
        <w:rPr/>
        <w:t xml:space="preserve"> cada una, respaldadas por el Permiso de Generación de Energía Eléctrica No. E/1529/GEN/2015, para una </w:t>
      </w:r>
      <w:r>
        <w:rPr>
          <w:b/>
          <w:bCs/>
        </w:rPr>
        <w:t>capacidad instalada total de 5.88 MW.</w:t>
      </w:r>
      <w:r>
        <w:rPr/>
        <w:t xml:space="preserve"> Asimismo, se cuenta con un Centro de Carga con una </w:t>
      </w:r>
      <w:r>
        <w:rPr>
          <w:b/>
          <w:bCs/>
        </w:rPr>
        <w:t>Demanda Contratada de 9 MW</w:t>
      </w:r>
      <w:r>
        <w:rPr/>
        <w:t>; adicionalmente, se contempla la actualización de la Demanda Contratada, cuya fecha de entrada en operación comercial correspondiente se encuentra en proceso de confirmación.</w:t>
      </w:r>
    </w:p>
    <w:p>
      <w:pPr>
        <w:pStyle w:val="Normal"/>
        <w:spacing w:before="0" w:after="120"/>
        <w:rPr/>
      </w:pPr>
      <w:r>
        <w:rPr/>
      </w:r>
    </w:p>
    <w:p>
      <w:pPr>
        <w:pStyle w:val="Normal"/>
        <w:spacing w:before="0" w:after="120"/>
        <w:rPr/>
      </w:pPr>
      <w:r>
        <w:rPr/>
        <w:t>En la siguiente figura se muestra el diagrama unifilar simplificado con la topología antes mencionada.</w:t>
      </w:r>
    </w:p>
    <w:p>
      <w:pPr>
        <w:pStyle w:val="Normal"/>
        <w:spacing w:before="0" w:after="120"/>
        <w:rPr/>
      </w:pPr>
      <w:r>
        <w:rPr/>
      </w:r>
    </w:p>
    <w:p>
      <w:pPr>
        <w:pStyle w:val="Normal"/>
        <w:spacing w:before="0" w:after="120"/>
        <w:jc w:val="center"/>
        <w:rPr/>
      </w:pPr>
      <w:commentRangeStart w:id="0"/>
      <w:r>
        <w:rPr/>
        <w:drawing>
          <wp:inline distT="0" distB="0" distL="0" distR="0">
            <wp:extent cx="6142990" cy="666496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8"/>
                    <a:srcRect l="33809" t="21146" r="34542" b="17813"/>
                    <a:stretch>
                      <a:fillRect/>
                    </a:stretch>
                  </pic:blipFill>
                  <pic:spPr bwMode="auto">
                    <a:xfrm>
                      <a:off x="0" y="0"/>
                      <a:ext cx="6142990" cy="6664960"/>
                    </a:xfrm>
                    <a:prstGeom prst="rect">
                      <a:avLst/>
                    </a:prstGeom>
                    <a:noFill/>
                  </pic:spPr>
                </pic:pic>
              </a:graphicData>
            </a:graphic>
          </wp:inline>
        </w:drawing>
      </w:r>
      <w:commentRangeEnd w:id="0"/>
      <w:r>
        <w:commentReference w:id="0"/>
      </w:r>
      <w:r>
        <w:rPr/>
      </w:r>
    </w:p>
    <w:p>
      <w:pPr>
        <w:pStyle w:val="Normal"/>
        <w:jc w:val="center"/>
        <w:rPr>
          <w:sz w:val="20"/>
          <w:szCs w:val="20"/>
        </w:rPr>
      </w:pPr>
      <w:r>
        <w:rPr>
          <w:sz w:val="20"/>
          <w:szCs w:val="20"/>
        </w:rPr>
        <w:t>Figura 1. Diagrama Unifilar</w:t>
      </w:r>
    </w:p>
    <w:p>
      <w:pPr>
        <w:pStyle w:val="Normal"/>
        <w:jc w:val="center"/>
        <w:rPr>
          <w:sz w:val="20"/>
          <w:szCs w:val="20"/>
        </w:rPr>
      </w:pPr>
      <w:r>
        <w:rPr>
          <w:sz w:val="20"/>
          <w:szCs w:val="20"/>
        </w:rPr>
      </w:r>
    </w:p>
    <w:p>
      <w:pPr>
        <w:pStyle w:val="Normal"/>
        <w:rPr/>
      </w:pPr>
      <w:r>
        <w:rPr/>
      </w:r>
    </w:p>
    <w:p>
      <w:pPr>
        <w:pStyle w:val="Normal"/>
        <w:rPr/>
      </w:pPr>
      <w:r>
        <w:rPr/>
      </w:r>
    </w:p>
    <w:p>
      <w:pPr>
        <w:pStyle w:val="Normal"/>
        <w:rPr/>
      </w:pPr>
      <w:r>
        <w:rPr/>
      </w:r>
    </w:p>
    <w:p>
      <w:pPr>
        <w:pStyle w:val="Heading1"/>
        <w:rPr/>
      </w:pPr>
      <w:bookmarkStart w:id="4" w:name="_Toc230532596"/>
      <w:r>
        <w:rPr/>
        <w:t>3. Pruebas por Central Eléctrica</w:t>
      </w:r>
      <w:bookmarkEnd w:id="4"/>
    </w:p>
    <w:p>
      <w:pPr>
        <w:pStyle w:val="Normal"/>
        <w:spacing w:before="0" w:after="120"/>
        <w:rPr/>
      </w:pPr>
      <w:r>
        <w:rPr/>
        <w:t>A continuación, se lista la aplicabilidad de las pruebas, el objetivo, las condiciones de la prueba, el procedimiento, las señales e instrumentación requerida, el criterio de aceptación y los resultados de cada una de las pruebas por central. De conformidad con el Procedimiento de Operación para la Declaración de Entrada en Operación Comercial de Centrales Eléctricas y Centros de Carga (Anexo 5), las pruebas se encuentran clasificadas según el tipo de Central Eléctrica (A, B, C y D).</w:t>
      </w:r>
    </w:p>
    <w:p>
      <w:pPr>
        <w:pStyle w:val="Normal"/>
        <w:spacing w:before="0" w:after="120"/>
        <w:rPr/>
      </w:pPr>
      <w:r>
        <w:rPr/>
      </w:r>
    </w:p>
    <w:p>
      <w:pPr>
        <w:pStyle w:val="Normal"/>
        <w:spacing w:before="0" w:after="120"/>
        <w:rPr/>
      </w:pPr>
      <w:r>
        <w:rPr/>
        <w:t xml:space="preserve">En ese sentido, y considerando que la Central Eléctrica </w:t>
      </w:r>
      <w:r>
        <w:rPr>
          <w:b/>
          <w:bCs/>
        </w:rPr>
        <w:t>CONEK CATERPILLAR</w:t>
      </w:r>
      <w:r>
        <w:rPr/>
        <w:t xml:space="preserve"> corresponde a una </w:t>
      </w:r>
      <w:r>
        <w:rPr>
          <w:b/>
          <w:bCs/>
        </w:rPr>
        <w:t>Central Eléctrica Tipo B</w:t>
      </w:r>
      <w:r>
        <w:rPr/>
        <w:t xml:space="preserve">, únicamente se contemplan, desarrollan y documentan en el presente protocolo aquellas pruebas que el </w:t>
      </w:r>
      <w:r>
        <w:rPr>
          <w:b/>
          <w:bCs/>
        </w:rPr>
        <w:t>Anexo 5 establece como aplicables</w:t>
      </w:r>
      <w:r>
        <w:rPr/>
        <w:t xml:space="preserve"> a Centrales Eléctricas Tipo B.</w:t>
      </w:r>
    </w:p>
    <w:p>
      <w:pPr>
        <w:pStyle w:val="Subtitle"/>
        <w:rPr/>
      </w:pPr>
      <w:r>
        <w:rPr/>
      </w:r>
    </w:p>
    <w:p>
      <w:pPr>
        <w:pStyle w:val="Normal"/>
        <w:spacing w:before="0" w:after="120"/>
        <w:rPr/>
      </w:pPr>
      <w:r>
        <w:rPr/>
      </w:r>
    </w:p>
    <w:tbl>
      <w:tblPr>
        <w:tblW w:w="9498" w:type="dxa"/>
        <w:jc w:val="center"/>
        <w:tblInd w:w="0" w:type="dxa"/>
        <w:tblLayout w:type="fixed"/>
        <w:tblCellMar>
          <w:top w:w="0" w:type="dxa"/>
          <w:left w:w="70" w:type="dxa"/>
          <w:bottom w:w="0" w:type="dxa"/>
          <w:right w:w="70" w:type="dxa"/>
        </w:tblCellMar>
        <w:tblLook w:firstRow="1" w:noVBand="1" w:lastRow="0" w:firstColumn="1" w:lastColumn="0" w:noHBand="0" w:val="04a0"/>
      </w:tblPr>
      <w:tblGrid>
        <w:gridCol w:w="1093"/>
        <w:gridCol w:w="3145"/>
        <w:gridCol w:w="3770"/>
        <w:gridCol w:w="1489"/>
      </w:tblGrid>
      <w:tr>
        <w:trPr>
          <w:tblHeader w:val="true"/>
          <w:trHeight w:val="315" w:hRule="atLeast"/>
        </w:trPr>
        <w:tc>
          <w:tcPr>
            <w:tcW w:w="8008" w:type="dxa"/>
            <w:gridSpan w:val="3"/>
            <w:tcBorders>
              <w:top w:val="single" w:sz="8" w:space="0" w:color="000000"/>
              <w:left w:val="single" w:sz="8" w:space="0" w:color="000000"/>
              <w:bottom w:val="single" w:sz="4" w:space="0" w:color="000000"/>
              <w:right w:val="single" w:sz="4" w:space="0" w:color="000000"/>
            </w:tcBorders>
            <w:vAlign w:val="center"/>
          </w:tcPr>
          <w:p>
            <w:pPr>
              <w:pStyle w:val="Normal"/>
              <w:spacing w:lineRule="auto" w:line="240"/>
              <w:jc w:val="center"/>
              <w:rPr>
                <w:b/>
                <w:bCs/>
              </w:rPr>
            </w:pPr>
            <w:r>
              <w:rPr>
                <w:rFonts w:eastAsia="Times New Roman" w:cs="Aptos" w:ascii="Helvetica Neue Medium" w:hAnsi="Helvetica Neue Medium" w:cstheme="minorHAnsi"/>
                <w:b/>
                <w:bCs/>
                <w:color w:val="312E81"/>
                <w:sz w:val="20"/>
                <w:szCs w:val="20"/>
              </w:rPr>
              <w:t>PRUEBAS CENTRALES ELÉCTRICAS SÍNCRONAS</w:t>
            </w:r>
          </w:p>
        </w:tc>
        <w:tc>
          <w:tcPr>
            <w:tcW w:w="148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b/>
                <w:bCs/>
              </w:rPr>
            </w:pPr>
            <w:r>
              <w:rPr>
                <w:rFonts w:eastAsia="Times New Roman" w:cs="Aptos" w:ascii="Helvetica Neue Medium" w:hAnsi="Helvetica Neue Medium" w:cstheme="minorHAnsi"/>
                <w:b/>
                <w:bCs/>
                <w:color w:val="312E81"/>
                <w:sz w:val="20"/>
                <w:szCs w:val="20"/>
              </w:rPr>
              <w:t>APLICA (SI/NO)</w:t>
            </w:r>
          </w:p>
        </w:tc>
      </w:tr>
      <w:tr>
        <w:trPr>
          <w:tblHeader w:val="true"/>
          <w:trHeight w:val="288"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b/>
                <w:bCs/>
              </w:rPr>
            </w:pPr>
            <w:r>
              <w:rPr>
                <w:rFonts w:eastAsia="Times New Roman" w:cs="Aptos" w:ascii="Helvetica Neue Medium" w:hAnsi="Helvetica Neue Medium" w:cstheme="minorHAnsi"/>
                <w:b/>
                <w:bCs/>
                <w:color w:val="312E81"/>
                <w:sz w:val="20"/>
                <w:szCs w:val="20"/>
              </w:rPr>
              <w:t>Numero</w:t>
            </w:r>
          </w:p>
        </w:tc>
        <w:tc>
          <w:tcPr>
            <w:tcW w:w="3145" w:type="dxa"/>
            <w:tcBorders>
              <w:bottom w:val="single" w:sz="4" w:space="0" w:color="000000"/>
              <w:right w:val="single" w:sz="4" w:space="0" w:color="000000"/>
            </w:tcBorders>
            <w:vAlign w:val="center"/>
          </w:tcPr>
          <w:p>
            <w:pPr>
              <w:pStyle w:val="Normal"/>
              <w:spacing w:lineRule="auto" w:line="240"/>
              <w:jc w:val="center"/>
              <w:rPr>
                <w:b/>
                <w:bCs/>
              </w:rPr>
            </w:pPr>
            <w:r>
              <w:rPr>
                <w:rFonts w:eastAsia="Times New Roman" w:cs="Aptos" w:ascii="Helvetica Neue Medium" w:hAnsi="Helvetica Neue Medium" w:cstheme="minorHAnsi"/>
                <w:b/>
                <w:bCs/>
                <w:color w:val="312E81"/>
                <w:sz w:val="20"/>
                <w:szCs w:val="20"/>
              </w:rPr>
              <w:t>Prueba</w:t>
            </w:r>
          </w:p>
        </w:tc>
        <w:tc>
          <w:tcPr>
            <w:tcW w:w="3770" w:type="dxa"/>
            <w:tcBorders>
              <w:bottom w:val="single" w:sz="4" w:space="0" w:color="000000"/>
            </w:tcBorders>
            <w:vAlign w:val="center"/>
          </w:tcPr>
          <w:p>
            <w:pPr>
              <w:pStyle w:val="Normal"/>
              <w:spacing w:lineRule="auto" w:line="240"/>
              <w:jc w:val="center"/>
              <w:rPr>
                <w:b/>
                <w:bCs/>
              </w:rPr>
            </w:pPr>
            <w:r>
              <w:rPr>
                <w:rFonts w:eastAsia="Times New Roman" w:cs="Aptos" w:ascii="Helvetica Neue Medium" w:hAnsi="Helvetica Neue Medium" w:cstheme="minorHAnsi"/>
                <w:b/>
                <w:bCs/>
                <w:color w:val="312E81"/>
                <w:sz w:val="20"/>
                <w:szCs w:val="20"/>
              </w:rPr>
              <w:t xml:space="preserve">Criterio de aceptación </w:t>
            </w:r>
          </w:p>
        </w:tc>
        <w:tc>
          <w:tcPr>
            <w:tcW w:w="1489" w:type="dxa"/>
            <w:vMerge w:val="continue"/>
            <w:tcBorders>
              <w:left w:val="single" w:sz="8" w:space="0" w:color="000000"/>
              <w:bottom w:val="single" w:sz="8" w:space="0" w:color="000000"/>
              <w:right w:val="single" w:sz="8" w:space="0" w:color="000000"/>
            </w:tcBorders>
            <w:vAlign w:val="center"/>
          </w:tcPr>
          <w:p>
            <w:pPr>
              <w:pStyle w:val="Normal"/>
              <w:spacing w:lineRule="auto" w:line="240"/>
              <w:jc w:val="center"/>
              <w:rPr>
                <w:rFonts w:ascii="Helvetica Neue Medium" w:hAnsi="Helvetica Neue Medium" w:eastAsia="Times New Roman" w:cs="Aptos" w:cstheme="minorHAnsi"/>
                <w:b/>
                <w:bCs/>
                <w:sz w:val="20"/>
                <w:szCs w:val="20"/>
              </w:rPr>
            </w:pPr>
            <w:r>
              <w:rPr>
                <w:rFonts w:eastAsia="Times New Roman" w:cs="Aptos" w:cstheme="minorHAnsi" w:ascii="Helvetica Neue Medium" w:hAnsi="Helvetica Neue Medium"/>
                <w:b/>
                <w:bCs/>
                <w:sz w:val="20"/>
                <w:szCs w:val="20"/>
              </w:rPr>
            </w:r>
          </w:p>
        </w:tc>
      </w:tr>
      <w:tr>
        <w:trPr>
          <w:trHeight w:val="300" w:hRule="atLeast"/>
        </w:trPr>
        <w:tc>
          <w:tcPr>
            <w:tcW w:w="9497" w:type="dxa"/>
            <w:gridSpan w:val="4"/>
            <w:tcBorders>
              <w:top w:val="single" w:sz="4" w:space="0" w:color="000000"/>
              <w:left w:val="single" w:sz="8" w:space="0" w:color="000000"/>
              <w:bottom w:val="single" w:sz="4" w:space="0" w:color="000000"/>
              <w:right w:val="single" w:sz="8" w:space="0" w:color="000000"/>
            </w:tcBorders>
            <w:vAlign w:val="center"/>
          </w:tcPr>
          <w:p>
            <w:pPr>
              <w:pStyle w:val="Normal"/>
              <w:spacing w:lineRule="auto" w:line="240"/>
              <w:jc w:val="center"/>
              <w:rPr/>
            </w:pPr>
            <w:r>
              <w:rPr>
                <w:rFonts w:eastAsia="Times New Roman" w:cs="Aptos" w:ascii="Helvetica Neue Medium" w:hAnsi="Helvetica Neue Medium" w:cstheme="minorHAnsi"/>
                <w:color w:val="312E81"/>
                <w:sz w:val="20"/>
                <w:szCs w:val="20"/>
              </w:rPr>
              <w:t>PRUEBAS POR CENTRAL ELÉCTRICA EN EL PUNTO DE INTERCONEXIÓN</w:t>
            </w:r>
          </w:p>
        </w:tc>
      </w:tr>
      <w:tr>
        <w:trPr>
          <w:trHeight w:val="566" w:hRule="atLeast"/>
        </w:trPr>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b/>
                <w:bCs/>
              </w:rPr>
            </w:pPr>
            <w:r>
              <w:rPr>
                <w:b/>
                <w:bCs/>
              </w:rPr>
              <w:t>21</w:t>
            </w:r>
          </w:p>
        </w:tc>
        <w:tc>
          <w:tcPr>
            <w:tcW w:w="3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t>Razón de cambio 2.5 Hz/s</w:t>
            </w:r>
          </w:p>
        </w:tc>
        <w:tc>
          <w:tcPr>
            <w:tcW w:w="37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t>Permanecer conectada</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t>SI</w:t>
            </w:r>
          </w:p>
        </w:tc>
      </w:tr>
      <w:tr>
        <w:trPr>
          <w:trHeight w:val="1174" w:hRule="atLeast"/>
        </w:trPr>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b/>
                <w:bCs/>
              </w:rPr>
            </w:pPr>
            <w:r>
              <w:rPr>
                <w:b/>
                <w:bCs/>
              </w:rPr>
              <w:t>22</w:t>
            </w:r>
          </w:p>
        </w:tc>
        <w:tc>
          <w:tcPr>
            <w:tcW w:w="3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t>Rango de frecuencia</w:t>
            </w:r>
          </w:p>
        </w:tc>
        <w:tc>
          <w:tcPr>
            <w:tcW w:w="37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18"/>
                <w:szCs w:val="18"/>
              </w:rPr>
            </w:pPr>
            <w:r>
              <w:rPr>
                <w:sz w:val="18"/>
                <w:szCs w:val="18"/>
              </w:rPr>
              <w:t>58.8 = f &lt; 61.2 Hz en operación continua</w:t>
            </w:r>
          </w:p>
          <w:p>
            <w:pPr>
              <w:pStyle w:val="Normal"/>
              <w:spacing w:lineRule="auto" w:line="240"/>
              <w:jc w:val="center"/>
              <w:rPr>
                <w:sz w:val="18"/>
                <w:szCs w:val="18"/>
              </w:rPr>
            </w:pPr>
            <w:r>
              <w:rPr>
                <w:sz w:val="18"/>
                <w:szCs w:val="18"/>
              </w:rPr>
              <w:t>61.2 Hz = f &lt; 61.8 Hz.  30 min</w:t>
            </w:r>
          </w:p>
          <w:p>
            <w:pPr>
              <w:pStyle w:val="Normal"/>
              <w:spacing w:lineRule="auto" w:line="240"/>
              <w:jc w:val="center"/>
              <w:rPr>
                <w:sz w:val="18"/>
                <w:szCs w:val="18"/>
              </w:rPr>
            </w:pPr>
            <w:r>
              <w:rPr>
                <w:sz w:val="18"/>
                <w:szCs w:val="18"/>
              </w:rPr>
              <w:t>58.2 Hz = f &lt; 58.8 Hz.  30min</w:t>
            </w:r>
          </w:p>
          <w:p>
            <w:pPr>
              <w:pStyle w:val="Normal"/>
              <w:spacing w:lineRule="auto" w:line="240"/>
              <w:jc w:val="center"/>
              <w:rPr>
                <w:sz w:val="18"/>
                <w:szCs w:val="18"/>
              </w:rPr>
            </w:pPr>
            <w:r>
              <w:rPr>
                <w:sz w:val="18"/>
                <w:szCs w:val="18"/>
              </w:rPr>
              <w:t>61.8 Hz = f &lt; 63.0 Hz.  15min</w:t>
            </w:r>
          </w:p>
          <w:p>
            <w:pPr>
              <w:pStyle w:val="Normal"/>
              <w:spacing w:lineRule="auto" w:line="240"/>
              <w:jc w:val="center"/>
              <w:rPr>
                <w:rFonts w:eastAsia="Times New Roman" w:cs="Aptos" w:cstheme="minorHAnsi"/>
                <w:sz w:val="18"/>
                <w:szCs w:val="18"/>
                <w:lang w:val="pt-BR"/>
              </w:rPr>
            </w:pPr>
            <w:r>
              <w:rPr>
                <w:sz w:val="18"/>
                <w:szCs w:val="18"/>
              </w:rPr>
              <w:t>57.0 Hz = f &lt; 58.2 Hz.  15min</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Si</w:t>
            </w:r>
          </w:p>
          <w:p>
            <w:pPr>
              <w:pStyle w:val="Normal"/>
              <w:spacing w:lineRule="auto" w:line="240"/>
              <w:jc w:val="center"/>
              <w:rPr>
                <w:rFonts w:eastAsia="Times New Roman" w:cs="Aptos" w:cstheme="minorHAnsi"/>
                <w:sz w:val="18"/>
                <w:szCs w:val="18"/>
              </w:rPr>
            </w:pPr>
            <w:r>
              <w:rPr>
                <w:rFonts w:eastAsia="Times New Roman" w:cs="Aptos" w:cstheme="minorHAnsi"/>
                <w:sz w:val="18"/>
                <w:szCs w:val="18"/>
              </w:rPr>
            </w:r>
          </w:p>
        </w:tc>
      </w:tr>
      <w:tr>
        <w:trPr>
          <w:trHeight w:val="465" w:hRule="atLeast"/>
        </w:trPr>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b/>
                <w:bCs/>
              </w:rPr>
            </w:pPr>
            <w:r>
              <w:rPr>
                <w:b/>
                <w:bCs/>
              </w:rPr>
              <w:t>23</w:t>
            </w:r>
          </w:p>
        </w:tc>
        <w:tc>
          <w:tcPr>
            <w:tcW w:w="3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t xml:space="preserve">Limitación total de potencia activa </w:t>
            </w:r>
          </w:p>
        </w:tc>
        <w:tc>
          <w:tcPr>
            <w:tcW w:w="37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t>Alcanzar consiga &gt; 5 s</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t>SI</w:t>
            </w:r>
          </w:p>
        </w:tc>
      </w:tr>
      <w:tr>
        <w:trPr>
          <w:trHeight w:val="552" w:hRule="atLeast"/>
        </w:trPr>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b/>
                <w:bCs/>
              </w:rPr>
            </w:pPr>
            <w:r>
              <w:rPr>
                <w:rFonts w:ascii="Helvetica Neue" w:hAnsi="Helvetica Neue"/>
                <w:b/>
                <w:bCs/>
                <w:color w:val="000000"/>
                <w:sz w:val="20"/>
                <w:szCs w:val="20"/>
              </w:rPr>
              <w:t>24</w:t>
            </w:r>
          </w:p>
        </w:tc>
        <w:tc>
          <w:tcPr>
            <w:tcW w:w="3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 xml:space="preserve">Reconexión automática </w:t>
            </w:r>
          </w:p>
        </w:tc>
        <w:tc>
          <w:tcPr>
            <w:tcW w:w="37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Frecuencia en el rango de 58.8 a 60.2 Hz y tensión en el rango de ± 10 % del valor nominal al menos durante 5 minutos</w:t>
              <w:br/>
              <w:t>• Una rampa admisible máxima de incremento de potencia de 10 % de la capacidad nominal de la Central Eléctrica por minuto</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ascii="Helvetica Neue" w:hAnsi="Helvetica Neue"/>
                <w:color w:val="000000"/>
                <w:sz w:val="20"/>
                <w:szCs w:val="20"/>
              </w:rPr>
              <w:t>SI</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b/>
                <w:bCs/>
              </w:rPr>
            </w:pPr>
            <w:r>
              <w:rPr>
                <w:b/>
                <w:bCs/>
              </w:rPr>
              <w:t>25</w:t>
            </w:r>
          </w:p>
        </w:tc>
        <w:tc>
          <w:tcPr>
            <w:tcW w:w="3145" w:type="dxa"/>
            <w:tcBorders>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t xml:space="preserve">Limitación parcial de potencia activa </w:t>
            </w:r>
          </w:p>
        </w:tc>
        <w:tc>
          <w:tcPr>
            <w:tcW w:w="3770" w:type="dxa"/>
            <w:tcBorders>
              <w:bottom w:val="single" w:sz="4" w:space="0" w:color="000000"/>
            </w:tcBorders>
            <w:vAlign w:val="center"/>
          </w:tcPr>
          <w:p>
            <w:pPr>
              <w:pStyle w:val="Normal"/>
              <w:spacing w:lineRule="auto" w:line="240"/>
              <w:jc w:val="center"/>
              <w:rPr>
                <w:rFonts w:eastAsia="Times New Roman" w:cs="Aptos" w:cstheme="minorHAnsi"/>
                <w:sz w:val="18"/>
                <w:szCs w:val="18"/>
              </w:rPr>
            </w:pPr>
            <w:r>
              <w:rPr/>
              <w:t>Alcanzar Consigna tiempo y tolerancia definido por CENACE</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b/>
                <w:bCs/>
                <w:sz w:val="20"/>
                <w:szCs w:val="20"/>
              </w:rPr>
            </w:pPr>
            <w:r>
              <w:rPr/>
              <w:t>SI</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b/>
                <w:bCs/>
              </w:rPr>
            </w:pPr>
            <w:r>
              <w:rPr>
                <w:rFonts w:ascii="Helvetica Neue" w:hAnsi="Helvetica Neue"/>
                <w:b/>
                <w:bCs/>
                <w:color w:val="000000"/>
                <w:sz w:val="20"/>
                <w:szCs w:val="20"/>
              </w:rPr>
              <w:t>26</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Control primario de frecuencia</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Control primario de frecuencia Característica de Regulación: 3% - 8%</w:t>
              <w:br/>
              <w:t xml:space="preserve">Se evalúa con la prueba de estatismo. </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968"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27</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Control secundario de frecuencia</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Equipamiento necesario</w:t>
              <w:br/>
              <w:t xml:space="preserve">Monitoreo y señales </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sz w:val="18"/>
                <w:szCs w:val="18"/>
              </w:rPr>
            </w:pPr>
            <w:r>
              <w:rPr>
                <w:rFonts w:ascii="Helvetica Neue" w:hAnsi="Helvetica Neue"/>
                <w:color w:val="BF0041"/>
                <w:sz w:val="18"/>
                <w:szCs w:val="18"/>
              </w:rPr>
              <w:t>No se cuenta con la infraestructura</w:t>
            </w:r>
          </w:p>
        </w:tc>
      </w:tr>
      <w:tr>
        <w:trPr>
          <w:trHeight w:val="675"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28</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Rango de tensión en el punto de interconexión</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0.90 pu &lt; V &lt; 1.10 pu ilimitado</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rPr>
            </w:pPr>
            <w:r>
              <w:rPr>
                <w:rFonts w:ascii="Helvetica Neue" w:hAnsi="Helvetica Neue"/>
                <w:color w:val="BF0041"/>
                <w:sz w:val="20"/>
                <w:szCs w:val="20"/>
              </w:rPr>
              <w:t>No Aplica</w:t>
            </w:r>
          </w:p>
        </w:tc>
      </w:tr>
      <w:tr>
        <w:trPr>
          <w:trHeight w:val="1023"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29</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Rango de tensión en el punto de interconexión</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1.05 pu &lt; V &lt; 1.10 pu 30 min</w:t>
              <w:br/>
              <w:t>0.95 &lt; V &lt; 1.05 pu ilimitado</w:t>
              <w:br/>
              <w:t>0.90 pu &lt; V &lt; 0.95 pu 30 min</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1245"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30</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 xml:space="preserve">Capacidad de potencia reactiva </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 xml:space="preserve">Potencia reactiva para mantener un rango de Fp ±0.95 </w:t>
              <w:br/>
              <w:t>Mantener tensión constante mediante consiga con AVR</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1208"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31</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Capacidad de potencia reactiva a potencia máxima</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Cumplir con el perfil V-Q/PmaxRequerimiento mínimo de Q/Pmáx ≥ 0.33Rango máximo de Q/Pmáx con ± 0.5</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rPr>
            </w:pPr>
            <w:r>
              <w:rPr>
                <w:rFonts w:ascii="Helvetica Neue" w:hAnsi="Helvetica Neue"/>
                <w:color w:val="BF0041"/>
                <w:sz w:val="20"/>
                <w:szCs w:val="20"/>
              </w:rPr>
              <w:t>No Aplica</w:t>
            </w:r>
          </w:p>
        </w:tc>
      </w:tr>
      <w:tr>
        <w:trPr>
          <w:trHeight w:val="728"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32</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Capacidad de potencia reactiva debajo de la potencia máxima</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Operar dentro de la curva de capabilidad P-Q de la central Eléctrica</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rPr>
            </w:pPr>
            <w:r>
              <w:rPr>
                <w:rFonts w:ascii="Helvetica Neue" w:hAnsi="Helvetica Neue"/>
                <w:color w:val="BF0041"/>
                <w:sz w:val="20"/>
                <w:szCs w:val="20"/>
              </w:rPr>
              <w:t>No Aplica</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33</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Sistema de control de tensión</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Se evalúa con pruebas antes mencionada.</w:t>
              <w:br/>
              <w:t>Incluye PSS</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34</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Control de tensión en condiciones dinámicas o de falla</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Evidencia de ajuste de esquemas protecciones para permanecer dentro de la zona permitida.</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149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35</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Arranque de emergencia (opcional)</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 xml:space="preserve">Debe ofrecer regulación de frecuencia y tensión dentro de límites establecidos. </w:t>
              <w:br/>
              <w:t>Funcionar en paralelo dentro de otras centrales.</w:t>
              <w:br/>
              <w:t>Debe tener conexión a Bus Muerto.</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rPr>
            </w:pPr>
            <w:r>
              <w:rPr>
                <w:rFonts w:ascii="Helvetica Neue" w:hAnsi="Helvetica Neue"/>
                <w:color w:val="BF0041"/>
                <w:sz w:val="18"/>
                <w:szCs w:val="18"/>
              </w:rPr>
              <w:t>No se cuenta con la infraestructura</w:t>
            </w:r>
            <w:r>
              <w:rPr>
                <w:rFonts w:ascii="Helvetica Neue" w:hAnsi="Helvetica Neue"/>
                <w:color w:val="BF0041"/>
                <w:sz w:val="20"/>
                <w:szCs w:val="20"/>
              </w:rPr>
              <w:t>.</w:t>
            </w:r>
          </w:p>
        </w:tc>
      </w:tr>
      <w:tr>
        <w:trPr>
          <w:trHeight w:val="84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b/>
                <w:bCs/>
                <w:color w:val="auto"/>
                <w:sz w:val="20"/>
                <w:szCs w:val="20"/>
              </w:rPr>
              <w:t>36</w:t>
            </w:r>
          </w:p>
        </w:tc>
        <w:tc>
          <w:tcPr>
            <w:tcW w:w="3145" w:type="dxa"/>
            <w:tcBorders>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Operación modo isla</w:t>
            </w:r>
          </w:p>
        </w:tc>
        <w:tc>
          <w:tcPr>
            <w:tcW w:w="3770" w:type="dxa"/>
            <w:tcBorders>
              <w:bottom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Verificación y ajustes para operación modo isla.</w:t>
              <w:br/>
              <w:t>Debe tener conexión a Bus Muerto.</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auto"/>
              </w:rPr>
            </w:pPr>
            <w:r>
              <w:rPr>
                <w:rFonts w:ascii="Helvetica Neue" w:hAnsi="Helvetica Neue"/>
                <w:color w:val="auto"/>
                <w:sz w:val="20"/>
                <w:szCs w:val="20"/>
              </w:rPr>
              <w:t>SI</w:t>
            </w:r>
            <w:r>
              <w:rPr>
                <w:rFonts w:ascii="Helvetica Neue" w:hAnsi="Helvetica Neue"/>
                <w:color w:val="auto"/>
                <w:sz w:val="20"/>
                <w:szCs w:val="20"/>
              </w:rPr>
              <w:t>.</w:t>
            </w:r>
          </w:p>
        </w:tc>
      </w:tr>
      <w:tr>
        <w:trPr>
          <w:trHeight w:val="1133"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b/>
                <w:bCs/>
                <w:color w:val="BF0041"/>
                <w:sz w:val="20"/>
                <w:szCs w:val="20"/>
              </w:rPr>
              <w:t>37</w:t>
            </w:r>
          </w:p>
        </w:tc>
        <w:tc>
          <w:tcPr>
            <w:tcW w:w="3145" w:type="dxa"/>
            <w:tcBorders>
              <w:bottom w:val="single" w:sz="4" w:space="0" w:color="000000"/>
              <w:right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Resincronización rápida</w:t>
            </w:r>
          </w:p>
        </w:tc>
        <w:tc>
          <w:tcPr>
            <w:tcW w:w="3770" w:type="dxa"/>
            <w:tcBorders>
              <w:bottom w:val="single" w:sz="4" w:space="0" w:color="000000"/>
            </w:tcBorders>
            <w:vAlign w:val="center"/>
          </w:tcPr>
          <w:p>
            <w:pPr>
              <w:pStyle w:val="Normal"/>
              <w:spacing w:lineRule="auto" w:line="240"/>
              <w:jc w:val="center"/>
              <w:rPr>
                <w:color w:val="BF0041"/>
              </w:rPr>
            </w:pPr>
            <w:r>
              <w:rPr>
                <w:rFonts w:ascii="Helvetica Neue" w:hAnsi="Helvetica Neue"/>
                <w:color w:val="BF0041"/>
                <w:sz w:val="20"/>
                <w:szCs w:val="20"/>
              </w:rPr>
              <w:t>t ≤ 15 minutos</w:t>
              <w:br/>
              <w:t>t &gt; 15 minutos cambia a condición de operación solo alimentado servicios auxiliares o carga local.</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BF0041"/>
              </w:rPr>
            </w:pPr>
            <w:r>
              <w:rPr>
                <w:rFonts w:ascii="Helvetica Neue" w:hAnsi="Helvetica Neue"/>
                <w:color w:val="BF0041"/>
                <w:sz w:val="20"/>
                <w:szCs w:val="20"/>
              </w:rPr>
              <w:t>No Aplica</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38</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 xml:space="preserve">Requerimientos generales de administración del sistema </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 xml:space="preserve">Verificación de: Esquemas de control y ajustes, Esquemas de protección y ajustes, Prioridad de protección y control, </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b/>
                <w:bCs/>
                <w:color w:val="auto"/>
                <w:sz w:val="20"/>
                <w:szCs w:val="20"/>
              </w:rPr>
              <w:t>39</w:t>
            </w:r>
          </w:p>
        </w:tc>
        <w:tc>
          <w:tcPr>
            <w:tcW w:w="3145" w:type="dxa"/>
            <w:tcBorders>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Requerimientos generales de administración del sistema (complemento)</w:t>
            </w:r>
          </w:p>
        </w:tc>
        <w:tc>
          <w:tcPr>
            <w:tcW w:w="3770" w:type="dxa"/>
            <w:tcBorders>
              <w:bottom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Verificación de perdida de estabilidad o control angular, instrumentación, equipos para operación o seguridad de sistema, tasas de cambio de potencia activa y método de aterrizamiento del neutro</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auto"/>
              </w:rPr>
            </w:pPr>
            <w:r>
              <w:rPr>
                <w:rFonts w:ascii="Helvetica Neue" w:hAnsi="Helvetica Neue"/>
                <w:color w:val="auto"/>
                <w:sz w:val="20"/>
                <w:szCs w:val="20"/>
              </w:rPr>
              <w:t>No Aplica</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b/>
                <w:bCs/>
                <w:color w:val="auto"/>
                <w:sz w:val="20"/>
                <w:szCs w:val="20"/>
              </w:rPr>
              <w:t>40</w:t>
            </w:r>
          </w:p>
        </w:tc>
        <w:tc>
          <w:tcPr>
            <w:tcW w:w="3145" w:type="dxa"/>
            <w:tcBorders>
              <w:bottom w:val="single" w:sz="4" w:space="0" w:color="000000"/>
              <w:right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Requerimientos generales de administración del sistema (complemento)</w:t>
            </w:r>
          </w:p>
        </w:tc>
        <w:tc>
          <w:tcPr>
            <w:tcW w:w="3770" w:type="dxa"/>
            <w:tcBorders>
              <w:bottom w:val="single" w:sz="4" w:space="0" w:color="000000"/>
            </w:tcBorders>
            <w:vAlign w:val="center"/>
          </w:tcPr>
          <w:p>
            <w:pPr>
              <w:pStyle w:val="Normal"/>
              <w:spacing w:lineRule="auto" w:line="240"/>
              <w:jc w:val="center"/>
              <w:rPr>
                <w:color w:val="auto"/>
              </w:rPr>
            </w:pPr>
            <w:r>
              <w:rPr>
                <w:rFonts w:ascii="Helvetica Neue" w:hAnsi="Helvetica Neue"/>
                <w:color w:val="auto"/>
                <w:sz w:val="20"/>
                <w:szCs w:val="20"/>
              </w:rPr>
              <w:t>Verificación de configuración de dispositivos de sincronización</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color w:val="auto"/>
              </w:rPr>
            </w:pPr>
            <w:r>
              <w:rPr>
                <w:rFonts w:ascii="Helvetica Neue" w:hAnsi="Helvetica Neue"/>
                <w:color w:val="auto"/>
                <w:sz w:val="20"/>
                <w:szCs w:val="20"/>
              </w:rPr>
              <w:t>No Aplica</w:t>
            </w:r>
          </w:p>
        </w:tc>
      </w:tr>
      <w:tr>
        <w:trPr>
          <w:trHeight w:val="504"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pPr>
            <w:r>
              <w:rPr>
                <w:rFonts w:ascii="Helvetica Neue" w:hAnsi="Helvetica Neue"/>
                <w:b/>
                <w:bCs/>
                <w:color w:val="000000"/>
                <w:sz w:val="20"/>
                <w:szCs w:val="20"/>
              </w:rPr>
              <w:t>41</w:t>
            </w:r>
          </w:p>
        </w:tc>
        <w:tc>
          <w:tcPr>
            <w:tcW w:w="3145" w:type="dxa"/>
            <w:tcBorders>
              <w:bottom w:val="single" w:sz="4" w:space="0" w:color="000000"/>
              <w:right w:val="single" w:sz="4" w:space="0" w:color="000000"/>
            </w:tcBorders>
            <w:vAlign w:val="center"/>
          </w:tcPr>
          <w:p>
            <w:pPr>
              <w:pStyle w:val="Normal"/>
              <w:spacing w:lineRule="auto" w:line="240"/>
              <w:jc w:val="center"/>
              <w:rPr/>
            </w:pPr>
            <w:r>
              <w:rPr>
                <w:rFonts w:ascii="Helvetica Neue" w:hAnsi="Helvetica Neue"/>
                <w:color w:val="000000"/>
                <w:sz w:val="20"/>
                <w:szCs w:val="20"/>
              </w:rPr>
              <w:t xml:space="preserve">Modelos de simulación </w:t>
            </w:r>
          </w:p>
        </w:tc>
        <w:tc>
          <w:tcPr>
            <w:tcW w:w="3770" w:type="dxa"/>
            <w:tcBorders>
              <w:bottom w:val="single" w:sz="4" w:space="0" w:color="000000"/>
            </w:tcBorders>
            <w:vAlign w:val="center"/>
          </w:tcPr>
          <w:p>
            <w:pPr>
              <w:pStyle w:val="Normal"/>
              <w:spacing w:lineRule="auto" w:line="240"/>
              <w:jc w:val="center"/>
              <w:rPr/>
            </w:pPr>
            <w:r>
              <w:rPr>
                <w:rFonts w:ascii="Helvetica Neue" w:hAnsi="Helvetica Neue"/>
                <w:color w:val="000000"/>
                <w:sz w:val="20"/>
                <w:szCs w:val="20"/>
              </w:rPr>
              <w:t>Modelo completo de la central en la versión de software requerida</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pPr>
            <w:r>
              <w:rPr>
                <w:rFonts w:ascii="Helvetica Neue" w:hAnsi="Helvetica Neue"/>
                <w:color w:val="000000"/>
                <w:sz w:val="20"/>
                <w:szCs w:val="20"/>
              </w:rPr>
              <w:t>SI</w:t>
            </w:r>
          </w:p>
        </w:tc>
      </w:tr>
      <w:tr>
        <w:trPr>
          <w:trHeight w:val="340" w:hRule="atLeast"/>
        </w:trPr>
        <w:tc>
          <w:tcPr>
            <w:tcW w:w="9497" w:type="dxa"/>
            <w:gridSpan w:val="4"/>
            <w:tcBorders>
              <w:left w:val="single" w:sz="8" w:space="0" w:color="000000"/>
              <w:bottom w:val="single" w:sz="4" w:space="0" w:color="000000"/>
              <w:right w:val="single" w:sz="8" w:space="0" w:color="000000"/>
            </w:tcBorders>
            <w:vAlign w:val="center"/>
          </w:tcPr>
          <w:p>
            <w:pPr>
              <w:pStyle w:val="Normal"/>
              <w:spacing w:lineRule="auto" w:line="240"/>
              <w:jc w:val="center"/>
              <w:rPr>
                <w:color w:val="312E81"/>
              </w:rPr>
            </w:pPr>
            <w:r>
              <w:rPr>
                <w:rFonts w:eastAsia="Times New Roman" w:cs="Aptos" w:cstheme="minorHAnsi"/>
                <w:b/>
                <w:bCs/>
                <w:color w:val="312E81"/>
                <w:sz w:val="18"/>
                <w:szCs w:val="18"/>
              </w:rPr>
              <w:t>PRUEBAS PREOPERATIVAS Y OPERATIVAS</w:t>
            </w:r>
          </w:p>
        </w:tc>
      </w:tr>
      <w:tr>
        <w:trPr>
          <w:trHeight w:val="1515"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color w:val="3D0000"/>
                <w:sz w:val="20"/>
                <w:szCs w:val="20"/>
              </w:rPr>
            </w:pPr>
            <w:r>
              <w:rPr>
                <w:rFonts w:ascii="Helvetica Neue" w:hAnsi="Helvetica Neue"/>
                <w:b/>
                <w:bCs/>
                <w:color w:val="000000"/>
                <w:sz w:val="20"/>
                <w:szCs w:val="20"/>
              </w:rPr>
              <w:t>42</w:t>
            </w:r>
          </w:p>
        </w:tc>
        <w:tc>
          <w:tcPr>
            <w:tcW w:w="3145" w:type="dxa"/>
            <w:tcBorders>
              <w:bottom w:val="single" w:sz="4" w:space="0" w:color="000000"/>
              <w:right w:val="single" w:sz="4" w:space="0" w:color="000000"/>
            </w:tcBorders>
            <w:vAlign w:val="center"/>
          </w:tcPr>
          <w:p>
            <w:pPr>
              <w:pStyle w:val="Normal"/>
              <w:spacing w:lineRule="auto" w:line="240"/>
              <w:jc w:val="center"/>
              <w:rPr>
                <w:rFonts w:eastAsia="Times New Roman" w:cs="Aptos" w:cstheme="minorHAnsi"/>
                <w:color w:val="3D0000"/>
                <w:sz w:val="18"/>
                <w:szCs w:val="18"/>
              </w:rPr>
            </w:pPr>
            <w:r>
              <w:rPr>
                <w:rFonts w:ascii="Helvetica Neue" w:hAnsi="Helvetica Neue"/>
                <w:color w:val="000000"/>
                <w:sz w:val="20"/>
                <w:szCs w:val="20"/>
              </w:rPr>
              <w:t>Capacidad Instalada Neta, carga máxima y secuencias de arranque y paro y funcionamiento de sistemas de control, protección y servicios auxiliares</w:t>
            </w:r>
          </w:p>
        </w:tc>
        <w:tc>
          <w:tcPr>
            <w:tcW w:w="3770" w:type="dxa"/>
            <w:tcBorders>
              <w:bottom w:val="single" w:sz="4" w:space="0" w:color="000000"/>
            </w:tcBorders>
            <w:vAlign w:val="center"/>
          </w:tcPr>
          <w:p>
            <w:pPr>
              <w:pStyle w:val="Normal"/>
              <w:spacing w:lineRule="auto" w:line="240"/>
              <w:jc w:val="center"/>
              <w:rPr>
                <w:rFonts w:eastAsia="Times New Roman" w:cs="Aptos" w:cstheme="minorHAnsi"/>
                <w:color w:val="3D0000"/>
                <w:sz w:val="18"/>
                <w:szCs w:val="18"/>
              </w:rPr>
            </w:pPr>
            <w:r>
              <w:rPr>
                <w:rFonts w:ascii="Helvetica Neue" w:hAnsi="Helvetica Neue"/>
                <w:color w:val="000000"/>
                <w:sz w:val="20"/>
                <w:szCs w:val="20"/>
              </w:rPr>
              <w:t>Operación en forma satisfactoria y confiable durante 15 días y en turnos de 8 hrs</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color w:val="3D0000"/>
                <w:sz w:val="20"/>
                <w:szCs w:val="20"/>
              </w:rPr>
            </w:pPr>
            <w:r>
              <w:rPr>
                <w:rFonts w:ascii="Helvetica Neue" w:hAnsi="Helvetica Neue"/>
                <w:color w:val="000000"/>
                <w:sz w:val="20"/>
                <w:szCs w:val="20"/>
              </w:rPr>
              <w:t>SI</w:t>
            </w:r>
          </w:p>
        </w:tc>
      </w:tr>
      <w:tr>
        <w:trPr>
          <w:trHeight w:val="300" w:hRule="atLeast"/>
        </w:trPr>
        <w:tc>
          <w:tcPr>
            <w:tcW w:w="9497" w:type="dxa"/>
            <w:gridSpan w:val="4"/>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rFonts w:eastAsia="Times New Roman" w:cs="Aptos" w:cstheme="minorHAnsi"/>
                <w:color w:val="312E81"/>
                <w:sz w:val="20"/>
                <w:szCs w:val="20"/>
              </w:rPr>
            </w:pPr>
            <w:r>
              <w:rPr>
                <w:rFonts w:eastAsia="Times New Roman" w:cs="Aptos" w:cstheme="minorHAnsi"/>
                <w:b/>
                <w:bCs/>
                <w:color w:val="312E81"/>
                <w:sz w:val="20"/>
                <w:szCs w:val="20"/>
              </w:rPr>
              <w:t>PRUEBAS DE OPERACIÓN</w:t>
            </w:r>
          </w:p>
        </w:tc>
      </w:tr>
      <w:tr>
        <w:trPr>
          <w:trHeight w:val="53"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ascii="Helvetica Neue" w:hAnsi="Helvetica Neue"/>
                <w:b/>
                <w:bCs/>
                <w:color w:val="000000"/>
                <w:sz w:val="20"/>
                <w:szCs w:val="20"/>
              </w:rPr>
              <w:t>43</w:t>
            </w:r>
          </w:p>
        </w:tc>
        <w:tc>
          <w:tcPr>
            <w:tcW w:w="3145" w:type="dxa"/>
            <w:tcBorders>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Operación en automático confiable (controles de los equipos y la Central Eléctrica en modo automático)</w:t>
            </w:r>
          </w:p>
        </w:tc>
        <w:tc>
          <w:tcPr>
            <w:tcW w:w="3770" w:type="dxa"/>
            <w:tcBorders>
              <w:bottom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 xml:space="preserve">Duración de 15 días, </w:t>
              <w:br/>
              <w:t>Parada permisible de 25 hrs acumuladas por falla de equipos</w:t>
              <w:br/>
              <w:t xml:space="preserve">240hrs mínimas acumulados al 100% de carga  </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sz w:val="20"/>
                <w:szCs w:val="20"/>
              </w:rPr>
            </w:pPr>
            <w:r>
              <w:rPr>
                <w:rFonts w:ascii="Helvetica Neue" w:hAnsi="Helvetica Neue"/>
                <w:color w:val="000000"/>
                <w:sz w:val="20"/>
                <w:szCs w:val="20"/>
              </w:rPr>
              <w:t>SI</w:t>
            </w:r>
          </w:p>
        </w:tc>
      </w:tr>
      <w:tr>
        <w:trPr>
          <w:trHeight w:val="340" w:hRule="atLeast"/>
        </w:trPr>
        <w:tc>
          <w:tcPr>
            <w:tcW w:w="9497"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b/>
                <w:bCs/>
                <w:color w:val="312E81"/>
                <w:sz w:val="18"/>
                <w:szCs w:val="18"/>
              </w:rPr>
              <w:t>PRUEBAS DE DESEMPEÑO</w:t>
            </w:r>
          </w:p>
        </w:tc>
      </w:tr>
      <w:tr>
        <w:trPr>
          <w:trHeight w:val="828" w:hRule="atLeast"/>
        </w:trPr>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861141"/>
              </w:rPr>
            </w:pPr>
            <w:r>
              <w:rPr>
                <w:rFonts w:ascii="Helvetica Neue" w:hAnsi="Helvetica Neue"/>
                <w:b/>
                <w:bCs/>
                <w:color w:val="861141"/>
                <w:sz w:val="20"/>
                <w:szCs w:val="20"/>
              </w:rPr>
              <w:t>44</w:t>
            </w:r>
          </w:p>
        </w:tc>
        <w:tc>
          <w:tcPr>
            <w:tcW w:w="3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861141"/>
              </w:rPr>
            </w:pPr>
            <w:r>
              <w:rPr>
                <w:rFonts w:ascii="Helvetica Neue" w:hAnsi="Helvetica Neue"/>
                <w:color w:val="861141"/>
                <w:sz w:val="20"/>
                <w:szCs w:val="20"/>
              </w:rPr>
              <w:t xml:space="preserve">Verificación de capacidad Instalada Neta, y consumos. </w:t>
            </w:r>
          </w:p>
        </w:tc>
        <w:tc>
          <w:tcPr>
            <w:tcW w:w="37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861141"/>
              </w:rPr>
            </w:pPr>
            <w:r>
              <w:rPr>
                <w:rFonts w:ascii="Helvetica Neue" w:hAnsi="Helvetica Neue"/>
                <w:color w:val="861141"/>
                <w:sz w:val="20"/>
                <w:szCs w:val="20"/>
              </w:rPr>
              <w:t>Operación en forma satisfactoria y confiable durante 15 días y en turnos de 8 hrs.</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861141"/>
              </w:rPr>
            </w:pPr>
            <w:r>
              <w:rPr>
                <w:rFonts w:ascii="Helvetica Neue" w:hAnsi="Helvetica Neue"/>
                <w:color w:val="861141"/>
                <w:sz w:val="20"/>
                <w:szCs w:val="20"/>
              </w:rPr>
              <w:t>No Aplica</w:t>
            </w:r>
          </w:p>
        </w:tc>
      </w:tr>
      <w:tr>
        <w:trPr>
          <w:trHeight w:val="350"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ascii="Helvetica Neue" w:hAnsi="Helvetica Neue"/>
                <w:b/>
                <w:bCs/>
                <w:color w:val="000000"/>
                <w:sz w:val="20"/>
                <w:szCs w:val="20"/>
              </w:rPr>
              <w:t>45</w:t>
            </w:r>
          </w:p>
        </w:tc>
        <w:tc>
          <w:tcPr>
            <w:tcW w:w="3145" w:type="dxa"/>
            <w:tcBorders>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Requerimientos de Calidad de la Potencia</w:t>
            </w:r>
          </w:p>
        </w:tc>
        <w:tc>
          <w:tcPr>
            <w:tcW w:w="3770" w:type="dxa"/>
            <w:tcBorders>
              <w:bottom w:val="single" w:sz="4" w:space="0" w:color="000000"/>
            </w:tcBorders>
            <w:vAlign w:val="center"/>
          </w:tcPr>
          <w:p>
            <w:pPr>
              <w:pStyle w:val="Normal"/>
              <w:spacing w:lineRule="auto" w:line="240"/>
              <w:jc w:val="center"/>
              <w:rPr>
                <w:rFonts w:eastAsia="Times New Roman" w:cs="Aptos" w:cstheme="minorHAnsi"/>
                <w:sz w:val="18"/>
                <w:szCs w:val="18"/>
              </w:rPr>
            </w:pPr>
            <w:r>
              <w:rPr>
                <w:rFonts w:ascii="Helvetica Neue" w:hAnsi="Helvetica Neue"/>
                <w:color w:val="000000"/>
                <w:sz w:val="20"/>
                <w:szCs w:val="20"/>
              </w:rPr>
              <w:t>Reporte de cumplimiento con mediciones de al menos 10 días consecutivos.</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sz w:val="20"/>
                <w:szCs w:val="20"/>
              </w:rPr>
            </w:pPr>
            <w:r>
              <w:rPr>
                <w:rFonts w:ascii="Helvetica Neue" w:hAnsi="Helvetica Neue"/>
                <w:color w:val="000000"/>
                <w:sz w:val="20"/>
                <w:szCs w:val="20"/>
              </w:rPr>
              <w:t>SI</w:t>
            </w:r>
          </w:p>
        </w:tc>
      </w:tr>
      <w:tr>
        <w:trPr>
          <w:trHeight w:val="63" w:hRule="atLeast"/>
        </w:trPr>
        <w:tc>
          <w:tcPr>
            <w:tcW w:w="1093" w:type="dxa"/>
            <w:tcBorders>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17</w:t>
            </w:r>
          </w:p>
        </w:tc>
        <w:tc>
          <w:tcPr>
            <w:tcW w:w="3145" w:type="dxa"/>
            <w:tcBorders>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Estatismo</w:t>
            </w:r>
          </w:p>
        </w:tc>
        <w:tc>
          <w:tcPr>
            <w:tcW w:w="3770" w:type="dxa"/>
            <w:tcBorders>
              <w:bottom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Característica de regulación 3% a 8%</w:t>
            </w:r>
          </w:p>
        </w:tc>
        <w:tc>
          <w:tcPr>
            <w:tcW w:w="1489" w:type="dxa"/>
            <w:tcBorders>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SI</w:t>
            </w:r>
          </w:p>
        </w:tc>
      </w:tr>
      <w:tr>
        <w:trPr>
          <w:trHeight w:val="576" w:hRule="atLeast"/>
        </w:trPr>
        <w:tc>
          <w:tcPr>
            <w:tcW w:w="1093" w:type="dxa"/>
            <w:tcBorders>
              <w:top w:val="single" w:sz="4" w:space="0" w:color="000000"/>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18</w:t>
            </w:r>
          </w:p>
        </w:tc>
        <w:tc>
          <w:tcPr>
            <w:tcW w:w="3145" w:type="dxa"/>
            <w:tcBorders>
              <w:top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Escalones de potencia (10% de P</w:t>
            </w:r>
            <w:r>
              <w:rPr>
                <w:rFonts w:eastAsia="Times New Roman" w:cs="Aptos" w:cstheme="minorHAnsi"/>
                <w:sz w:val="18"/>
                <w:szCs w:val="18"/>
                <w:vertAlign w:val="subscript"/>
              </w:rPr>
              <w:t>nom</w:t>
            </w:r>
            <w:r>
              <w:rPr>
                <w:rFonts w:eastAsia="Times New Roman" w:cs="Aptos" w:cstheme="minorHAnsi"/>
                <w:sz w:val="18"/>
                <w:szCs w:val="18"/>
              </w:rPr>
              <w:t>)</w:t>
            </w:r>
          </w:p>
        </w:tc>
        <w:tc>
          <w:tcPr>
            <w:tcW w:w="3770" w:type="dxa"/>
            <w:tcBorders>
              <w:top w:val="single" w:sz="4" w:space="0" w:color="000000"/>
              <w:bottom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SP&lt;30%</w:t>
              <w:br/>
              <w:t>Ts&lt; 30s</w:t>
            </w:r>
          </w:p>
        </w:tc>
        <w:tc>
          <w:tcPr>
            <w:tcW w:w="1489" w:type="dxa"/>
            <w:tcBorders>
              <w:top w:val="single" w:sz="4" w:space="0" w:color="000000"/>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SI</w:t>
            </w:r>
          </w:p>
        </w:tc>
      </w:tr>
      <w:tr>
        <w:trPr>
          <w:trHeight w:val="576" w:hRule="atLeast"/>
        </w:trPr>
        <w:tc>
          <w:tcPr>
            <w:tcW w:w="1093" w:type="dxa"/>
            <w:tcBorders>
              <w:top w:val="single" w:sz="4" w:space="0" w:color="000000"/>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19</w:t>
            </w:r>
          </w:p>
        </w:tc>
        <w:tc>
          <w:tcPr>
            <w:tcW w:w="3145" w:type="dxa"/>
            <w:tcBorders>
              <w:top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Rechazo de Carga</w:t>
            </w:r>
          </w:p>
        </w:tc>
        <w:tc>
          <w:tcPr>
            <w:tcW w:w="3770" w:type="dxa"/>
            <w:tcBorders>
              <w:top w:val="single" w:sz="4" w:space="0" w:color="000000"/>
              <w:bottom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Ts &lt; 90s</w:t>
              <w:br/>
              <w:t>Quedar excitada y a velocidad nominal</w:t>
            </w:r>
          </w:p>
        </w:tc>
        <w:tc>
          <w:tcPr>
            <w:tcW w:w="1489" w:type="dxa"/>
            <w:tcBorders>
              <w:top w:val="single" w:sz="4" w:space="0" w:color="000000"/>
              <w:left w:val="single" w:sz="8" w:space="0" w:color="000000"/>
              <w:bottom w:val="single" w:sz="4" w:space="0" w:color="000000"/>
              <w:right w:val="single" w:sz="8"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SI</w:t>
            </w:r>
          </w:p>
        </w:tc>
      </w:tr>
      <w:tr>
        <w:trPr>
          <w:trHeight w:val="576" w:hRule="atLeast"/>
        </w:trPr>
        <w:tc>
          <w:tcPr>
            <w:tcW w:w="1093" w:type="dxa"/>
            <w:tcBorders>
              <w:top w:val="single" w:sz="4" w:space="0" w:color="000000"/>
              <w:left w:val="single" w:sz="8"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20"/>
                <w:szCs w:val="20"/>
              </w:rPr>
            </w:pPr>
            <w:r>
              <w:rPr>
                <w:rFonts w:eastAsia="Times New Roman" w:cs="Aptos" w:cstheme="minorHAnsi"/>
                <w:sz w:val="20"/>
                <w:szCs w:val="20"/>
              </w:rPr>
              <w:t>20</w:t>
            </w:r>
          </w:p>
        </w:tc>
        <w:tc>
          <w:tcPr>
            <w:tcW w:w="3145" w:type="dxa"/>
            <w:tcBorders>
              <w:top w:val="single" w:sz="4" w:space="0" w:color="000000"/>
              <w:bottom w:val="single" w:sz="4" w:space="0" w:color="000000"/>
              <w:right w:val="single" w:sz="4" w:space="0" w:color="000000"/>
            </w:tcBorders>
            <w:vAlign w:val="center"/>
          </w:tcPr>
          <w:p>
            <w:pPr>
              <w:pStyle w:val="Normal"/>
              <w:spacing w:lineRule="auto" w:line="240"/>
              <w:jc w:val="center"/>
              <w:rPr>
                <w:rFonts w:eastAsia="Times New Roman" w:cs="Aptos" w:cstheme="minorHAnsi"/>
                <w:sz w:val="18"/>
                <w:szCs w:val="18"/>
              </w:rPr>
            </w:pPr>
            <w:r>
              <w:rPr>
                <w:rFonts w:eastAsia="Times New Roman" w:cs="Aptos" w:cstheme="minorHAnsi"/>
                <w:sz w:val="18"/>
                <w:szCs w:val="18"/>
              </w:rPr>
              <w:t>Operación en isla </w:t>
            </w:r>
          </w:p>
        </w:tc>
        <w:tc>
          <w:tcPr>
            <w:tcW w:w="3770" w:type="dxa"/>
            <w:tcBorders>
              <w:top w:val="single" w:sz="4" w:space="0" w:color="000000"/>
              <w:bottom w:val="single" w:sz="4" w:space="0" w:color="000000"/>
            </w:tcBorders>
            <w:vAlign w:val="center"/>
          </w:tcPr>
          <w:p>
            <w:pPr>
              <w:pStyle w:val="Normal"/>
              <w:spacing w:lineRule="auto" w:line="240"/>
              <w:jc w:val="center"/>
              <w:rPr>
                <w:rFonts w:eastAsia="Times New Roman" w:cs="Aptos" w:cstheme="minorHAnsi"/>
                <w:sz w:val="18"/>
                <w:szCs w:val="18"/>
                <w:lang w:val="pt-BR"/>
              </w:rPr>
            </w:pPr>
            <w:r>
              <w:rPr>
                <w:rFonts w:eastAsia="Times New Roman" w:cs="Aptos" w:cstheme="minorHAnsi"/>
                <w:sz w:val="18"/>
                <w:szCs w:val="18"/>
                <w:lang w:val="pt-BR"/>
              </w:rPr>
              <w:t>Auto abastecida, cambia a modo isócrono</w:t>
            </w:r>
          </w:p>
        </w:tc>
        <w:tc>
          <w:tcPr>
            <w:tcW w:w="1489" w:type="dxa"/>
            <w:tcBorders>
              <w:top w:val="single" w:sz="4" w:space="0" w:color="000000"/>
              <w:left w:val="single" w:sz="8" w:space="0" w:color="000000"/>
              <w:bottom w:val="single" w:sz="4" w:space="0" w:color="000000"/>
              <w:right w:val="single" w:sz="8" w:space="0" w:color="000000"/>
            </w:tcBorders>
            <w:vAlign w:val="center"/>
          </w:tcPr>
          <w:p>
            <w:pPr>
              <w:pStyle w:val="Normal"/>
              <w:spacing w:lineRule="auto" w:line="240"/>
              <w:jc w:val="center"/>
              <w:rPr>
                <w:sz w:val="16"/>
                <w:szCs w:val="16"/>
              </w:rPr>
            </w:pPr>
            <w:r>
              <w:rPr>
                <w:rFonts w:eastAsia="Times New Roman" w:cs="Aptos" w:cstheme="minorHAnsi"/>
                <w:b/>
                <w:bCs/>
                <w:sz w:val="16"/>
                <w:szCs w:val="16"/>
              </w:rPr>
              <w:t>No se cuenta con la infraestructura</w:t>
            </w:r>
          </w:p>
        </w:tc>
      </w:tr>
    </w:tbl>
    <w:p>
      <w:pPr>
        <w:pStyle w:val="Subtitle"/>
        <w:rPr/>
      </w:pPr>
      <w:r>
        <w:rPr/>
        <w:t>Tabla 1. Listado de pruebas aplicables a Centrales Asincronas tipo B</w:t>
      </w:r>
    </w:p>
    <w:p>
      <w:pPr>
        <w:pStyle w:val="Normal"/>
        <w:spacing w:before="0" w:after="120"/>
        <w:rPr/>
      </w:pPr>
      <w:r>
        <w:rPr/>
      </w:r>
    </w:p>
    <w:p>
      <w:pPr>
        <w:pStyle w:val="Normal"/>
        <w:spacing w:before="0" w:after="120"/>
        <w:rPr/>
      </w:pPr>
      <w:r>
        <w:rPr/>
        <w:t xml:space="preserve">Las pruebas señaladas en el Anexo 5 como exclusivas para </w:t>
      </w:r>
      <w:r>
        <w:rPr>
          <w:b/>
          <w:bCs/>
        </w:rPr>
        <w:t>Centrales Tipo C o D no forman parte del alcance de este protocolo</w:t>
      </w:r>
      <w:r>
        <w:rPr/>
        <w:t xml:space="preserve"> y, por lo tanto, se documentan como No Aplicables, sin que ello represente incumplimiento normativo alguno, dado que su exigibilidad depende expresamente del tipo de central definido por la regulación vigente. De manera electrónica se entregarán los datos registrados para cada una de las pruebas que apliquen, además de los archivos PDF con la información correspondiente a distintas pruebas, con diagramas, ajustes de protecciones, relés, etc.</w:t>
      </w:r>
    </w:p>
    <w:p>
      <w:pPr>
        <w:pStyle w:val="Heading2"/>
        <w:rPr/>
      </w:pPr>
      <w:bookmarkStart w:id="5" w:name="_Toc230532597"/>
      <w:r>
        <w:rPr/>
        <w:t>3.1. Prueba 1 - Razón de cambio 2.5 Hz/s</w:t>
      </w:r>
      <w:bookmarkEnd w:id="5"/>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49" wp14:anchorId="71201DBC">
                      <wp:simplePos x="0" y="0"/>
                      <wp:positionH relativeFrom="column">
                        <wp:posOffset>74295</wp:posOffset>
                      </wp:positionH>
                      <wp:positionV relativeFrom="paragraph">
                        <wp:posOffset>79375</wp:posOffset>
                      </wp:positionV>
                      <wp:extent cx="708660" cy="635"/>
                      <wp:effectExtent l="0" t="10160" r="0" b="9525"/>
                      <wp:wrapNone/>
                      <wp:docPr id="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1201DBC">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0" wp14:anchorId="3D48C32F">
                      <wp:simplePos x="0" y="0"/>
                      <wp:positionH relativeFrom="column">
                        <wp:posOffset>0</wp:posOffset>
                      </wp:positionH>
                      <wp:positionV relativeFrom="paragraph">
                        <wp:posOffset>71120</wp:posOffset>
                      </wp:positionV>
                      <wp:extent cx="708660" cy="0"/>
                      <wp:effectExtent l="635" t="10160" r="635" b="10160"/>
                      <wp:wrapNone/>
                      <wp:docPr id="3"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D48C32F">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1" wp14:anchorId="39BE41A5">
                      <wp:simplePos x="0" y="0"/>
                      <wp:positionH relativeFrom="column">
                        <wp:posOffset>0</wp:posOffset>
                      </wp:positionH>
                      <wp:positionV relativeFrom="paragraph">
                        <wp:posOffset>65405</wp:posOffset>
                      </wp:positionV>
                      <wp:extent cx="708660" cy="635"/>
                      <wp:effectExtent l="635" t="9525" r="635" b="9525"/>
                      <wp:wrapNone/>
                      <wp:docPr id="4"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39BE41A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5" name="Gráfico 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1" descr="Badge Tick1 con relleno sólido"/>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6" name="Imagen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descr="Badge Tick1 con relleno sólido"/>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 name="Imagen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Badge Tick1 con relleno sólido"/>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8" name="Imagen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Badge Tick1 con relleno sólido"/>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220980" cy="220980"/>
                          </a:xfrm>
                          <a:prstGeom prst="rect">
                            <a:avLst/>
                          </a:prstGeom>
                          <a:noFill/>
                        </pic:spPr>
                      </pic:pic>
                    </a:graphicData>
                  </a:graphic>
                </wp:inline>
              </w:drawing>
            </w:r>
          </w:p>
        </w:tc>
      </w:tr>
    </w:tbl>
    <w:p>
      <w:pPr>
        <w:pStyle w:val="Normal"/>
        <w:rPr/>
      </w:pPr>
      <w:r>
        <w:rPr/>
      </w:r>
    </w:p>
    <w:p>
      <w:pPr>
        <w:pStyle w:val="Normal"/>
        <w:spacing w:before="160" w:after="80"/>
        <w:rPr/>
      </w:pPr>
      <w:r>
        <w:rPr>
          <w:b/>
          <w:bCs/>
          <w:color w:val="312E81"/>
        </w:rPr>
        <w:t>Objetivo</w:t>
      </w:r>
    </w:p>
    <w:p>
      <w:pPr>
        <w:pStyle w:val="Normal"/>
        <w:spacing w:before="160" w:after="80"/>
        <w:rPr>
          <w:rFonts w:eastAsia="Times New Roman" w:cs="Times New Roman"/>
        </w:rPr>
      </w:pPr>
      <w:r>
        <w:rPr>
          <w:rFonts w:eastAsia="Times New Roman" w:cs="Times New Roman"/>
        </w:rPr>
        <w:t xml:space="preserve">Esta prueba verifica que la </w:t>
      </w:r>
      <w:r>
        <w:rPr>
          <w:rFonts w:eastAsia="Times New Roman" w:cs="Times New Roman"/>
          <w:b/>
          <w:bCs/>
        </w:rPr>
        <w:t>Central Eléctrica</w:t>
      </w:r>
      <w:r>
        <w:rPr>
          <w:rFonts w:eastAsia="Times New Roman" w:cs="Times New Roman"/>
        </w:rPr>
        <w:t xml:space="preserve"> permanezca interconectada y en operación ante una razón de cambio de frecuencia respecto al tiempo de </w:t>
      </w:r>
      <w:r>
        <w:rPr>
          <w:rFonts w:eastAsia="Times New Roman" w:cs="Times New Roman"/>
          <w:b/>
          <w:bCs/>
        </w:rPr>
        <w:t>2.5 Hz/s</w:t>
      </w:r>
      <w:r>
        <w:rPr>
          <w:rFonts w:eastAsia="Times New Roman" w:cs="Times New Roman"/>
        </w:rPr>
        <w:t>, sin disparos ni desconexiones no intencionales.</w:t>
      </w:r>
    </w:p>
    <w:p>
      <w:pPr>
        <w:pStyle w:val="Normal"/>
        <w:spacing w:before="160" w:after="80"/>
        <w:rPr>
          <w:rFonts w:eastAsia="Times New Roman" w:cs="Times New Roman"/>
        </w:rPr>
      </w:pPr>
      <w:r>
        <w:rPr>
          <w:rFonts w:eastAsia="Times New Roman" w:cs="Times New Roman"/>
        </w:rPr>
      </w:r>
    </w:p>
    <w:p>
      <w:pPr>
        <w:pStyle w:val="Normal"/>
        <w:spacing w:before="160" w:after="80"/>
        <w:rPr>
          <w:rFonts w:eastAsia="Times New Roman" w:cs="Times New Roman"/>
        </w:rPr>
      </w:pPr>
      <w:r>
        <w:rPr>
          <w:rFonts w:eastAsia="Times New Roman" w:cs="Times New Roman"/>
        </w:rPr>
        <w:t xml:space="preserve">El criterio se toma del </w:t>
      </w:r>
      <w:r>
        <w:rPr>
          <w:rFonts w:eastAsia="Times New Roman" w:cs="Times New Roman"/>
          <w:b/>
          <w:bCs/>
        </w:rPr>
        <w:t>Anexo 5 del Procedimiento de Operación para la Declaración de Entrada en Operación Comercial de Centrales Eléctricas y Centros de Carga</w:t>
      </w:r>
      <w:r>
        <w:rPr>
          <w:rFonts w:eastAsia="Times New Roman" w:cs="Times New Roman"/>
        </w:rPr>
        <w:t xml:space="preserve">, en el apartado de pruebas por Central Eléctrica para </w:t>
      </w:r>
      <w:r>
        <w:rPr>
          <w:rFonts w:eastAsia="Times New Roman" w:cs="Times New Roman"/>
          <w:b/>
          <w:bCs/>
        </w:rPr>
        <w:t>Centrales Eléctricas Síncronas</w:t>
      </w:r>
      <w:r>
        <w:rPr>
          <w:rFonts w:eastAsia="Times New Roman" w:cs="Times New Roman"/>
        </w:rPr>
        <w:t xml:space="preserve">, donde se establece la prueba de </w:t>
      </w:r>
      <w:r>
        <w:rPr>
          <w:rFonts w:eastAsia="Times New Roman" w:cs="Times New Roman"/>
          <w:b/>
          <w:bCs/>
        </w:rPr>
        <w:t>Razón de cambio 2.5 Hz/s</w:t>
      </w:r>
      <w:r>
        <w:rPr>
          <w:rFonts w:eastAsia="Times New Roman" w:cs="Times New Roman"/>
        </w:rPr>
        <w:t xml:space="preserve"> con el criterio de permanecer conectada.  </w:t>
      </w:r>
    </w:p>
    <w:p>
      <w:pPr>
        <w:pStyle w:val="Normal"/>
        <w:spacing w:before="160" w:after="80"/>
        <w:rPr>
          <w:rFonts w:eastAsia="Times New Roman" w:cs="Times New Roman"/>
        </w:rPr>
      </w:pPr>
      <w:r>
        <w:rPr>
          <w:rFonts w:eastAsia="Times New Roman" w:cs="Times New Roman"/>
        </w:rPr>
      </w:r>
    </w:p>
    <w:p>
      <w:pPr>
        <w:pStyle w:val="Normal"/>
        <w:spacing w:before="160" w:after="80"/>
        <w:rPr>
          <w:rFonts w:eastAsia="Times New Roman" w:cs="Times New Roman"/>
        </w:rPr>
      </w:pPr>
      <w:r>
        <w:rPr>
          <w:rFonts w:eastAsia="Times New Roman" w:cs="Times New Roman"/>
        </w:rPr>
        <w:t xml:space="preserve">La prueba también se fundamenta en el Código de Red 2.0, dentro del Manual Regulatorio de Requerimientos Técnicos para la Interconexión de Centrales Eléctricas al Sistema Eléctrico Nacional, Capítulo 2, particularmente en la </w:t>
      </w:r>
      <w:r>
        <w:rPr>
          <w:rFonts w:eastAsia="Times New Roman" w:cs="Times New Roman"/>
          <w:b/>
          <w:bCs/>
        </w:rPr>
        <w:t>Sección 2.2.1 Razón de cambio de la frecuencia</w:t>
      </w:r>
      <w:r>
        <w:rPr>
          <w:rFonts w:eastAsia="Times New Roman" w:cs="Times New Roman"/>
        </w:rPr>
        <w:t>, aplicable a Centrales Eléctricas tipo B.</w:t>
      </w:r>
    </w:p>
    <w:p>
      <w:pPr>
        <w:pStyle w:val="Normal"/>
        <w:spacing w:before="160" w:after="80"/>
        <w:rPr>
          <w:rFonts w:eastAsia="Times New Roman" w:cs="Times New Roman"/>
        </w:rPr>
      </w:pPr>
      <w:r>
        <w:rPr>
          <w:rFonts w:eastAsia="Times New Roman" w:cs="Times New Roman"/>
        </w:rPr>
      </w:r>
    </w:p>
    <w:p>
      <w:pPr>
        <w:pStyle w:val="Normal"/>
        <w:spacing w:before="160" w:after="80"/>
        <w:rPr/>
      </w:pPr>
      <w:r>
        <w:rPr>
          <w:b/>
          <w:bCs/>
          <w:color w:val="312E81"/>
        </w:rPr>
        <w:t>Condiciones y desarrollo de la prueba</w:t>
      </w:r>
    </w:p>
    <w:p>
      <w:pPr>
        <w:pStyle w:val="ListParagraph"/>
        <w:numPr>
          <w:ilvl w:val="0"/>
          <w:numId w:val="4"/>
        </w:numPr>
        <w:rPr/>
      </w:pPr>
      <w:r>
        <w:rPr/>
        <w:t>Verificar que la Central Eléctrica se encuentre sincronizada, en operación estable y con tensión nominal.</w:t>
      </w:r>
    </w:p>
    <w:p>
      <w:pPr>
        <w:pStyle w:val="ListParagraph"/>
        <w:numPr>
          <w:ilvl w:val="0"/>
          <w:numId w:val="4"/>
        </w:numPr>
        <w:rPr/>
      </w:pPr>
      <w:r>
        <w:rPr/>
        <w:t>Operar la central aproximadamente al 75% de carga, conforme a las condiciones operativas disponibles para la prueba.</w:t>
      </w:r>
    </w:p>
    <w:p>
      <w:pPr>
        <w:pStyle w:val="ListParagraph"/>
        <w:numPr>
          <w:ilvl w:val="0"/>
          <w:numId w:val="4"/>
        </w:numPr>
        <w:rPr/>
      </w:pPr>
      <w:r>
        <w:rPr/>
        <w:t>Confirmar que el modo de control de potencia activa ante variaciones de frecuencia se encuentre habilitado.</w:t>
      </w:r>
    </w:p>
    <w:p>
      <w:pPr>
        <w:pStyle w:val="ListParagraph"/>
        <w:numPr>
          <w:ilvl w:val="0"/>
          <w:numId w:val="4"/>
        </w:numPr>
        <w:rPr/>
      </w:pPr>
      <w:r>
        <w:rPr/>
        <w:t>Registrar la condición inicial de operación, incluyendo frecuencia, frecuencia simulada, potencia activa, velocidad del rotor y voltaje del generador.</w:t>
      </w:r>
    </w:p>
    <w:p>
      <w:pPr>
        <w:pStyle w:val="ListParagraph"/>
        <w:numPr>
          <w:ilvl w:val="0"/>
          <w:numId w:val="4"/>
        </w:numPr>
        <w:rPr/>
      </w:pPr>
      <w:r>
        <w:rPr/>
        <w:t>Aplicar, mediante señal de frecuencia simulada, una variación controlada que permita evaluar una razón de cambio de 2.5 Hz/s.</w:t>
      </w:r>
    </w:p>
    <w:p>
      <w:pPr>
        <w:pStyle w:val="ListParagraph"/>
        <w:numPr>
          <w:ilvl w:val="0"/>
          <w:numId w:val="4"/>
        </w:numPr>
        <w:rPr/>
      </w:pPr>
      <w:r>
        <w:rPr/>
        <w:t>Para la evaluación, generar un cambio de frecuencia de 0.5 Hz en un tiempo menor o igual a 200 ms, equivalente a:</w:t>
      </w:r>
    </w:p>
    <w:p>
      <w:pPr>
        <w:pStyle w:val="ListParagraph"/>
        <w:ind w:left="720"/>
        <w:jc w:val="center"/>
        <w:rPr/>
      </w:pPr>
      <w:r>
        <w:rPr/>
        <w:t>RoCoF = Δf / Δt = 0.5 Hz / 0.200 s = 2.5 Hz/s</w:t>
      </w:r>
    </w:p>
    <w:p>
      <w:pPr>
        <w:pStyle w:val="ListParagraph"/>
        <w:numPr>
          <w:ilvl w:val="0"/>
          <w:numId w:val="4"/>
        </w:numPr>
        <w:rPr/>
      </w:pPr>
      <w:r>
        <w:rPr/>
        <w:t>Registrar la respuesta de la Central Eléctrica durante el evento de variación de frecuencia simulada.</w:t>
      </w:r>
    </w:p>
    <w:p>
      <w:pPr>
        <w:pStyle w:val="ListParagraph"/>
        <w:numPr>
          <w:ilvl w:val="0"/>
          <w:numId w:val="4"/>
        </w:numPr>
        <w:rPr/>
      </w:pPr>
      <w:r>
        <w:rPr/>
        <w:t>Verificar que la Central Eléctrica permanezca interconectada durante la aplicación de la razón de cambio.</w:t>
      </w:r>
    </w:p>
    <w:p>
      <w:pPr>
        <w:pStyle w:val="ListParagraph"/>
        <w:numPr>
          <w:ilvl w:val="0"/>
          <w:numId w:val="4"/>
        </w:numPr>
        <w:rPr/>
      </w:pPr>
      <w:r>
        <w:rPr/>
        <w:t>Confirmar que no se presenten disparos, desconexiones no intencionales, pérdida de control o actuación indebida de protecciones.</w:t>
      </w:r>
    </w:p>
    <w:p>
      <w:pPr>
        <w:pStyle w:val="ListParagraph"/>
        <w:numPr>
          <w:ilvl w:val="0"/>
          <w:numId w:val="4"/>
        </w:numPr>
        <w:rPr/>
      </w:pPr>
      <w:r>
        <w:rPr/>
        <w:t>Documentar que la prueba se realiza mediante frecuencia simulada, debido a que la frecuencia real de la red no puede modificarse intencionalmente para fines de prueba al formar parte del Sistema Interconectado Nacional.</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numPr>
          <w:ilvl w:val="0"/>
          <w:numId w:val="3"/>
        </w:numPr>
        <w:spacing w:beforeAutospacing="1" w:after="0"/>
        <w:jc w:val="left"/>
        <w:rPr>
          <w:rFonts w:eastAsia="Times New Roman" w:cs="Times New Roman"/>
          <w:sz w:val="21"/>
          <w:szCs w:val="21"/>
        </w:rPr>
      </w:pPr>
      <w:r>
        <w:rPr>
          <w:rFonts w:eastAsia="Times New Roman" w:cs="Times New Roman"/>
          <w:sz w:val="21"/>
          <w:szCs w:val="21"/>
        </w:rPr>
        <w:t>Velocidad del rotor</w:t>
      </w:r>
    </w:p>
    <w:p>
      <w:pPr>
        <w:pStyle w:val="Normal"/>
        <w:numPr>
          <w:ilvl w:val="0"/>
          <w:numId w:val="3"/>
        </w:numPr>
        <w:spacing w:before="0" w:after="0"/>
        <w:jc w:val="left"/>
        <w:rPr>
          <w:rFonts w:eastAsia="Times New Roman" w:cs="Times New Roman"/>
          <w:sz w:val="21"/>
          <w:szCs w:val="21"/>
        </w:rPr>
      </w:pPr>
      <w:r>
        <w:rPr>
          <w:rFonts w:eastAsia="Times New Roman" w:cs="Times New Roman"/>
          <w:sz w:val="21"/>
          <w:szCs w:val="21"/>
        </w:rPr>
        <w:t>Potencia activa (P)</w:t>
      </w:r>
    </w:p>
    <w:p>
      <w:pPr>
        <w:pStyle w:val="Normal"/>
        <w:numPr>
          <w:ilvl w:val="0"/>
          <w:numId w:val="3"/>
        </w:numPr>
        <w:spacing w:before="0" w:after="0"/>
        <w:jc w:val="left"/>
        <w:rPr>
          <w:rFonts w:eastAsia="Times New Roman" w:cs="Times New Roman"/>
          <w:sz w:val="21"/>
          <w:szCs w:val="21"/>
        </w:rPr>
      </w:pPr>
      <w:r>
        <w:rPr>
          <w:rFonts w:eastAsia="Times New Roman" w:cs="Times New Roman"/>
          <w:sz w:val="21"/>
          <w:szCs w:val="21"/>
        </w:rPr>
        <w:t>Frecuencia (f)</w:t>
      </w:r>
    </w:p>
    <w:p>
      <w:pPr>
        <w:pStyle w:val="Normal"/>
        <w:numPr>
          <w:ilvl w:val="0"/>
          <w:numId w:val="3"/>
        </w:numPr>
        <w:spacing w:before="0" w:after="0"/>
        <w:jc w:val="left"/>
        <w:rPr>
          <w:rFonts w:eastAsia="Times New Roman" w:cs="Times New Roman"/>
          <w:sz w:val="21"/>
          <w:szCs w:val="21"/>
        </w:rPr>
      </w:pPr>
      <w:r>
        <w:rPr>
          <w:rFonts w:eastAsia="Times New Roman" w:cs="Times New Roman"/>
          <w:sz w:val="21"/>
          <w:szCs w:val="21"/>
        </w:rPr>
        <w:t>Frecuencia simulada</w:t>
      </w:r>
    </w:p>
    <w:p>
      <w:pPr>
        <w:pStyle w:val="Normal"/>
        <w:numPr>
          <w:ilvl w:val="0"/>
          <w:numId w:val="3"/>
        </w:numPr>
        <w:spacing w:before="0" w:afterAutospacing="1"/>
        <w:jc w:val="left"/>
        <w:rPr>
          <w:rFonts w:eastAsia="Times New Roman" w:cs="Times New Roman"/>
          <w:sz w:val="21"/>
          <w:szCs w:val="21"/>
        </w:rPr>
      </w:pPr>
      <w:r>
        <w:rPr>
          <w:rFonts w:eastAsia="Times New Roman" w:cs="Times New Roman"/>
          <w:sz w:val="21"/>
          <w:szCs w:val="21"/>
        </w:rPr>
        <w:t>Voltaje del generador (Vg)</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360" w:charSpace="0"/>
        </w:sectPr>
      </w:pPr>
    </w:p>
    <w:p>
      <w:pPr>
        <w:pStyle w:val="Normal"/>
        <w:spacing w:before="160" w:after="80"/>
        <w:rPr/>
      </w:pPr>
      <w:r>
        <w:rPr/>
      </w:r>
      <w:bookmarkStart w:id="6" w:name="OLE_LINK2"/>
      <w:bookmarkStart w:id="7" w:name="OLE_LINK2"/>
    </w:p>
    <w:p>
      <w:pPr>
        <w:pStyle w:val="Normal"/>
        <w:spacing w:before="160" w:after="80"/>
        <w:rPr/>
      </w:pPr>
      <w:bookmarkStart w:id="8" w:name="OLE_LINK2"/>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bookmarkEnd w:id="8"/>
    </w:p>
    <w:p>
      <w:pPr>
        <w:pStyle w:val="Normal"/>
        <w:spacing w:before="160" w:after="80"/>
        <w:rPr/>
      </w:pPr>
      <w:r>
        <w:rPr>
          <w:b/>
          <w:bCs/>
          <w:color w:val="312E81"/>
        </w:rPr>
        <w:t>Criterio de aceptación</w:t>
      </w:r>
    </w:p>
    <w:p>
      <w:pPr>
        <w:pStyle w:val="Normal"/>
        <w:spacing w:before="160" w:after="80"/>
        <w:rPr/>
      </w:pPr>
      <w:r>
        <w:rPr/>
        <w:t>La prueba se considera satisfactoria cuando la Central Eléctrica permanece interconectada y en operación ante una razón de cambio de frecuencia de al menos:</w:t>
      </w:r>
    </w:p>
    <w:p>
      <w:pPr>
        <w:pStyle w:val="Normal"/>
        <w:spacing w:before="160" w:after="80"/>
        <w:rPr/>
      </w:pPr>
      <w:r>
        <w:rPr/>
        <w:t>2.5 Hz/s, evaluada como Δf / Δt = 0.5 Hz / 0.200 s.</w:t>
      </w:r>
    </w:p>
    <w:p>
      <w:pPr>
        <w:pStyle w:val="Normal"/>
        <w:spacing w:before="160" w:after="80"/>
        <w:rPr/>
      </w:pPr>
      <w:r>
        <w:rPr/>
        <w:t>evaluada mediante una variación de frecuencia simulada, sin disparo de protecciones ni desconexión no intencional.</w:t>
      </w:r>
    </w:p>
    <w:p>
      <w:pPr>
        <w:pStyle w:val="Normal"/>
        <w:spacing w:before="160" w:after="80"/>
        <w:rPr/>
      </w:pPr>
      <w:r>
        <w:rPr>
          <w:b/>
          <w:bCs/>
          <w:color w:val="312E81"/>
        </w:rPr>
        <w:t>Resultados de la prueba</w:t>
      </w:r>
    </w:p>
    <w:p>
      <w:pPr>
        <w:pStyle w:val="Normal"/>
        <w:spacing w:before="0" w:after="120"/>
        <w:rPr/>
      </w:pPr>
      <w:r>
        <w:rPr/>
        <w:t>La evidencia de esta prueba corresponderá al registro de la frecuencia simulada, frecuencia medida, potencia activa, velocidad del rotor y voltaje del generador durante la aplicación del cambio de frecuencia.</w:t>
      </w:r>
    </w:p>
    <w:p>
      <w:pPr>
        <w:pStyle w:val="Normal"/>
        <w:spacing w:before="0" w:after="120"/>
        <w:rPr/>
      </w:pPr>
      <w:r>
        <w:rPr/>
      </w:r>
    </w:p>
    <w:p>
      <w:pPr>
        <w:pStyle w:val="Normal"/>
        <w:spacing w:before="0" w:after="120"/>
        <w:rPr/>
      </w:pPr>
      <w:r>
        <w:rPr/>
        <w:t>La información presentada permitirá verificar que la Central Eléctrica permanece interconectada ante la razón de cambio evaluada y que la variación de potencia activa corresponde a la actuación del modo de control de frecuencia, sin comprometer la continuidad operativa de la central.</w:t>
      </w:r>
    </w:p>
    <w:p>
      <w:pPr>
        <w:pStyle w:val="Normal"/>
        <w:spacing w:before="0" w:after="120"/>
        <w:rPr/>
      </w:pPr>
      <w:r>
        <w:rPr/>
      </w:r>
    </w:p>
    <w:p>
      <w:pPr>
        <w:pStyle w:val="Normal"/>
        <w:spacing w:before="0" w:after="120"/>
        <w:rPr/>
      </w:pPr>
      <w:r>
        <w:rPr/>
        <w:t>Como respaldo documental, se podrá integrar la evidencia de configuración del sistema de control donde se identifique el ajuste asociado a la permanencia ante razón de cambio de frecuencia, siempre que dicha información se encuentre disponible.</w:t>
      </w:r>
    </w:p>
    <w:p>
      <w:pPr>
        <w:pStyle w:val="Normal"/>
        <w:spacing w:before="0" w:after="120"/>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286"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lang w:val="en-US"/>
              </w:rPr>
            </w:pPr>
            <w:r>
              <w:rPr>
                <w:b/>
                <w:bCs/>
                <w:i/>
                <w:iCs/>
                <w:color w:val="404040"/>
                <w:color w:val="404040"/>
                <w:lang w:val="en-US"/>
                <w:rPrChange w:id="0" w:author="As Te" w:date="2026-07-01T21:20:00Z">
                  <w:rPr>
                    <w:i/>
                    <w:b/>
                    <w:iCs/>
                    <w:bCs/>
                  </w:rPr>
                </w:rPrChange>
              </w:rPr>
              <w:t>Captura ajuste Freq. control setpoint ramp = 2.5 Hz/s</w:t>
            </w:r>
          </w:p>
          <w:p>
            <w:pPr>
              <w:pStyle w:val="Normal"/>
              <w:jc w:val="center"/>
              <w:rPr/>
            </w:pPr>
            <w:r>
              <w:rPr>
                <w:i/>
                <w:iCs/>
                <w:color w:val="808080"/>
                <w:sz w:val="18"/>
                <w:szCs w:val="18"/>
              </w:rPr>
              <w:t>[Captura de pantalla]</w:t>
            </w:r>
          </w:p>
        </w:tc>
      </w:tr>
    </w:tbl>
    <w:p>
      <w:pPr>
        <w:pStyle w:val="Subtitle"/>
        <w:rPr/>
      </w:pPr>
      <w:r>
        <w:rPr/>
        <w:t>Figura. Ajustes control setpoint 2-5Hz/s</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028"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Razón de cambio 2.5 Hz/s — CNK</w:t>
            </w:r>
          </w:p>
          <w:p>
            <w:pPr>
              <w:pStyle w:val="Normal"/>
              <w:jc w:val="center"/>
              <w:rPr/>
            </w:pPr>
            <w:r>
              <w:rPr>
                <w:i/>
                <w:iCs/>
                <w:color w:val="808080"/>
                <w:sz w:val="18"/>
                <w:szCs w:val="18"/>
              </w:rPr>
              <w:t>[Espacio reservado para gráfica]</w:t>
            </w:r>
          </w:p>
        </w:tc>
      </w:tr>
    </w:tbl>
    <w:p>
      <w:pPr>
        <w:pStyle w:val="Subtitle"/>
        <w:rPr/>
      </w:pPr>
      <w:r>
        <w:rPr/>
        <w:t>Grafica. Razón de Cambio 2.5 Hz/s</w:t>
      </w:r>
    </w:p>
    <w:p>
      <w:pPr>
        <w:pStyle w:val="Normal"/>
        <w:rPr/>
      </w:pPr>
      <w:r>
        <w:rPr/>
      </w:r>
    </w:p>
    <w:p>
      <w:pPr>
        <w:pStyle w:val="Heading2"/>
        <w:rPr/>
      </w:pPr>
      <w:bookmarkStart w:id="9" w:name="_Toc230532598"/>
      <w:r>
        <w:rPr/>
        <w:t>3.2. Prueba 2 - Rango de Frecuencia</w:t>
      </w:r>
      <w:bookmarkEnd w:id="9"/>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2" wp14:anchorId="77265E72">
                      <wp:simplePos x="0" y="0"/>
                      <wp:positionH relativeFrom="column">
                        <wp:posOffset>74295</wp:posOffset>
                      </wp:positionH>
                      <wp:positionV relativeFrom="paragraph">
                        <wp:posOffset>79375</wp:posOffset>
                      </wp:positionV>
                      <wp:extent cx="708660" cy="635"/>
                      <wp:effectExtent l="0" t="10160" r="0" b="9525"/>
                      <wp:wrapNone/>
                      <wp:docPr id="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7265E7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3" wp14:anchorId="6EE6CBDF">
                      <wp:simplePos x="0" y="0"/>
                      <wp:positionH relativeFrom="column">
                        <wp:posOffset>0</wp:posOffset>
                      </wp:positionH>
                      <wp:positionV relativeFrom="paragraph">
                        <wp:posOffset>71120</wp:posOffset>
                      </wp:positionV>
                      <wp:extent cx="708660" cy="0"/>
                      <wp:effectExtent l="635" t="10160" r="635" b="10160"/>
                      <wp:wrapNone/>
                      <wp:docPr id="1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6EE6CBDF">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4" wp14:anchorId="46172922">
                      <wp:simplePos x="0" y="0"/>
                      <wp:positionH relativeFrom="column">
                        <wp:posOffset>0</wp:posOffset>
                      </wp:positionH>
                      <wp:positionV relativeFrom="paragraph">
                        <wp:posOffset>65405</wp:posOffset>
                      </wp:positionV>
                      <wp:extent cx="708660" cy="635"/>
                      <wp:effectExtent l="635" t="9525" r="635" b="9525"/>
                      <wp:wrapNone/>
                      <wp:docPr id="1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617292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2" name="Imagen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descr="Badge Tick1 con relleno sólido"/>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3" name="Imagen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Badge Tick1 con relleno sólido"/>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4" name="Imagen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descr="Badge Tick1 con relleno sólido"/>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5" name="Imagen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descr="Badge Tick1 con relleno sólido"/>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160" w:after="80"/>
        <w:rPr>
          <w:b/>
          <w:bCs/>
          <w:color w:val="312E81"/>
        </w:rPr>
      </w:pPr>
      <w:r>
        <w:rPr>
          <w:b/>
          <w:bCs/>
          <w:color w:val="312E81"/>
        </w:rPr>
      </w:r>
    </w:p>
    <w:p>
      <w:pPr>
        <w:pStyle w:val="Normal"/>
        <w:spacing w:before="160" w:after="80"/>
        <w:rPr/>
      </w:pPr>
      <w:r>
        <w:rPr>
          <w:b/>
          <w:bCs/>
          <w:color w:val="312E81"/>
        </w:rPr>
        <w:t>Objetivo</w:t>
      </w:r>
    </w:p>
    <w:p>
      <w:pPr>
        <w:pStyle w:val="Normal"/>
        <w:rPr/>
      </w:pPr>
      <w:r>
        <w:rPr/>
        <w:t xml:space="preserve">Esta prueba verifica que la </w:t>
      </w:r>
      <w:r>
        <w:rPr>
          <w:b/>
          <w:bCs/>
        </w:rPr>
        <w:t>Central Eléctrica</w:t>
      </w:r>
      <w:r>
        <w:rPr/>
        <w:t xml:space="preserve"> permanezca interconectada y en operación dentro de los rangos de frecuencia y tiempos mínimos establecidos para el Sistema Interconectado Nacional.</w:t>
      </w:r>
    </w:p>
    <w:p>
      <w:pPr>
        <w:pStyle w:val="Normal"/>
        <w:rPr/>
      </w:pPr>
      <w:r>
        <w:rPr/>
      </w:r>
    </w:p>
    <w:p>
      <w:pPr>
        <w:pStyle w:val="Normal"/>
        <w:rPr/>
      </w:pPr>
      <w:r>
        <w:rPr/>
        <w:t xml:space="preserve">El criterio de evaluación se toma del Anexo 5 del </w:t>
      </w:r>
      <w:r>
        <w:rPr>
          <w:b/>
          <w:bCs/>
        </w:rPr>
        <w:t>Procedimiento de Operación para la Declaración de Entrada en Operación Comercial de Centrales Eléctricas y Centros de Carga</w:t>
      </w:r>
      <w:r>
        <w:rPr/>
        <w:t xml:space="preserve">, en el apartado de pruebas por Central Eléctrica para Centrales Eléctricas Síncronas, donde se establece la prueba de </w:t>
      </w:r>
      <w:r>
        <w:rPr>
          <w:b/>
          <w:bCs/>
        </w:rPr>
        <w:t>Rango de Frecuencia</w:t>
      </w:r>
      <w:r>
        <w:rPr/>
        <w:t xml:space="preserve">.  </w:t>
      </w:r>
    </w:p>
    <w:p>
      <w:pPr>
        <w:pStyle w:val="Normal"/>
        <w:rPr/>
      </w:pPr>
      <w:r>
        <w:rPr/>
      </w:r>
    </w:p>
    <w:p>
      <w:pPr>
        <w:pStyle w:val="Normal"/>
        <w:rPr/>
      </w:pPr>
      <w:r>
        <w:rPr/>
        <w:t xml:space="preserve">El fundamento técnico corresponde al Código de Red 2.0, dentro del Manual Regulatorio de Requerimientos Técnicos para la Interconexión de Centrales Eléctricas al Sistema Eléctrico Nacional, </w:t>
      </w:r>
      <w:r>
        <w:rPr>
          <w:b/>
          <w:bCs/>
        </w:rPr>
        <w:t>Capítulo 2, Sección 2.1, donde se definen las zonas de frecuencia</w:t>
      </w:r>
      <w:r>
        <w:rPr/>
        <w:t xml:space="preserve"> y los tiempos mínimos de operación sin desconexión de la Red Eléctrica para Centrales Eléctricas.</w:t>
      </w:r>
    </w:p>
    <w:p>
      <w:pPr>
        <w:pStyle w:val="Normal"/>
        <w:rPr/>
      </w:pPr>
      <w:r>
        <w:rPr/>
      </w:r>
    </w:p>
    <w:tbl>
      <w:tblPr>
        <w:tblW w:w="936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3120"/>
        <w:gridCol w:w="3120"/>
        <w:gridCol w:w="3120"/>
      </w:tblGrid>
      <w:tr>
        <w:trPr>
          <w:tblHeader w:val="true"/>
        </w:trPr>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rPr>
              <w:t>Área síncrona</w:t>
            </w:r>
          </w:p>
        </w:tc>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rPr>
              <w:t>Rango de frecuencias</w:t>
            </w:r>
          </w:p>
        </w:tc>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jc w:val="center"/>
              <w:rPr/>
            </w:pPr>
            <w:r>
              <w:rPr>
                <w:b/>
                <w:bCs/>
                <w:color w:val="FFFFFF"/>
              </w:rPr>
              <w:t>Tiempo mínimo de operación</w:t>
            </w:r>
          </w:p>
        </w:tc>
      </w:tr>
      <w:tr>
        <w:trPr>
          <w:trHeight w:val="20" w:hRule="atLeast"/>
        </w:trPr>
        <w:tc>
          <w:tcPr>
            <w:tcW w:w="3120" w:type="dxa"/>
            <w:vMerge w:val="restart"/>
            <w:tcBorders>
              <w:top w:val="single" w:sz="4" w:space="0" w:color="BFBFBF"/>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t>Sistema Interconectado Nacional y Baja California</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61.8 Hz ≤ f &lt; 62.4 Hz</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15 minutos</w:t>
            </w:r>
          </w:p>
        </w:tc>
      </w:tr>
      <w:tr>
        <w:trPr>
          <w:trHeight w:val="20" w:hRule="atLeast"/>
        </w:trPr>
        <w:tc>
          <w:tcPr>
            <w:tcW w:w="3120" w:type="dxa"/>
            <w:vMerge w:val="continue"/>
            <w:tcBorders>
              <w:top w:val="single" w:sz="4" w:space="0" w:color="000000"/>
              <w:left w:val="single" w:sz="4" w:space="0" w:color="BFBFBF"/>
              <w:bottom w:val="single" w:sz="4" w:space="0" w:color="000000"/>
              <w:right w:val="single" w:sz="4" w:space="0" w:color="BFBFBF"/>
            </w:tcBorders>
            <w:vAlign w:val="center"/>
          </w:tcPr>
          <w:p>
            <w:pPr>
              <w:pStyle w:val="Normal"/>
              <w:jc w:val="center"/>
              <w:rPr>
                <w:sz w:val="20"/>
                <w:szCs w:val="20"/>
              </w:rPr>
            </w:pPr>
            <w:r>
              <w:rPr>
                <w:sz w:val="20"/>
                <w:szCs w:val="20"/>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61.2 Hz ≤ f &lt; 61.8 Hz</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30 minutos</w:t>
            </w:r>
          </w:p>
        </w:tc>
      </w:tr>
      <w:tr>
        <w:trPr>
          <w:trHeight w:val="20" w:hRule="atLeast"/>
        </w:trPr>
        <w:tc>
          <w:tcPr>
            <w:tcW w:w="3120" w:type="dxa"/>
            <w:vMerge w:val="continue"/>
            <w:tcBorders>
              <w:top w:val="single" w:sz="4" w:space="0" w:color="000000"/>
              <w:left w:val="single" w:sz="4" w:space="0" w:color="BFBFBF"/>
              <w:bottom w:val="single" w:sz="4" w:space="0" w:color="000000"/>
              <w:right w:val="single" w:sz="4" w:space="0" w:color="BFBFBF"/>
            </w:tcBorders>
            <w:vAlign w:val="center"/>
          </w:tcPr>
          <w:p>
            <w:pPr>
              <w:pStyle w:val="Normal"/>
              <w:jc w:val="center"/>
              <w:rPr>
                <w:sz w:val="20"/>
                <w:szCs w:val="20"/>
              </w:rPr>
            </w:pPr>
            <w:r>
              <w:rPr>
                <w:sz w:val="20"/>
                <w:szCs w:val="20"/>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58.8 Hz ≤ f &lt; 61.2 Hz</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Ilimitado</w:t>
            </w:r>
          </w:p>
        </w:tc>
      </w:tr>
      <w:tr>
        <w:trPr>
          <w:trHeight w:val="20" w:hRule="atLeast"/>
        </w:trPr>
        <w:tc>
          <w:tcPr>
            <w:tcW w:w="3120" w:type="dxa"/>
            <w:vMerge w:val="continue"/>
            <w:tcBorders>
              <w:top w:val="single" w:sz="4" w:space="0" w:color="000000"/>
              <w:left w:val="single" w:sz="4" w:space="0" w:color="BFBFBF"/>
              <w:bottom w:val="single" w:sz="4" w:space="0" w:color="000000"/>
              <w:right w:val="single" w:sz="4" w:space="0" w:color="BFBFBF"/>
            </w:tcBorders>
            <w:vAlign w:val="center"/>
          </w:tcPr>
          <w:p>
            <w:pPr>
              <w:pStyle w:val="Normal"/>
              <w:jc w:val="center"/>
              <w:rPr>
                <w:sz w:val="20"/>
                <w:szCs w:val="20"/>
              </w:rPr>
            </w:pPr>
            <w:r>
              <w:rPr>
                <w:sz w:val="20"/>
                <w:szCs w:val="20"/>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58.2 Hz ≤ f &lt; 58.8 Hz</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30 minutos</w:t>
            </w:r>
          </w:p>
        </w:tc>
      </w:tr>
      <w:tr>
        <w:trPr>
          <w:trHeight w:val="20" w:hRule="atLeast"/>
        </w:trPr>
        <w:tc>
          <w:tcPr>
            <w:tcW w:w="3120" w:type="dxa"/>
            <w:vMerge w:val="continue"/>
            <w:tcBorders>
              <w:top w:val="single" w:sz="4" w:space="0" w:color="000000"/>
              <w:left w:val="single" w:sz="4" w:space="0" w:color="BFBFBF"/>
              <w:bottom w:val="single" w:sz="4" w:space="0" w:color="BFBFBF"/>
              <w:right w:val="single" w:sz="4" w:space="0" w:color="BFBFBF"/>
            </w:tcBorders>
            <w:vAlign w:val="center"/>
          </w:tcPr>
          <w:p>
            <w:pPr>
              <w:pStyle w:val="Normal"/>
              <w:jc w:val="center"/>
              <w:rPr>
                <w:sz w:val="20"/>
                <w:szCs w:val="20"/>
              </w:rPr>
            </w:pPr>
            <w:r>
              <w:rPr>
                <w:sz w:val="20"/>
                <w:szCs w:val="20"/>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57.0 Hz ≤ f &lt; 58.2 Hz</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20"/>
                <w:szCs w:val="20"/>
              </w:rPr>
            </w:pPr>
            <w:r>
              <w:rPr>
                <w:sz w:val="20"/>
                <w:szCs w:val="20"/>
              </w:rPr>
              <w:t>15 minutos</w:t>
            </w:r>
          </w:p>
        </w:tc>
      </w:tr>
    </w:tbl>
    <w:p>
      <w:pPr>
        <w:pStyle w:val="Subtitle"/>
        <w:rPr/>
      </w:pPr>
      <w:r>
        <w:rPr/>
        <w:t>Tabla 1.2 Tiempos mínimos en los que una Central Eléctrica debe operar en frecuencias diferentes del valor nominal, sin desconectarse de la red.</w:t>
      </w:r>
    </w:p>
    <w:p>
      <w:pPr>
        <w:pStyle w:val="Normal"/>
        <w:rPr/>
      </w:pPr>
      <w:r>
        <w:rPr/>
      </w:r>
    </w:p>
    <w:p>
      <w:pPr>
        <w:pStyle w:val="Normal"/>
        <w:spacing w:before="160" w:after="80"/>
        <w:rPr/>
      </w:pPr>
      <w:r>
        <w:rPr>
          <w:b/>
          <w:bCs/>
          <w:color w:val="312E81"/>
        </w:rPr>
        <w:t>Condiciones y desarrollo de la prueba</w:t>
      </w:r>
    </w:p>
    <w:p>
      <w:pPr>
        <w:pStyle w:val="ListParagraph"/>
        <w:numPr>
          <w:ilvl w:val="0"/>
          <w:numId w:val="5"/>
        </w:numPr>
        <w:rPr/>
      </w:pPr>
      <w:r>
        <w:rPr/>
        <w:t>Integrar la información técnica del fabricante donde se indiquen los rangos de frecuencia en los que las unidades de la Central Eléctrica pueden operar de manera correcta y segura.</w:t>
      </w:r>
    </w:p>
    <w:p>
      <w:pPr>
        <w:pStyle w:val="ListParagraph"/>
        <w:numPr>
          <w:ilvl w:val="0"/>
          <w:numId w:val="5"/>
        </w:numPr>
        <w:rPr/>
      </w:pPr>
      <w:r>
        <w:rPr/>
        <w:t>Revisar las restricciones operativas asociadas a la velocidad o frecuencia de operación de la unidad.</w:t>
      </w:r>
    </w:p>
    <w:p>
      <w:pPr>
        <w:pStyle w:val="ListParagraph"/>
        <w:numPr>
          <w:ilvl w:val="0"/>
          <w:numId w:val="5"/>
        </w:numPr>
        <w:rPr/>
      </w:pPr>
      <w:r>
        <w:rPr/>
        <w:t>Verificar que los rangos de operación documentados no se contrapongan con los tiempos mínimos de permanencia requeridos por el Código de Red.</w:t>
      </w:r>
    </w:p>
    <w:p>
      <w:pPr>
        <w:pStyle w:val="ListParagraph"/>
        <w:numPr>
          <w:ilvl w:val="0"/>
          <w:numId w:val="5"/>
        </w:numPr>
        <w:rPr/>
      </w:pPr>
      <w:r>
        <w:rPr/>
        <w:t>Integrar, en caso de estar disponible, evidencia de pruebas de diseño, pruebas de laboratorio o documentación técnica que respalde la capacidad de operación de la unidad ante frecuencias distintas a la nominal.</w:t>
      </w:r>
    </w:p>
    <w:p>
      <w:pPr>
        <w:pStyle w:val="ListParagraph"/>
        <w:numPr>
          <w:ilvl w:val="0"/>
          <w:numId w:val="5"/>
        </w:numPr>
        <w:rPr/>
      </w:pPr>
      <w:r>
        <w:rPr/>
        <w:t>Revisar los ajustes de protección asociados a frecuencia, principalmente funciones de sobrefrecuencia y baja frecuencia.</w:t>
      </w:r>
    </w:p>
    <w:p>
      <w:pPr>
        <w:pStyle w:val="ListParagraph"/>
        <w:numPr>
          <w:ilvl w:val="0"/>
          <w:numId w:val="5"/>
        </w:numPr>
        <w:rPr/>
      </w:pPr>
      <w:r>
        <w:rPr/>
        <w:t>Integrar evidencia gráfica de los ajustes implementados en campo y, cuando aplique, el estudio documental de ajuste de protecciones de la unidad.</w:t>
      </w:r>
    </w:p>
    <w:p>
      <w:pPr>
        <w:pStyle w:val="ListParagraph"/>
        <w:numPr>
          <w:ilvl w:val="0"/>
          <w:numId w:val="5"/>
        </w:numPr>
        <w:rPr/>
      </w:pPr>
      <w:r>
        <w:rPr/>
        <w:t>Comparar los ajustes de protección contra los rangos mínimos de permanencia requeridos, verificando que no provoquen la desconexión anticipada de la Central Eléctrica dentro de los rangos exigidos.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rPr/>
      </w:pPr>
      <w:r>
        <w:rPr/>
      </w:r>
    </w:p>
    <w:p>
      <w:pPr>
        <w:pStyle w:val="Normal"/>
        <w:rPr/>
      </w:pPr>
      <w:r>
        <w:rPr/>
        <w:t>No aplica para medición directa en campo, al tratarse de una verificación documental de rangos de operación y ajustes de protección.</w:t>
      </w:r>
    </w:p>
    <w:p>
      <w:pPr>
        <w:pStyle w:val="Normal"/>
        <w:spacing w:before="160" w:after="80"/>
        <w:rPr>
          <w:b/>
          <w:bCs/>
          <w:color w:val="312E81"/>
        </w:rPr>
      </w:pPr>
      <w:r>
        <w:rPr>
          <w:b/>
          <w:bCs/>
          <w:color w:val="312E81"/>
        </w:rPr>
      </w:r>
    </w:p>
    <w:p>
      <w:pPr>
        <w:pStyle w:val="Normal"/>
        <w:spacing w:before="160" w:after="80"/>
        <w:rPr/>
      </w:pPr>
      <w:r>
        <w:rPr>
          <w:b/>
          <w:bCs/>
          <w:color w:val="312E81"/>
        </w:rPr>
        <w:t>Criterio de aceptación</w:t>
      </w:r>
    </w:p>
    <w:p>
      <w:pPr>
        <w:pStyle w:val="Normal"/>
        <w:spacing w:before="160" w:after="80"/>
        <w:rPr/>
      </w:pPr>
      <w:r>
        <w:rPr/>
        <w:t>La prueba se considera satisfactoria cuando la documentación técnica y los ajustes de protección evidencian que la Central Eléctrica puede permanecer interconectada y operando dentro de los rangos de frecuencia y tiempos mínimos establecidos.</w:t>
      </w:r>
    </w:p>
    <w:p>
      <w:pPr>
        <w:pStyle w:val="Normal"/>
        <w:spacing w:before="160" w:after="80"/>
        <w:rPr/>
      </w:pPr>
      <w:r>
        <w:rPr/>
      </w:r>
    </w:p>
    <w:p>
      <w:pPr>
        <w:pStyle w:val="Normal"/>
        <w:spacing w:before="160" w:after="80"/>
        <w:rPr/>
      </w:pPr>
      <w:r>
        <w:rPr/>
        <w:t>De forma particular, los ajustes de protección no deberán provocar la desconexión de la Central Eléctrica antes de cumplir los tiempos mínimos requeridos para cada rango de frecuencia.</w:t>
      </w:r>
    </w:p>
    <w:p>
      <w:pPr>
        <w:pStyle w:val="Normal"/>
        <w:spacing w:before="160" w:after="80"/>
        <w:rPr/>
      </w:pPr>
      <w:r>
        <w:rPr/>
      </w:r>
    </w:p>
    <w:p>
      <w:pPr>
        <w:pStyle w:val="Normal"/>
        <w:spacing w:before="160" w:after="80"/>
        <w:rPr/>
      </w:pPr>
      <w:r>
        <w:rPr>
          <w:b/>
          <w:bCs/>
          <w:color w:val="312E81"/>
        </w:rPr>
        <w:t>Resultados de la prueba</w:t>
      </w:r>
    </w:p>
    <w:p>
      <w:pPr>
        <w:pStyle w:val="Normal"/>
        <w:spacing w:before="160" w:after="80"/>
        <w:rPr/>
      </w:pPr>
      <w:r>
        <w:rPr/>
        <w:t>La evidencia de esta prueba corresponderá a la documentación técnica de la unidad, los rangos de operación permitidos y los ajustes de protección asociados a frecuencia.</w:t>
      </w:r>
    </w:p>
    <w:p>
      <w:pPr>
        <w:pStyle w:val="Normal"/>
        <w:spacing w:before="160" w:after="80"/>
        <w:rPr/>
      </w:pPr>
      <w:r>
        <w:rPr/>
      </w:r>
    </w:p>
    <w:p>
      <w:pPr>
        <w:pStyle w:val="Normal"/>
        <w:spacing w:before="160" w:after="80"/>
        <w:rPr/>
      </w:pPr>
      <w:r>
        <w:rPr/>
        <w:t>La información presentada permitirá comparar los puntos de alarma y disparo de las protecciones de frecuencia contra los tiempos mínimos de operación requeridos por el Código de Red, verificando que la Central Eléctrica no se desconecte dentro de los rangos exigidos.</w:t>
      </w:r>
    </w:p>
    <w:p>
      <w:pPr>
        <w:pStyle w:val="Normal"/>
        <w:spacing w:before="160" w:after="80"/>
        <w:rPr/>
      </w:pPr>
      <w:r>
        <w:rPr/>
      </w:r>
    </w:p>
    <w:p>
      <w:pPr>
        <w:pStyle w:val="Normal"/>
        <w:spacing w:before="160" w:after="80"/>
        <w:rPr/>
      </w:pPr>
      <w:r>
        <w:rPr/>
        <w:t>La evidencia documental podrá presentarse mediante tabla de ajustes de protección, capturas del sistema de control o protección, y referencias al documento técnico donde se identifiquen los parámetros de sobrefrecuencia y baja frecuencia.</w:t>
      </w:r>
    </w:p>
    <w:p>
      <w:pPr>
        <w:pStyle w:val="Normal"/>
        <w:spacing w:before="160" w:after="80"/>
        <w:rPr/>
      </w:pPr>
      <w:r>
        <w:rPr/>
      </w:r>
    </w:p>
    <w:tbl>
      <w:tblPr>
        <w:tblW w:w="936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2340"/>
        <w:gridCol w:w="2340"/>
        <w:gridCol w:w="2340"/>
        <w:gridCol w:w="2339"/>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Protección ANSI</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Frecuencia (Hz)</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Tiempo (s)</w:t>
            </w:r>
          </w:p>
        </w:tc>
        <w:tc>
          <w:tcPr>
            <w:tcW w:w="233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Modo de operación</w:t>
            </w:r>
          </w:p>
        </w:tc>
      </w:tr>
      <w:tr>
        <w:trPr/>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rPr>
                <w:sz w:val="18"/>
                <w:szCs w:val="18"/>
              </w:rPr>
            </w:pPr>
            <w:r>
              <w:rPr>
                <w:sz w:val="18"/>
                <w:szCs w:val="18"/>
              </w:rPr>
            </w:r>
          </w:p>
        </w:tc>
        <w:tc>
          <w:tcPr>
            <w:tcW w:w="2339"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Alarma</w:t>
            </w:r>
          </w:p>
        </w:tc>
      </w:tr>
      <w:tr>
        <w:trPr/>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39"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Disparo</w:t>
            </w:r>
          </w:p>
        </w:tc>
      </w:tr>
    </w:tbl>
    <w:p>
      <w:pPr>
        <w:pStyle w:val="Subtitle"/>
        <w:rPr/>
      </w:pPr>
      <w:r>
        <w:rPr/>
        <w:t>Tabla. Ajustes de protección de sobre frecuencia y baja frecuencia</w:t>
      </w:r>
    </w:p>
    <w:p>
      <w:pPr>
        <w:pStyle w:val="Normal"/>
        <w:spacing w:before="160" w:after="80"/>
        <w:rPr>
          <w:b/>
          <w:bCs/>
          <w:color w:val="312E81"/>
        </w:rPr>
      </w:pPr>
      <w:r>
        <w:rPr>
          <w:b/>
          <w:bCs/>
          <w:color w:val="312E81"/>
        </w:rPr>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187"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Ajustes — Sobre/Baja frecuencia</w:t>
            </w:r>
          </w:p>
          <w:p>
            <w:pPr>
              <w:pStyle w:val="Normal"/>
              <w:jc w:val="center"/>
              <w:rPr/>
            </w:pPr>
            <w:r>
              <w:rPr>
                <w:i/>
                <w:iCs/>
                <w:color w:val="808080"/>
                <w:sz w:val="18"/>
                <w:szCs w:val="18"/>
              </w:rPr>
              <w:t>[Captura de pantalla]</w:t>
            </w:r>
          </w:p>
        </w:tc>
      </w:tr>
    </w:tbl>
    <w:p>
      <w:pPr>
        <w:pStyle w:val="Subtitle"/>
        <w:rPr/>
      </w:pPr>
      <w:r>
        <w:rPr/>
        <w:t>Figura. Ajustes Sobre/Baja frecuencia</w:t>
      </w:r>
    </w:p>
    <w:p>
      <w:pPr>
        <w:pStyle w:val="Normal"/>
        <w:rPr/>
      </w:pPr>
      <w:r>
        <w:rPr/>
      </w:r>
    </w:p>
    <w:p>
      <w:pPr>
        <w:pStyle w:val="Heading2"/>
        <w:rPr/>
      </w:pPr>
      <w:bookmarkStart w:id="10" w:name="_Toc230532599"/>
      <w:r>
        <w:rPr/>
        <w:t>3.3. Prueba 3 - Limitación Total de Potencia Activa</w:t>
      </w:r>
      <w:bookmarkEnd w:id="10"/>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5" wp14:anchorId="3BB1CFC9">
                      <wp:simplePos x="0" y="0"/>
                      <wp:positionH relativeFrom="column">
                        <wp:posOffset>74295</wp:posOffset>
                      </wp:positionH>
                      <wp:positionV relativeFrom="paragraph">
                        <wp:posOffset>79375</wp:posOffset>
                      </wp:positionV>
                      <wp:extent cx="708660" cy="635"/>
                      <wp:effectExtent l="0" t="10160" r="0" b="9525"/>
                      <wp:wrapNone/>
                      <wp:docPr id="1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3BB1CFC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6" wp14:anchorId="71A935D7">
                      <wp:simplePos x="0" y="0"/>
                      <wp:positionH relativeFrom="column">
                        <wp:posOffset>0</wp:posOffset>
                      </wp:positionH>
                      <wp:positionV relativeFrom="paragraph">
                        <wp:posOffset>71120</wp:posOffset>
                      </wp:positionV>
                      <wp:extent cx="708660" cy="0"/>
                      <wp:effectExtent l="635" t="10160" r="635" b="10160"/>
                      <wp:wrapNone/>
                      <wp:docPr id="17"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1A935D7">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7" wp14:anchorId="6270644C">
                      <wp:simplePos x="0" y="0"/>
                      <wp:positionH relativeFrom="column">
                        <wp:posOffset>0</wp:posOffset>
                      </wp:positionH>
                      <wp:positionV relativeFrom="paragraph">
                        <wp:posOffset>65405</wp:posOffset>
                      </wp:positionV>
                      <wp:extent cx="708660" cy="635"/>
                      <wp:effectExtent l="635" t="9525" r="635" b="9525"/>
                      <wp:wrapNone/>
                      <wp:docPr id="1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6270644C">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9" name="Imagen1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0" descr="Badge Tick1 con relleno sólido"/>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20" name="Imagen1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1" descr="Badge Tick1 con relleno sólido"/>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21" name="Imagen1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2" descr="Badge Tick1 con relleno sólido"/>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22" name="Imagen1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3" descr="Badge Tick1 con relleno sólido"/>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220980" cy="220980"/>
                          </a:xfrm>
                          <a:prstGeom prst="rect">
                            <a:avLst/>
                          </a:prstGeom>
                          <a:noFill/>
                        </pic:spPr>
                      </pic:pic>
                    </a:graphicData>
                  </a:graphic>
                </wp:inline>
              </w:drawing>
            </w:r>
          </w:p>
        </w:tc>
      </w:tr>
    </w:tbl>
    <w:p>
      <w:pPr>
        <w:pStyle w:val="Normal"/>
        <w:rPr/>
      </w:pPr>
      <w:r>
        <w:rPr/>
      </w:r>
    </w:p>
    <w:p>
      <w:pPr>
        <w:pStyle w:val="Normal"/>
        <w:spacing w:before="160" w:after="80"/>
        <w:rPr/>
      </w:pPr>
      <w:r>
        <w:rPr>
          <w:b/>
          <w:bCs/>
          <w:color w:val="312E81"/>
        </w:rPr>
        <w:t>Objetivo</w:t>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t xml:space="preserve">Esta prueba verifica que la </w:t>
      </w:r>
      <w:r>
        <w:rPr>
          <w:rFonts w:ascii="Helvetica Neue Light" w:hAnsi="Helvetica Neue Light"/>
          <w:b/>
          <w:bCs/>
          <w:sz w:val="22"/>
          <w:szCs w:val="22"/>
        </w:rPr>
        <w:t>Central Eléctrica</w:t>
      </w:r>
      <w:r>
        <w:rPr>
          <w:rFonts w:ascii="Helvetica Neue Light" w:hAnsi="Helvetica Neue Light"/>
          <w:sz w:val="22"/>
          <w:szCs w:val="22"/>
        </w:rPr>
        <w:t xml:space="preserve"> permita detener la aportación de potencia activa mediante una consigna de reducción total, llevando la referencia de generación hasta 0 MW, sin que esto implique la desconexión de la central de la red.</w:t>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t xml:space="preserve">El criterio de evaluación se toma del Anexo 5 del </w:t>
      </w:r>
      <w:r>
        <w:rPr>
          <w:rFonts w:ascii="Helvetica Neue Light" w:hAnsi="Helvetica Neue Light"/>
          <w:b/>
          <w:bCs/>
          <w:sz w:val="22"/>
          <w:szCs w:val="22"/>
        </w:rPr>
        <w:t>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Central Eléctrica para </w:t>
      </w:r>
      <w:r>
        <w:rPr>
          <w:rFonts w:ascii="Helvetica Neue Light" w:hAnsi="Helvetica Neue Light"/>
          <w:b/>
          <w:bCs/>
          <w:sz w:val="22"/>
          <w:szCs w:val="22"/>
        </w:rPr>
        <w:t>Centrales Eléctricas Síncronas</w:t>
      </w:r>
      <w:r>
        <w:rPr>
          <w:rFonts w:ascii="Helvetica Neue Light" w:hAnsi="Helvetica Neue Light"/>
          <w:sz w:val="22"/>
          <w:szCs w:val="22"/>
        </w:rPr>
        <w:t xml:space="preserve">, donde se establece la prueba de Limitación Total de Potencia Activa, con el criterio de </w:t>
      </w:r>
      <w:r>
        <w:rPr>
          <w:rFonts w:ascii="Helvetica Neue Light" w:hAnsi="Helvetica Neue Light"/>
          <w:b/>
          <w:bCs/>
          <w:sz w:val="22"/>
          <w:szCs w:val="22"/>
        </w:rPr>
        <w:t>alcanzar la consigna en un tiempo mayor a 5 segundos.</w:t>
      </w:r>
      <w:r>
        <w:rPr>
          <w:rFonts w:ascii="Helvetica Neue Light" w:hAnsi="Helvetica Neue Light"/>
          <w:sz w:val="22"/>
          <w:szCs w:val="22"/>
        </w:rPr>
        <w:t xml:space="preserve">  </w:t>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La prueba permite comprobar la capacidad de la central para responder a una instrucción de reducción total de potencia activa, manteniendo la condición de interconexión y sin presentar pérdida de control durante la reducción.</w:t>
      </w:r>
    </w:p>
    <w:p>
      <w:pPr>
        <w:pStyle w:val="Normal"/>
        <w:spacing w:before="160" w:after="80"/>
        <w:rPr/>
      </w:pPr>
      <w:r>
        <w:rPr>
          <w:b/>
          <w:bCs/>
          <w:color w:val="312E81"/>
        </w:rPr>
        <w:t>Condiciones y desarrollo de la prueba</w:t>
      </w:r>
    </w:p>
    <w:p>
      <w:pPr>
        <w:pStyle w:val="ListParagraph"/>
        <w:numPr>
          <w:ilvl w:val="0"/>
          <w:numId w:val="6"/>
        </w:numPr>
        <w:rPr/>
      </w:pPr>
      <w:r>
        <w:rPr/>
        <w:t>Verificar que la Central Eléctrica se encuentre sincronizada y operando en condición estable.</w:t>
      </w:r>
    </w:p>
    <w:p>
      <w:pPr>
        <w:pStyle w:val="ListParagraph"/>
        <w:numPr>
          <w:ilvl w:val="0"/>
          <w:numId w:val="6"/>
        </w:numPr>
        <w:rPr/>
      </w:pPr>
      <w:r>
        <w:rPr/>
        <w:t>Operar la central a su capacidad disponible para la prueba, preferentemente cercana a su condición nominal.</w:t>
      </w:r>
    </w:p>
    <w:p>
      <w:pPr>
        <w:pStyle w:val="ListParagraph"/>
        <w:numPr>
          <w:ilvl w:val="0"/>
          <w:numId w:val="6"/>
        </w:numPr>
        <w:rPr/>
      </w:pPr>
      <w:r>
        <w:rPr/>
        <w:t>Confirmar la disponibilidad del sistema de control de potencia activa y de la comunicación operativa requerida para la ejecución de la prueba.</w:t>
      </w:r>
    </w:p>
    <w:p>
      <w:pPr>
        <w:pStyle w:val="ListParagraph"/>
        <w:numPr>
          <w:ilvl w:val="0"/>
          <w:numId w:val="6"/>
        </w:numPr>
        <w:rPr/>
      </w:pPr>
      <w:r>
        <w:rPr/>
        <w:t>Registrar la condición inicial de operación, incluyendo potencia activa, consigna de potencia, frecuencia y voltaje del generador.</w:t>
      </w:r>
    </w:p>
    <w:p>
      <w:pPr>
        <w:pStyle w:val="ListParagraph"/>
        <w:numPr>
          <w:ilvl w:val="0"/>
          <w:numId w:val="6"/>
        </w:numPr>
        <w:rPr/>
      </w:pPr>
      <w:r>
        <w:rPr/>
        <w:t>Enviar la consigna de reducción total de potencia activa, estableciendo una referencia de 0 MW.</w:t>
      </w:r>
    </w:p>
    <w:p>
      <w:pPr>
        <w:pStyle w:val="ListParagraph"/>
        <w:numPr>
          <w:ilvl w:val="0"/>
          <w:numId w:val="6"/>
        </w:numPr>
        <w:rPr/>
      </w:pPr>
      <w:r>
        <w:rPr/>
        <w:t>Registrar la respuesta de la Central Eléctrica desde la condición inicial de generación hasta alcanzar la consigna de 0 MW.</w:t>
      </w:r>
    </w:p>
    <w:p>
      <w:pPr>
        <w:pStyle w:val="ListParagraph"/>
        <w:numPr>
          <w:ilvl w:val="0"/>
          <w:numId w:val="6"/>
        </w:numPr>
        <w:rPr/>
      </w:pPr>
      <w:r>
        <w:rPr/>
        <w:t>Verificar que durante la reducción de potencia la central permanezca interconectada a la red.</w:t>
      </w:r>
    </w:p>
    <w:p>
      <w:pPr>
        <w:pStyle w:val="ListParagraph"/>
        <w:numPr>
          <w:ilvl w:val="0"/>
          <w:numId w:val="6"/>
        </w:numPr>
        <w:rPr/>
      </w:pPr>
      <w:r>
        <w:rPr/>
        <w:t>Confirmar que no se presenten disparos, desconexiones no intencionales, pérdida de control o actuación indebida de protecciones.</w:t>
      </w:r>
    </w:p>
    <w:p>
      <w:pPr>
        <w:pStyle w:val="ListParagraph"/>
        <w:numPr>
          <w:ilvl w:val="0"/>
          <w:numId w:val="6"/>
        </w:numPr>
        <w:rPr/>
      </w:pPr>
      <w:r>
        <w:rPr/>
        <w:t>Registrar el tiempo total requerido para alcanzar la consigna de potencia activa indicada.</w:t>
      </w:r>
    </w:p>
    <w:p>
      <w:pPr>
        <w:pStyle w:val="Normal"/>
        <w:rPr/>
      </w:pPr>
      <w:r>
        <w:rPr/>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numPr>
          <w:ilvl w:val="0"/>
          <w:numId w:val="3"/>
        </w:numPr>
        <w:spacing w:beforeAutospacing="1" w:after="0"/>
        <w:jc w:val="left"/>
        <w:rPr>
          <w:rFonts w:eastAsia="Times New Roman" w:cs="Times New Roman"/>
          <w:sz w:val="21"/>
          <w:szCs w:val="21"/>
          <w:lang w:val="es-MX"/>
        </w:rPr>
      </w:pPr>
      <w:r>
        <w:rPr>
          <w:rFonts w:eastAsia="Times New Roman" w:cs="Times New Roman"/>
          <w:sz w:val="21"/>
          <w:szCs w:val="21"/>
          <w:lang w:val="es-MX"/>
        </w:rPr>
        <w:t>Potencia activa (P)</w:t>
      </w:r>
    </w:p>
    <w:p>
      <w:pPr>
        <w:pStyle w:val="Normal"/>
        <w:numPr>
          <w:ilvl w:val="0"/>
          <w:numId w:val="3"/>
        </w:numPr>
        <w:spacing w:before="0" w:after="0"/>
        <w:jc w:val="left"/>
        <w:rPr>
          <w:rFonts w:eastAsia="Times New Roman" w:cs="Times New Roman"/>
          <w:sz w:val="21"/>
          <w:szCs w:val="21"/>
          <w:lang w:val="es-MX"/>
        </w:rPr>
      </w:pPr>
      <w:r>
        <w:rPr>
          <w:rFonts w:eastAsia="Times New Roman" w:cs="Times New Roman"/>
          <w:sz w:val="21"/>
          <w:szCs w:val="21"/>
          <w:lang w:val="es-MX"/>
        </w:rPr>
        <w:t>Consigna de potencia</w:t>
      </w:r>
    </w:p>
    <w:p>
      <w:pPr>
        <w:pStyle w:val="Normal"/>
        <w:numPr>
          <w:ilvl w:val="0"/>
          <w:numId w:val="3"/>
        </w:numPr>
        <w:spacing w:before="0" w:afterAutospacing="1"/>
        <w:jc w:val="left"/>
        <w:rPr>
          <w:rFonts w:eastAsia="Times New Roman" w:cs="Times New Roman"/>
          <w:sz w:val="21"/>
          <w:szCs w:val="21"/>
          <w:lang w:val="es-MX"/>
        </w:rPr>
      </w:pPr>
      <w:r>
        <w:rPr>
          <w:rFonts w:eastAsia="Times New Roman" w:cs="Times New Roman"/>
          <w:sz w:val="21"/>
          <w:szCs w:val="21"/>
          <w:lang w:val="es-MX"/>
        </w:rPr>
        <w:t>Frecuencia (f)</w:t>
      </w:r>
    </w:p>
    <w:p>
      <w:pPr>
        <w:pStyle w:val="Normal"/>
        <w:spacing w:beforeAutospacing="1" w:afterAutospacing="1"/>
        <w:ind w:left="720"/>
        <w:jc w:val="left"/>
        <w:rPr>
          <w:rFonts w:eastAsia="Times New Roman" w:cs="Times New Roman"/>
          <w:sz w:val="21"/>
          <w:szCs w:val="21"/>
          <w:lang w:val="es-MX"/>
        </w:rPr>
      </w:pPr>
      <w:r>
        <w:rPr>
          <w:rFonts w:eastAsia="Times New Roman" w:cs="Times New Roman"/>
          <w:sz w:val="21"/>
          <w:szCs w:val="21"/>
          <w:lang w:val="es-MX"/>
        </w:rPr>
      </w:r>
    </w:p>
    <w:p>
      <w:pPr>
        <w:pStyle w:val="Normal"/>
        <w:numPr>
          <w:ilvl w:val="0"/>
          <w:numId w:val="3"/>
        </w:numPr>
        <w:spacing w:beforeAutospacing="1" w:afterAutospacing="1"/>
        <w:jc w:val="left"/>
        <w:rPr>
          <w:rFonts w:eastAsia="Times New Roman" w:cs="Times New Roman"/>
          <w:sz w:val="21"/>
          <w:szCs w:val="21"/>
          <w:lang w:val="es-MX"/>
        </w:rPr>
      </w:pPr>
      <w:r>
        <w:rPr>
          <w:rFonts w:eastAsia="Times New Roman" w:cs="Times New Roman"/>
          <w:sz w:val="21"/>
          <w:szCs w:val="21"/>
          <w:lang w:val="es-MX"/>
        </w:rPr>
        <w:t>Voltaje del generador (Vg)</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360" w:charSpace="0"/>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Central Eléctrica alcanza la consigna de reducción total de potencia activa:</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0</m:t>
          </m:r>
          <m:r>
            <w:rPr>
              <w:rFonts w:ascii="Cambria Math" w:hAnsi="Cambria Math"/>
            </w:rPr>
            <m:t xml:space="preserve">MW</m:t>
          </m:r>
        </m:oMath>
      </m:oMathPara>
    </w:p>
    <w:p>
      <w:pPr>
        <w:pStyle w:val="Normal"/>
        <w:spacing w:before="160" w:after="80"/>
        <w:rPr/>
      </w:pPr>
      <w:r>
        <w:rPr/>
        <w:t>en un tiempo mayor a:</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&gt;</m:t>
          </m:r>
          <m:r>
            <w:rPr>
              <w:rFonts w:ascii="Cambria Math" w:hAnsi="Cambria Math"/>
            </w:rPr>
            <m:t xml:space="preserve">5</m:t>
          </m:r>
          <m:r>
            <w:rPr>
              <w:rFonts w:ascii="Cambria Math" w:hAnsi="Cambria Math"/>
            </w:rPr>
            <m:t xml:space="preserve">s</m:t>
          </m:r>
        </m:oMath>
      </m:oMathPara>
    </w:p>
    <w:p>
      <w:pPr>
        <w:pStyle w:val="Normal"/>
        <w:spacing w:before="160" w:after="80"/>
        <w:rPr/>
      </w:pPr>
      <w:r>
        <w:rPr/>
        <w:t>manteniéndose interconectada y sin actuación indebida de protecciones.</w:t>
      </w:r>
    </w:p>
    <w:p>
      <w:pPr>
        <w:pStyle w:val="Normal"/>
        <w:spacing w:before="160" w:after="80"/>
        <w:rPr/>
      </w:pPr>
      <w:r>
        <w:rPr>
          <w:b/>
          <w:bCs/>
          <w:color w:val="312E81"/>
        </w:rPr>
        <w:t>Resultados de la prueba</w:t>
      </w:r>
    </w:p>
    <w:p>
      <w:pPr>
        <w:pStyle w:val="Normal"/>
        <w:spacing w:before="160" w:after="80"/>
        <w:rPr/>
      </w:pPr>
      <w:r>
        <w:rPr/>
        <w:t>La evidencia de esta prueba corresponderá al registro de la potencia activa, consigna de potencia, frecuencia y voltaje del generador durante la reducción total de generación.</w:t>
      </w:r>
    </w:p>
    <w:p>
      <w:pPr>
        <w:pStyle w:val="Normal"/>
        <w:spacing w:before="160" w:after="80"/>
        <w:rPr/>
      </w:pPr>
      <w:r>
        <w:rPr/>
      </w:r>
    </w:p>
    <w:p>
      <w:pPr>
        <w:pStyle w:val="Normal"/>
        <w:spacing w:before="160" w:after="80"/>
        <w:rPr/>
      </w:pPr>
      <w:r>
        <w:rPr/>
        <w:t>La información presentada permitirá identificar el tiempo requerido para que la Central Eléctrica alcance la consigna de 0 MW, así como verificar que la central permanece interconectada durante la ejecución de la prueba.</w:t>
      </w:r>
    </w:p>
    <w:p>
      <w:pPr>
        <w:pStyle w:val="Normal"/>
        <w:spacing w:before="160" w:after="80"/>
        <w:rPr/>
      </w:pPr>
      <w:r>
        <w:rPr/>
      </w:r>
    </w:p>
    <w:p>
      <w:pPr>
        <w:pStyle w:val="Normal"/>
        <w:spacing w:before="160" w:after="80"/>
        <w:rPr/>
      </w:pPr>
      <w:r>
        <w:rPr/>
        <w:t>La evaluación se sustentará mediante el comportamiento gráfico de la potencia activa respecto a la consigna aplicada, confirmando la reducción controlada de generación sin desconexión no intencional.</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124"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Limitación Total de Potencia Activa — CNK</w:t>
            </w:r>
          </w:p>
          <w:p>
            <w:pPr>
              <w:pStyle w:val="Normal"/>
              <w:jc w:val="center"/>
              <w:rPr/>
            </w:pPr>
            <w:r>
              <w:rPr>
                <w:i/>
                <w:iCs/>
                <w:color w:val="808080"/>
                <w:sz w:val="18"/>
                <w:szCs w:val="18"/>
              </w:rPr>
              <w:t>[Espacio reservado para gráfica]</w:t>
            </w:r>
          </w:p>
        </w:tc>
      </w:tr>
    </w:tbl>
    <w:p>
      <w:pPr>
        <w:pStyle w:val="Subtitle"/>
        <w:rPr/>
      </w:pPr>
      <w:r>
        <w:rPr/>
        <w:t>Grafica. Limitación Total de Potencia Activa</w:t>
      </w:r>
    </w:p>
    <w:p>
      <w:pPr>
        <w:pStyle w:val="Normal"/>
        <w:rPr/>
      </w:pPr>
      <w:r>
        <w:rPr/>
      </w:r>
    </w:p>
    <w:p>
      <w:pPr>
        <w:pStyle w:val="Heading2"/>
        <w:rPr/>
      </w:pPr>
      <w:bookmarkStart w:id="11" w:name="_Toc230532600"/>
      <w:r>
        <w:rPr/>
        <w:t>3.4. Prueba 4 - Reconexión Automática</w:t>
      </w:r>
      <w:bookmarkEnd w:id="11"/>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8" wp14:anchorId="200BA8A8">
                      <wp:simplePos x="0" y="0"/>
                      <wp:positionH relativeFrom="column">
                        <wp:posOffset>74295</wp:posOffset>
                      </wp:positionH>
                      <wp:positionV relativeFrom="paragraph">
                        <wp:posOffset>79375</wp:posOffset>
                      </wp:positionV>
                      <wp:extent cx="708660" cy="635"/>
                      <wp:effectExtent l="0" t="10160" r="0" b="9525"/>
                      <wp:wrapNone/>
                      <wp:docPr id="2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200BA8A8">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59" wp14:anchorId="3722E8EE">
                      <wp:simplePos x="0" y="0"/>
                      <wp:positionH relativeFrom="column">
                        <wp:posOffset>0</wp:posOffset>
                      </wp:positionH>
                      <wp:positionV relativeFrom="paragraph">
                        <wp:posOffset>71120</wp:posOffset>
                      </wp:positionV>
                      <wp:extent cx="708660" cy="0"/>
                      <wp:effectExtent l="635" t="10160" r="635" b="10160"/>
                      <wp:wrapNone/>
                      <wp:docPr id="24"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722E8EE">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0" wp14:anchorId="53ECDB14">
                      <wp:simplePos x="0" y="0"/>
                      <wp:positionH relativeFrom="column">
                        <wp:posOffset>0</wp:posOffset>
                      </wp:positionH>
                      <wp:positionV relativeFrom="paragraph">
                        <wp:posOffset>65405</wp:posOffset>
                      </wp:positionV>
                      <wp:extent cx="708660" cy="635"/>
                      <wp:effectExtent l="635" t="9525" r="635" b="9525"/>
                      <wp:wrapNone/>
                      <wp:docPr id="2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3ECDB1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26" name="Imagen1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4" descr="Badge Tick1 con relleno sólido"/>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27" name="Imagen1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5" descr="Badge Tick1 con relleno sólido"/>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r>
    </w:tbl>
    <w:p>
      <w:pPr>
        <w:pStyle w:val="Normal"/>
        <w:rPr>
          <w:color w:val="312E81"/>
        </w:rPr>
      </w:pPr>
      <w:r>
        <w:rPr>
          <w:color w:val="312E81"/>
        </w:rPr>
      </w:r>
    </w:p>
    <w:p>
      <w:pPr>
        <w:pStyle w:val="Normal"/>
        <w:spacing w:before="160" w:after="80"/>
        <w:rPr/>
      </w:pPr>
      <w:r>
        <w:rPr>
          <w:b/>
          <w:bCs/>
          <w:color w:val="312E81"/>
        </w:rPr>
        <w:t>Objetivo</w:t>
      </w:r>
    </w:p>
    <w:p>
      <w:pPr>
        <w:pStyle w:val="Normal"/>
        <w:rPr/>
      </w:pPr>
      <w:r>
        <w:rPr/>
        <w:t xml:space="preserve">Esta prueba verifica que la </w:t>
      </w:r>
      <w:r>
        <w:rPr>
          <w:b/>
          <w:bCs/>
        </w:rPr>
        <w:t>Central Eléctrica</w:t>
      </w:r>
      <w:r>
        <w:rPr/>
        <w:t xml:space="preserve"> cumpla con las condiciones requeridas para su </w:t>
      </w:r>
      <w:r>
        <w:rPr>
          <w:b/>
          <w:bCs/>
        </w:rPr>
        <w:t>reconexión automática o resincronización posterior a una desconexión</w:t>
      </w:r>
      <w:r>
        <w:rPr/>
        <w:t>, considerando los rangos permitidos de frecuencia, tensión y rampa de toma de carga.</w:t>
      </w:r>
    </w:p>
    <w:p>
      <w:pPr>
        <w:pStyle w:val="Normal"/>
        <w:rPr/>
      </w:pPr>
      <w:r>
        <w:rPr/>
      </w:r>
    </w:p>
    <w:p>
      <w:pPr>
        <w:pStyle w:val="Normal"/>
        <w:rPr/>
      </w:pPr>
      <w:r>
        <w:rPr/>
        <w:t xml:space="preserve">El criterio de evaluación se toma del Anexo 5 del </w:t>
      </w:r>
      <w:r>
        <w:rPr>
          <w:b/>
          <w:bCs/>
        </w:rPr>
        <w:t>Procedimiento de Operación para la Declaración de Entrada en Operación Comercial de Centrales Eléctricas y Centros de Carga</w:t>
      </w:r>
      <w:r>
        <w:rPr/>
        <w:t xml:space="preserve">, en el apartado de pruebas por Central Eléctrica para Centrales Eléctricas Síncronas, donde se establece la prueba de </w:t>
      </w:r>
      <w:r>
        <w:rPr>
          <w:b/>
          <w:bCs/>
        </w:rPr>
        <w:t>Reconexión Automática.</w:t>
      </w:r>
      <w:r>
        <w:rPr/>
        <w:t xml:space="preserve">  </w:t>
      </w:r>
    </w:p>
    <w:p>
      <w:pPr>
        <w:pStyle w:val="Normal"/>
        <w:rPr/>
      </w:pPr>
      <w:r>
        <w:rPr/>
      </w:r>
    </w:p>
    <w:p>
      <w:pPr>
        <w:pStyle w:val="Normal"/>
        <w:rPr/>
      </w:pPr>
      <w:r>
        <w:rPr/>
        <w:t xml:space="preserve">El fundamento técnico se asocia con los requerimientos de reconexión definidos en el Código de Red 2.0, dentro del Manual Regulatorio de Requerimientos Técnicos para la Interconexión de Centrales Eléctricas al Sistema Eléctrico Nacional, particularmente en el </w:t>
      </w:r>
      <w:r>
        <w:rPr>
          <w:b/>
          <w:bCs/>
        </w:rPr>
        <w:t>Capítulo 2, Sección 2.2.8, Condiciones para reconexión automática</w:t>
      </w:r>
      <w:r>
        <w:rPr/>
        <w:t>, aplicable a Centrales Eléctricas tipo B.</w:t>
      </w:r>
    </w:p>
    <w:p>
      <w:pPr>
        <w:pStyle w:val="Normal"/>
        <w:spacing w:before="160" w:after="80"/>
        <w:rPr/>
      </w:pPr>
      <w:r>
        <w:rPr>
          <w:b/>
          <w:bCs/>
          <w:color w:val="312E81"/>
        </w:rPr>
        <w:t>Condiciones y desarrollo de la prueba</w:t>
      </w:r>
    </w:p>
    <w:p>
      <w:pPr>
        <w:pStyle w:val="ListParagraph"/>
        <w:numPr>
          <w:ilvl w:val="0"/>
          <w:numId w:val="7"/>
        </w:numPr>
        <w:rPr/>
      </w:pPr>
      <w:r>
        <w:rPr/>
        <w:t>Verificar que la Central Eléctrica se encuentre desconectada de la red y operando en condición de isla, conforme al procedimiento operativo definido para la prueba.</w:t>
      </w:r>
    </w:p>
    <w:p>
      <w:pPr>
        <w:pStyle w:val="ListParagraph"/>
        <w:numPr>
          <w:ilvl w:val="0"/>
          <w:numId w:val="7"/>
        </w:numPr>
        <w:rPr/>
      </w:pPr>
      <w:r>
        <w:rPr/>
        <w:t>Mantener la condición previa a la reconexión durante al menos 5 minutos, verificando que la frecuencia y la tensión permanezcan dentro de los rangos requeridos.</w:t>
      </w:r>
    </w:p>
    <w:p>
      <w:pPr>
        <w:pStyle w:val="ListParagraph"/>
        <w:numPr>
          <w:ilvl w:val="0"/>
          <w:numId w:val="7"/>
        </w:numPr>
        <w:rPr/>
      </w:pPr>
      <w:r>
        <w:rPr/>
        <w:t>Registrar las condiciones previas a la reconexión, incluyendo frecuencia, voltaje del generador y potencia activa.</w:t>
      </w:r>
    </w:p>
    <w:p>
      <w:pPr>
        <w:pStyle w:val="ListParagraph"/>
        <w:numPr>
          <w:ilvl w:val="0"/>
          <w:numId w:val="7"/>
        </w:numPr>
        <w:rPr/>
      </w:pPr>
      <w:r>
        <w:rPr/>
        <w:t>Coordinar la maniobra de reconexión o resincronización conforme al procedimiento operativo y comunicación aplicable.</w:t>
      </w:r>
    </w:p>
    <w:p>
      <w:pPr>
        <w:pStyle w:val="ListParagraph"/>
        <w:numPr>
          <w:ilvl w:val="0"/>
          <w:numId w:val="7"/>
        </w:numPr>
        <w:rPr/>
      </w:pPr>
      <w:r>
        <w:rPr/>
        <w:t>Ejecutar la reconexión de la Central Eléctrica a la red.</w:t>
      </w:r>
    </w:p>
    <w:p>
      <w:pPr>
        <w:pStyle w:val="ListParagraph"/>
        <w:numPr>
          <w:ilvl w:val="0"/>
          <w:numId w:val="7"/>
        </w:numPr>
        <w:rPr/>
      </w:pPr>
      <w:r>
        <w:rPr/>
        <w:t>Registrar el comportamiento de la frecuencia, tensión y potencia activa durante la reconexión.</w:t>
      </w:r>
    </w:p>
    <w:p>
      <w:pPr>
        <w:pStyle w:val="ListParagraph"/>
        <w:numPr>
          <w:ilvl w:val="0"/>
          <w:numId w:val="7"/>
        </w:numPr>
        <w:rPr/>
      </w:pPr>
      <w:r>
        <w:rPr/>
        <w:t>Monitorear la rampa de toma de carga posterior a la reconexión.</w:t>
      </w:r>
    </w:p>
    <w:p>
      <w:pPr>
        <w:pStyle w:val="ListParagraph"/>
        <w:numPr>
          <w:ilvl w:val="0"/>
          <w:numId w:val="7"/>
        </w:numPr>
        <w:rPr/>
      </w:pPr>
      <w:r>
        <w:rPr/>
        <w:t>Verificar que el incremento de potencia activa no supere la rampa máxima admisible.</w:t>
      </w:r>
    </w:p>
    <w:p>
      <w:pPr>
        <w:pStyle w:val="ListParagraph"/>
        <w:numPr>
          <w:ilvl w:val="0"/>
          <w:numId w:val="7"/>
        </w:numPr>
        <w:rPr/>
      </w:pPr>
      <w:r>
        <w:rPr/>
        <w:t>Confirmar que la Central Eléctrica se mantenga estable posterior a la reconexión, sin oscilaciones anormales, pérdida de sincronismo o actuación indebida de protecciones.</w:t>
      </w:r>
    </w:p>
    <w:p>
      <w:pPr>
        <w:pStyle w:val="Normal"/>
        <w:rPr/>
      </w:pPr>
      <w:r>
        <w:rPr/>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numPr>
          <w:ilvl w:val="0"/>
          <w:numId w:val="3"/>
        </w:numPr>
        <w:spacing w:lineRule="auto" w:line="240" w:beforeAutospacing="1" w:after="0"/>
        <w:jc w:val="left"/>
        <w:rPr>
          <w:rFonts w:eastAsia="Times New Roman" w:cs="Times New Roman"/>
          <w:sz w:val="21"/>
          <w:szCs w:val="21"/>
          <w:lang w:val="es-MX"/>
        </w:rPr>
      </w:pPr>
      <w:r>
        <w:rPr>
          <w:rFonts w:eastAsia="Times New Roman" w:cs="Times New Roman"/>
          <w:sz w:val="21"/>
          <w:szCs w:val="21"/>
          <w:lang w:val="es-MX"/>
        </w:rPr>
        <w:t>Potencia activa de la central</w:t>
      </w:r>
    </w:p>
    <w:p>
      <w:pPr>
        <w:pStyle w:val="Normal"/>
        <w:numPr>
          <w:ilvl w:val="0"/>
          <w:numId w:val="3"/>
        </w:numPr>
        <w:spacing w:lineRule="auto" w:line="240" w:before="0" w:after="0"/>
        <w:jc w:val="left"/>
        <w:rPr>
          <w:rFonts w:eastAsia="Times New Roman" w:cs="Times New Roman"/>
          <w:sz w:val="21"/>
          <w:szCs w:val="21"/>
          <w:lang w:val="es-MX"/>
        </w:rPr>
      </w:pPr>
      <w:r>
        <w:rPr>
          <w:rFonts w:eastAsia="Times New Roman" w:cs="Times New Roman"/>
          <w:sz w:val="21"/>
          <w:szCs w:val="21"/>
          <w:lang w:val="es-MX"/>
        </w:rPr>
        <w:t>Frecuencia (f)</w:t>
      </w:r>
    </w:p>
    <w:p>
      <w:pPr>
        <w:pStyle w:val="Normal"/>
        <w:numPr>
          <w:ilvl w:val="0"/>
          <w:numId w:val="3"/>
        </w:numPr>
        <w:spacing w:lineRule="auto" w:line="240" w:before="0" w:afterAutospacing="1"/>
        <w:jc w:val="left"/>
        <w:rPr>
          <w:rFonts w:eastAsia="Times New Roman" w:cs="Times New Roman"/>
          <w:sz w:val="21"/>
          <w:szCs w:val="21"/>
          <w:lang w:val="es-MX"/>
        </w:rPr>
      </w:pPr>
      <w:r>
        <w:rPr>
          <w:rFonts w:eastAsia="Times New Roman" w:cs="Times New Roman"/>
          <w:sz w:val="21"/>
          <w:szCs w:val="21"/>
          <w:lang w:val="es-MX"/>
        </w:rPr>
        <w:t>Voltaje del generador (Vg)</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360" w:charSpace="0"/>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Central Eléctrica cumple con las condiciones previas de reconexión y con la rampa máxima de toma de carga establecida.</w:t>
      </w:r>
    </w:p>
    <w:p>
      <w:pPr>
        <w:pStyle w:val="Normal"/>
        <w:spacing w:before="160" w:after="80"/>
        <w:rPr/>
      </w:pPr>
      <w:r>
        <w:rPr/>
      </w:r>
    </w:p>
    <w:p>
      <w:pPr>
        <w:pStyle w:val="Normal"/>
        <w:spacing w:before="160" w:after="80"/>
        <w:rPr/>
      </w:pPr>
      <w:r>
        <w:rPr/>
        <w:t>Previo a la reconexión, durante al menos 5 minutos, deberán cumplirse las siguientes condiciones:</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58.8</m:t>
          </m:r>
          <m:r>
            <w:rPr>
              <w:rFonts w:ascii="Cambria Math" w:hAnsi="Cambria Math"/>
            </w:rPr>
            <m:t xml:space="preserve">Hz</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61.2</m:t>
          </m:r>
          <m:r>
            <w:rPr>
              <w:rFonts w:ascii="Cambria Math" w:hAnsi="Cambria Math"/>
            </w:rPr>
            <m:t xml:space="preserve">Hz</m:t>
          </m:r>
        </m:oMath>
      </m:oMathPara>
    </w:p>
    <w:p>
      <w:pPr>
        <w:pStyle w:val="Normal"/>
        <w:spacing w:before="160" w:after="80"/>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n</m:t>
              </m:r>
            </m:sub>
          </m:sSub>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m:oMathPara>
    </w:p>
    <w:p>
      <w:pPr>
        <w:pStyle w:val="Normal"/>
        <w:spacing w:before="160" w:after="80"/>
        <w:rPr/>
      </w:pPr>
      <w:r>
        <w:rPr/>
        <w:t>Posterior a la reconexión, la rampa máxima admisible de incremento de potencia activa será:</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Rampa</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r>
            <w:rPr>
              <w:rFonts w:ascii="Cambria Math" w:hAnsi="Cambria Math"/>
            </w:rPr>
            <m:t xml:space="preserve">de</m:t>
          </m:r>
          <m:r>
            <w:rPr>
              <w:rFonts w:ascii="Cambria Math" w:hAnsi="Cambria Math"/>
            </w:rPr>
            <m:t xml:space="preserve">la</m:t>
          </m:r>
          <m:r>
            <w:rPr>
              <w:rFonts w:ascii="Cambria Math" w:hAnsi="Cambria Math"/>
            </w:rPr>
            <m:t xml:space="preserve">Capacidad</m:t>
          </m:r>
          <m:r>
            <w:rPr>
              <w:rFonts w:ascii="Cambria Math" w:hAnsi="Cambria Math"/>
            </w:rPr>
            <m:t xml:space="preserve">Instalada</m:t>
          </m:r>
          <m:r>
            <w:rPr>
              <w:rFonts w:ascii="Cambria Math" w:hAnsi="Cambria Math"/>
            </w:rPr>
            <m:t xml:space="preserve">Neta</m:t>
          </m:r>
          <m:r>
            <w:rPr>
              <w:rFonts w:ascii="Cambria Math" w:hAnsi="Cambria Math"/>
            </w:rPr>
            <m:t xml:space="preserve">por</m:t>
          </m:r>
          <m:r>
            <w:rPr>
              <w:rFonts w:ascii="Cambria Math" w:hAnsi="Cambria Math"/>
            </w:rPr>
            <m:t xml:space="preserve">minuto</m:t>
          </m:r>
        </m:oMath>
      </m:oMathPara>
    </w:p>
    <w:p>
      <w:pPr>
        <w:pStyle w:val="Normal"/>
        <w:spacing w:before="160" w:after="80"/>
        <w:rPr/>
      </w:pPr>
      <w:r>
        <w:rPr>
          <w:b/>
          <w:bCs/>
          <w:color w:val="312E81"/>
        </w:rPr>
        <w:t>Resultados de la prueba</w:t>
      </w:r>
    </w:p>
    <w:p>
      <w:pPr>
        <w:pStyle w:val="Normal"/>
        <w:spacing w:before="0" w:after="120"/>
        <w:rPr/>
      </w:pPr>
      <w:r>
        <w:rPr/>
        <w:t>La evidencia de esta prueba corresponderá al registro de las condiciones previas a la reconexión, considerando frecuencia y tensión durante el periodo mínimo requerido, así como al comportamiento de la potencia activa durante la toma de carga posterior a la resincronización.</w:t>
      </w:r>
    </w:p>
    <w:p>
      <w:pPr>
        <w:pStyle w:val="Normal"/>
        <w:spacing w:before="0" w:after="120"/>
        <w:rPr/>
      </w:pPr>
      <w:r>
        <w:rPr/>
      </w:r>
    </w:p>
    <w:p>
      <w:pPr>
        <w:pStyle w:val="Normal"/>
        <w:spacing w:before="0" w:after="120"/>
        <w:rPr/>
      </w:pPr>
      <w:r>
        <w:rPr/>
        <w:t>La información presentada permitirá verificar que la Central Eléctrica mantiene las condiciones necesarias para la reconexión y que la rampa de incremento de potencia activa se mantiene dentro del límite permitido.</w:t>
      </w:r>
    </w:p>
    <w:p>
      <w:pPr>
        <w:pStyle w:val="Normal"/>
        <w:spacing w:before="0" w:after="120"/>
        <w:rPr/>
      </w:pPr>
      <w:r>
        <w:rPr/>
      </w:r>
    </w:p>
    <w:p>
      <w:pPr>
        <w:pStyle w:val="Normal"/>
        <w:rPr>
          <w:color w:val="312E81"/>
        </w:rPr>
      </w:pPr>
      <w:r>
        <w:rPr/>
        <w:t>La evaluación podrá integrarse mediante tablas de valores máximos y mínimos previos a la reconexión, así como el cálculo de la rampa de toma de carga en terminales del generador y, cuando aplique, en el Punto de Interconexión.</w:t>
      </w:r>
    </w:p>
    <w:p>
      <w:pPr>
        <w:pStyle w:val="Subtitle"/>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568"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Reconexión Automática Rampa de toma de carga</w:t>
            </w:r>
          </w:p>
          <w:p>
            <w:pPr>
              <w:pStyle w:val="Normal"/>
              <w:jc w:val="center"/>
              <w:rPr/>
            </w:pPr>
            <w:r>
              <w:rPr>
                <w:i/>
                <w:iCs/>
                <w:color w:val="808080"/>
                <w:sz w:val="18"/>
                <w:szCs w:val="18"/>
              </w:rPr>
              <w:t>[Espacio reservado para gráfica]</w:t>
            </w:r>
          </w:p>
        </w:tc>
      </w:tr>
    </w:tbl>
    <w:p>
      <w:pPr>
        <w:pStyle w:val="Subtitle"/>
        <w:rPr>
          <w:b/>
          <w:bCs/>
        </w:rPr>
      </w:pPr>
      <w:r>
        <w:rPr/>
        <w:t xml:space="preserve">Gráfica. Reconexión Automática Rampa de toma de carga </w:t>
      </w:r>
    </w:p>
    <w:p>
      <w:pPr>
        <w:pStyle w:val="Heading2"/>
        <w:rPr/>
      </w:pPr>
      <w:bookmarkStart w:id="12" w:name="_Toc230532601"/>
      <w:r>
        <w:rPr/>
        <w:t>3.5. Prueba 5 - Limitación Parcial de Potencia Activa</w:t>
      </w:r>
      <w:bookmarkEnd w:id="12"/>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1" wp14:anchorId="6E139FE3">
                      <wp:simplePos x="0" y="0"/>
                      <wp:positionH relativeFrom="column">
                        <wp:posOffset>74295</wp:posOffset>
                      </wp:positionH>
                      <wp:positionV relativeFrom="paragraph">
                        <wp:posOffset>79375</wp:posOffset>
                      </wp:positionV>
                      <wp:extent cx="708660" cy="635"/>
                      <wp:effectExtent l="0" t="10160" r="0" b="9525"/>
                      <wp:wrapNone/>
                      <wp:docPr id="2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6E139FE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2" wp14:anchorId="7FF7045D">
                      <wp:simplePos x="0" y="0"/>
                      <wp:positionH relativeFrom="column">
                        <wp:posOffset>0</wp:posOffset>
                      </wp:positionH>
                      <wp:positionV relativeFrom="paragraph">
                        <wp:posOffset>71120</wp:posOffset>
                      </wp:positionV>
                      <wp:extent cx="708660" cy="0"/>
                      <wp:effectExtent l="635" t="10160" r="635" b="10160"/>
                      <wp:wrapNone/>
                      <wp:docPr id="29"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FF7045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3" wp14:anchorId="48A90EFF">
                      <wp:simplePos x="0" y="0"/>
                      <wp:positionH relativeFrom="column">
                        <wp:posOffset>0</wp:posOffset>
                      </wp:positionH>
                      <wp:positionV relativeFrom="paragraph">
                        <wp:posOffset>65405</wp:posOffset>
                      </wp:positionV>
                      <wp:extent cx="708660" cy="635"/>
                      <wp:effectExtent l="635" t="9525" r="635" b="9525"/>
                      <wp:wrapNone/>
                      <wp:docPr id="3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8A90EFF">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1" name="Imagen1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6" descr="Badge Tick1 con relleno sólido"/>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2" name="Imagen1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7" descr="Badge Tick1 con relleno sólido"/>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r>
    </w:tbl>
    <w:p>
      <w:pPr>
        <w:pStyle w:val="Normal"/>
        <w:rPr/>
      </w:pPr>
      <w:r>
        <w:rPr/>
      </w:r>
    </w:p>
    <w:p>
      <w:pPr>
        <w:pStyle w:val="Normal"/>
        <w:spacing w:before="160" w:after="80"/>
        <w:rPr/>
      </w:pPr>
      <w:r>
        <w:rPr>
          <w:b/>
          <w:bCs/>
          <w:color w:val="312E81"/>
        </w:rPr>
        <w:t>Objetivo</w:t>
      </w:r>
    </w:p>
    <w:p>
      <w:pPr>
        <w:pStyle w:val="Normal"/>
        <w:rPr>
          <w:rFonts w:ascii="Times New Roman" w:hAnsi="Times New Roman"/>
          <w:lang w:val="es-MX"/>
        </w:rPr>
      </w:pPr>
      <w:r>
        <w:rPr/>
        <w:t xml:space="preserve">Esta prueba verifica que la </w:t>
      </w:r>
      <w:r>
        <w:rPr>
          <w:rStyle w:val="s1"/>
          <w:b/>
          <w:bCs/>
        </w:rPr>
        <w:t>Central Eléctrica</w:t>
      </w:r>
      <w:r>
        <w:rPr/>
        <w:t xml:space="preserve"> responda correctamente a una consigna de reducción parcial de potencia activa, partiendo de un valor de generación distinto a su capacidad máxima, manteniéndose interconectada y en operación estable.</w:t>
      </w:r>
    </w:p>
    <w:p>
      <w:pPr>
        <w:pStyle w:val="Normal"/>
        <w:rPr/>
      </w:pPr>
      <w:r>
        <w:rPr/>
      </w:r>
    </w:p>
    <w:p>
      <w:pPr>
        <w:pStyle w:val="Normal"/>
        <w:rPr/>
      </w:pPr>
      <w:r>
        <w:rPr/>
        <w:t xml:space="preserve">El criterio de evaluación se toma del </w:t>
      </w:r>
      <w:r>
        <w:rPr>
          <w:rStyle w:val="s1"/>
          <w:b/>
          <w:bCs/>
        </w:rPr>
        <w:t>Anexo 5 del Procedimiento de Operación para la Declaración de Entrada en Operación Comercial de Centrales Eléctricas y Centros de Carga</w:t>
      </w:r>
      <w:r>
        <w:rPr/>
        <w:t xml:space="preserve">, en el apartado de pruebas por Central Eléctrica para </w:t>
      </w:r>
      <w:r>
        <w:rPr>
          <w:rStyle w:val="s1"/>
          <w:b/>
          <w:bCs/>
        </w:rPr>
        <w:t>Centrales Eléctricas Síncronas</w:t>
      </w:r>
      <w:r>
        <w:rPr/>
        <w:t xml:space="preserve">, donde se establece la prueba de </w:t>
      </w:r>
      <w:r>
        <w:rPr>
          <w:rStyle w:val="s1"/>
          <w:b/>
          <w:bCs/>
        </w:rPr>
        <w:t>Limitación Parcial de Potencia Activa</w:t>
      </w:r>
      <w:r>
        <w:rPr/>
        <w:t>, con el criterio de alcanzar la consigna en el tiempo y tolerancia definidos por CENACE.</w:t>
      </w:r>
    </w:p>
    <w:p>
      <w:pPr>
        <w:pStyle w:val="Normal"/>
        <w:rPr/>
      </w:pPr>
      <w:r>
        <w:rPr/>
      </w:r>
    </w:p>
    <w:p>
      <w:pPr>
        <w:pStyle w:val="Normal"/>
        <w:rPr>
          <w:rFonts w:ascii="Times New Roman" w:hAnsi="Times New Roman"/>
          <w:sz w:val="24"/>
          <w:szCs w:val="24"/>
        </w:rPr>
      </w:pPr>
      <w:r>
        <w:rPr/>
        <w:t>La prueba permite comprobar la capacidad de la central para modificar su aportación de potencia activa mediante una consigna de control, sin desconexión de la red ni pérdida de estabilidad operativa.</w:t>
      </w:r>
    </w:p>
    <w:p>
      <w:pPr>
        <w:pStyle w:val="Normal"/>
        <w:spacing w:before="160" w:after="80"/>
        <w:rPr/>
      </w:pPr>
      <w:r>
        <w:rPr>
          <w:b/>
          <w:bCs/>
          <w:color w:val="312E81"/>
        </w:rPr>
        <w:t>Condiciones y desarrollo de la prueba</w:t>
      </w:r>
    </w:p>
    <w:p>
      <w:pPr>
        <w:pStyle w:val="ListParagraph"/>
        <w:numPr>
          <w:ilvl w:val="0"/>
          <w:numId w:val="15"/>
        </w:numPr>
        <w:rPr/>
      </w:pPr>
      <w:r>
        <w:rPr/>
        <w:t>Verificar que la Central Eléctrica se encuentre sincronizada, interconectada y en operación estable.</w:t>
      </w:r>
    </w:p>
    <w:p>
      <w:pPr>
        <w:pStyle w:val="ListParagraph"/>
        <w:numPr>
          <w:ilvl w:val="0"/>
          <w:numId w:val="15"/>
        </w:numPr>
        <w:rPr/>
      </w:pPr>
      <w:r>
        <w:rPr/>
        <w:t>Operar la central en un valor de generación distinto a su capacidad máxima, conforme a la condición indicada por CENACE.</w:t>
      </w:r>
    </w:p>
    <w:p>
      <w:pPr>
        <w:pStyle w:val="ListParagraph"/>
        <w:numPr>
          <w:ilvl w:val="0"/>
          <w:numId w:val="15"/>
        </w:numPr>
        <w:rPr/>
      </w:pPr>
      <w:r>
        <w:rPr/>
        <w:t xml:space="preserve">En caso de no contar con una consigna específica de CENACE, considerar una condición operativa aproximada del </w:t>
      </w:r>
      <w:r>
        <w:rPr>
          <w:b/>
          <w:bCs/>
        </w:rPr>
        <w:t>50% de la capacidad máxima disponible</w:t>
      </w:r>
      <w:r>
        <w:rPr/>
        <w:t>.</w:t>
      </w:r>
    </w:p>
    <w:p>
      <w:pPr>
        <w:pStyle w:val="ListParagraph"/>
        <w:numPr>
          <w:ilvl w:val="0"/>
          <w:numId w:val="15"/>
        </w:numPr>
        <w:rPr/>
      </w:pPr>
      <w:r>
        <w:rPr/>
        <w:t>Confirmar la disponibilidad del sistema de control de potencia activa y de la comunicación operativa requerida para la ejecución de la prueba.</w:t>
      </w:r>
    </w:p>
    <w:p>
      <w:pPr>
        <w:pStyle w:val="ListParagraph"/>
        <w:numPr>
          <w:ilvl w:val="0"/>
          <w:numId w:val="15"/>
        </w:numPr>
        <w:rPr/>
      </w:pPr>
      <w:r>
        <w:rPr/>
        <w:t>Registrar la condición inicial de operación, incluyendo potencia activa, consigna de potencia, frecuencia y voltaje del generador.</w:t>
      </w:r>
    </w:p>
    <w:p>
      <w:pPr>
        <w:pStyle w:val="ListParagraph"/>
        <w:numPr>
          <w:ilvl w:val="0"/>
          <w:numId w:val="15"/>
        </w:numPr>
        <w:rPr/>
      </w:pPr>
      <w:r>
        <w:rPr/>
        <w:t>Enviar una consigna de reducción de potencia activa al valor definido para la prueba, sin desconectar la Central Eléctrica de la red.</w:t>
      </w:r>
    </w:p>
    <w:p>
      <w:pPr>
        <w:pStyle w:val="ListParagraph"/>
        <w:numPr>
          <w:ilvl w:val="0"/>
          <w:numId w:val="15"/>
        </w:numPr>
        <w:rPr/>
      </w:pPr>
      <w:r>
        <w:rPr/>
        <w:t>Registrar la respuesta de la central desde la condición inicial de generación hasta alcanzar la consigna indicada.</w:t>
      </w:r>
    </w:p>
    <w:p>
      <w:pPr>
        <w:pStyle w:val="ListParagraph"/>
        <w:numPr>
          <w:ilvl w:val="0"/>
          <w:numId w:val="15"/>
        </w:numPr>
        <w:rPr/>
      </w:pPr>
      <w:r>
        <w:rPr/>
        <w:t>Medir el tiempo requerido para alcanzar la consigna y documentar la trayectoria de reducción de potencia.</w:t>
      </w:r>
    </w:p>
    <w:p>
      <w:pPr>
        <w:pStyle w:val="ListParagraph"/>
        <w:numPr>
          <w:ilvl w:val="0"/>
          <w:numId w:val="15"/>
        </w:numPr>
        <w:rPr/>
      </w:pPr>
      <w:r>
        <w:rPr/>
        <w:t>Verificar que la central permanezca interconectada, sin disparos, desconexiones no intencionales, pérdida de control o actuación indebida de protecciones.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numPr>
          <w:ilvl w:val="0"/>
          <w:numId w:val="3"/>
        </w:numPr>
        <w:spacing w:beforeAutospacing="1" w:afterAutospacing="1"/>
        <w:jc w:val="left"/>
        <w:rPr>
          <w:rFonts w:eastAsia="Times New Roman" w:cs="Times New Roman"/>
          <w:lang w:val="es-MX"/>
        </w:rPr>
      </w:pPr>
      <w:r>
        <w:rPr>
          <w:rFonts w:eastAsia="Times New Roman" w:cs="Times New Roman"/>
          <w:lang w:val="es-MX"/>
        </w:rPr>
        <w:t>Potencia activa (P)</w:t>
      </w:r>
    </w:p>
    <w:p>
      <w:pPr>
        <w:pStyle w:val="Normal"/>
        <w:spacing w:beforeAutospacing="1" w:afterAutospacing="1"/>
        <w:ind w:left="720"/>
        <w:jc w:val="left"/>
        <w:rPr>
          <w:rFonts w:eastAsia="Times New Roman" w:cs="Times New Roman"/>
          <w:lang w:val="es-MX"/>
        </w:rPr>
      </w:pPr>
      <w:r>
        <w:rPr>
          <w:rFonts w:eastAsia="Times New Roman" w:cs="Times New Roman"/>
          <w:lang w:val="es-MX"/>
        </w:rPr>
      </w:r>
    </w:p>
    <w:p>
      <w:pPr>
        <w:pStyle w:val="Normal"/>
        <w:numPr>
          <w:ilvl w:val="0"/>
          <w:numId w:val="3"/>
        </w:numPr>
        <w:spacing w:beforeAutospacing="1" w:after="0"/>
        <w:jc w:val="left"/>
        <w:rPr>
          <w:rFonts w:eastAsia="Times New Roman" w:cs="Times New Roman"/>
          <w:lang w:val="es-MX"/>
        </w:rPr>
      </w:pPr>
      <w:r>
        <w:rPr>
          <w:rFonts w:eastAsia="Times New Roman" w:cs="Times New Roman"/>
          <w:lang w:val="es-MX"/>
        </w:rPr>
        <w:t>Consigna de potencia</w:t>
      </w:r>
    </w:p>
    <w:p>
      <w:pPr>
        <w:pStyle w:val="Normal"/>
        <w:numPr>
          <w:ilvl w:val="0"/>
          <w:numId w:val="3"/>
        </w:numPr>
        <w:spacing w:before="0" w:after="0"/>
        <w:jc w:val="left"/>
        <w:rPr>
          <w:rFonts w:eastAsia="Times New Roman" w:cs="Times New Roman"/>
          <w:lang w:val="es-MX"/>
        </w:rPr>
      </w:pPr>
      <w:r>
        <w:rPr>
          <w:rFonts w:eastAsia="Times New Roman" w:cs="Times New Roman"/>
          <w:lang w:val="es-MX"/>
        </w:rPr>
        <w:t>Frecuencia (f)</w:t>
      </w:r>
    </w:p>
    <w:p>
      <w:pPr>
        <w:pStyle w:val="Normal"/>
        <w:numPr>
          <w:ilvl w:val="0"/>
          <w:numId w:val="3"/>
        </w:numPr>
        <w:spacing w:before="0" w:afterAutospacing="1"/>
        <w:jc w:val="left"/>
        <w:rPr>
          <w:rFonts w:eastAsia="Times New Roman" w:cs="Times New Roman"/>
          <w:lang w:val="es-MX"/>
        </w:rPr>
      </w:pPr>
      <w:r>
        <w:rPr>
          <w:rFonts w:eastAsia="Times New Roman" w:cs="Times New Roman"/>
          <w:lang w:val="es-MX"/>
        </w:rPr>
        <w:t>Voltaje del generador (Vg)</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360" w:charSpace="0"/>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b/>
          <w:bCs/>
          <w:color w:val="312E81"/>
        </w:rPr>
        <w:t>Criterio de aceptación</w:t>
      </w:r>
    </w:p>
    <w:p>
      <w:pPr>
        <w:pStyle w:val="Normal"/>
        <w:spacing w:before="160" w:after="80"/>
        <w:rPr/>
      </w:pPr>
      <w:r>
        <w:rPr/>
        <w:t>La prueba se considera satisfactoria cuando la Central Eléctrica alcanza la consigna de potencia activa enviada, dentro del tiempo y tolerancia definidos por CENACE, manteniéndose interconectada y sin actuación indebida de protecciones.</w:t>
      </w:r>
    </w:p>
    <w:p>
      <w:pPr>
        <w:pStyle w:val="Normal"/>
        <w:spacing w:before="160" w:after="80"/>
        <w:rPr/>
      </w:pPr>
      <w:r>
        <w:rPr/>
      </w:r>
    </w:p>
    <w:p>
      <w:pPr>
        <w:pStyle w:val="Normal"/>
        <w:spacing w:before="160" w:after="80"/>
        <w:rPr>
          <w:b/>
          <w:bCs/>
          <w:color w:val="312E81"/>
        </w:rPr>
      </w:pPr>
      <w:r>
        <w:rPr/>
        <w:t>En caso de que CENACE no establezca un tiempo o tolerancia específicos para esta prueba, la evaluación se documentará con base en la respuesta registrada, verificando que la reducción de potencia se realice de forma controlada, estable y sin desconexión de la central.</w:t>
      </w:r>
      <w:r>
        <w:rPr>
          <w:b/>
          <w:bCs/>
          <w:color w:val="312E81"/>
        </w:rPr>
        <w:t xml:space="preserve"> </w:t>
      </w:r>
    </w:p>
    <w:p>
      <w:pPr>
        <w:pStyle w:val="Normal"/>
        <w:spacing w:before="160" w:after="80"/>
        <w:rPr/>
      </w:pPr>
      <w:r>
        <w:rPr>
          <w:b/>
          <w:bCs/>
          <w:color w:val="312E81"/>
        </w:rPr>
        <w:t>Resultados de la prueba</w:t>
      </w:r>
    </w:p>
    <w:p>
      <w:pPr>
        <w:pStyle w:val="Normal"/>
        <w:spacing w:before="0" w:after="120"/>
        <w:rPr/>
      </w:pPr>
      <w:r>
        <w:rPr/>
        <w:t>La evidencia de esta prueba corresponderá al registro de la potencia activa, consigna de potencia, frecuencia y voltaje del generador durante la reducción parcial de generación desde el punto operativo inicial hasta la consigna indicada.</w:t>
      </w:r>
    </w:p>
    <w:p>
      <w:pPr>
        <w:pStyle w:val="Normal"/>
        <w:spacing w:before="0" w:after="120"/>
        <w:rPr/>
      </w:pPr>
      <w:r>
        <w:rPr/>
      </w:r>
    </w:p>
    <w:p>
      <w:pPr>
        <w:pStyle w:val="Normal"/>
        <w:spacing w:before="0" w:after="120"/>
        <w:rPr/>
      </w:pPr>
      <w:r>
        <w:rPr/>
        <w:t>La información presentada permitirá identificar el tiempo de respuesta de la Central Eléctrica, la trayectoria de reducción de potencia activa y la estabilidad de la operación durante la ejecución de la prueba.</w:t>
      </w:r>
    </w:p>
    <w:p>
      <w:pPr>
        <w:pStyle w:val="Normal"/>
        <w:spacing w:before="0" w:after="120"/>
        <w:rPr/>
      </w:pPr>
      <w:r>
        <w:rPr/>
      </w:r>
    </w:p>
    <w:p>
      <w:pPr>
        <w:pStyle w:val="Normal"/>
        <w:spacing w:before="0" w:after="120"/>
        <w:rPr/>
      </w:pPr>
      <w:r>
        <w:rPr/>
        <w:t>Cuando CENACE no defina un criterio particular de tiempo y tolerancia, la evidencia se dejará documentada para su revisión, considerando el comportamiento de la central y la ausencia de desconexiones, disparos o condiciones anormales durante la prueba.</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407"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Limitación Parcial de Potencia Activa</w:t>
            </w:r>
          </w:p>
          <w:p>
            <w:pPr>
              <w:pStyle w:val="Normal"/>
              <w:jc w:val="center"/>
              <w:rPr/>
            </w:pPr>
            <w:r>
              <w:rPr>
                <w:i/>
                <w:iCs/>
                <w:color w:val="808080"/>
                <w:sz w:val="18"/>
                <w:szCs w:val="18"/>
              </w:rPr>
              <w:t>[Espacio reservado para gráfica]</w:t>
            </w:r>
          </w:p>
        </w:tc>
      </w:tr>
    </w:tbl>
    <w:p>
      <w:pPr>
        <w:pStyle w:val="Subtitle"/>
        <w:rPr/>
      </w:pPr>
      <w:r>
        <w:rPr/>
        <w:t>Gráfica. Limitación Parcial de Potencia Activa</w:t>
      </w:r>
    </w:p>
    <w:p>
      <w:pPr>
        <w:pStyle w:val="Heading2"/>
        <w:rPr/>
      </w:pPr>
      <w:bookmarkStart w:id="13" w:name="_Toc230532602"/>
      <w:r>
        <w:rPr/>
        <w:t>3.6. Prueba 6 - Control Primario de Frecuencia</w:t>
      </w:r>
      <w:bookmarkEnd w:id="13"/>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4" wp14:anchorId="4A5E8D16">
                      <wp:simplePos x="0" y="0"/>
                      <wp:positionH relativeFrom="column">
                        <wp:posOffset>74295</wp:posOffset>
                      </wp:positionH>
                      <wp:positionV relativeFrom="paragraph">
                        <wp:posOffset>79375</wp:posOffset>
                      </wp:positionV>
                      <wp:extent cx="708660" cy="635"/>
                      <wp:effectExtent l="0" t="10160" r="0" b="9525"/>
                      <wp:wrapNone/>
                      <wp:docPr id="3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A5E8D16">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5" wp14:anchorId="3D47E73F">
                      <wp:simplePos x="0" y="0"/>
                      <wp:positionH relativeFrom="column">
                        <wp:posOffset>0</wp:posOffset>
                      </wp:positionH>
                      <wp:positionV relativeFrom="paragraph">
                        <wp:posOffset>71120</wp:posOffset>
                      </wp:positionV>
                      <wp:extent cx="708660" cy="0"/>
                      <wp:effectExtent l="635" t="10160" r="635" b="10160"/>
                      <wp:wrapNone/>
                      <wp:docPr id="34"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D47E73F">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6" wp14:anchorId="4C9ED95B">
                      <wp:simplePos x="0" y="0"/>
                      <wp:positionH relativeFrom="column">
                        <wp:posOffset>0</wp:posOffset>
                      </wp:positionH>
                      <wp:positionV relativeFrom="paragraph">
                        <wp:posOffset>65405</wp:posOffset>
                      </wp:positionV>
                      <wp:extent cx="708660" cy="635"/>
                      <wp:effectExtent l="635" t="9525" r="635" b="9525"/>
                      <wp:wrapNone/>
                      <wp:docPr id="3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C9ED95B">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6" name="Imagen1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8" descr="Badge Tick1 con relleno sólido"/>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7" name="Imagen1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9" descr="Badge Tick1 con relleno sólido"/>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8" name="Imagen2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0" descr="Badge Tick1 con relleno sólido"/>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39" name="Imagen2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1" descr="Badge Tick1 con relleno sólido"/>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220980" cy="220980"/>
                          </a:xfrm>
                          <a:prstGeom prst="rect">
                            <a:avLst/>
                          </a:prstGeom>
                          <a:noFill/>
                        </pic:spPr>
                      </pic:pic>
                    </a:graphicData>
                  </a:graphic>
                </wp:inline>
              </w:drawing>
            </w:r>
          </w:p>
        </w:tc>
      </w:tr>
    </w:tbl>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699"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 xml:space="preserve">Gráfica: Control Primario de Frecuencia — CNK Unidad </w:t>
            </w:r>
          </w:p>
          <w:p>
            <w:pPr>
              <w:pStyle w:val="Normal"/>
              <w:jc w:val="center"/>
              <w:rPr/>
            </w:pPr>
            <w:r>
              <w:rPr>
                <w:i/>
                <w:iCs/>
                <w:color w:val="808080"/>
                <w:sz w:val="18"/>
                <w:szCs w:val="18"/>
              </w:rPr>
              <w:t>[Espacio reservado para gráfica]</w:t>
            </w:r>
          </w:p>
        </w:tc>
      </w:tr>
    </w:tbl>
    <w:p>
      <w:pPr>
        <w:pStyle w:val="Normal"/>
        <w:rPr/>
      </w:pPr>
      <w:r>
        <w:rPr/>
      </w:r>
    </w:p>
    <w:p>
      <w:pPr>
        <w:pStyle w:val="Normal"/>
        <w:spacing w:before="160" w:after="80"/>
        <w:rPr/>
      </w:pPr>
      <w:r>
        <w:rPr>
          <w:b/>
          <w:bCs/>
          <w:color w:val="312E81"/>
        </w:rPr>
        <w:t>Objetivo</w:t>
      </w:r>
    </w:p>
    <w:p>
      <w:pPr>
        <w:pStyle w:val="Normal"/>
        <w:rPr/>
      </w:pPr>
      <w:r>
        <w:rPr/>
        <w:t>Esta prueba verifica que la Central Eléctrica participe en el Control Primario de Frecuencia mediante la respuesta de potencia activa ante desviaciones de frecuencia, manteniéndose interconectada y en operación estable.</w:t>
      </w:r>
    </w:p>
    <w:p>
      <w:pPr>
        <w:pStyle w:val="Normal"/>
        <w:rPr/>
      </w:pPr>
      <w:r>
        <w:rPr/>
      </w:r>
    </w:p>
    <w:p>
      <w:pPr>
        <w:pStyle w:val="Normal"/>
        <w:rPr/>
      </w:pPr>
      <w:r>
        <w:rPr/>
        <w:t xml:space="preserve">El criterio de evaluación considera una característica de regulación entre 3% y 8%. Para este protocolo, </w:t>
      </w:r>
      <w:r>
        <w:rPr>
          <w:b/>
          <w:bCs/>
        </w:rPr>
        <w:t>la validación se documentará mediante la prueba de Estatismo por unidad y las pruebas de respuesta ante alta y baja frecuencia,</w:t>
      </w:r>
      <w:r>
        <w:rPr/>
        <w:t xml:space="preserve"> empleando señal simulada de frecuencia cuando no sea posible modificar la frecuencia real de la red.</w:t>
      </w:r>
    </w:p>
    <w:p>
      <w:pPr>
        <w:pStyle w:val="Normal"/>
        <w:rPr/>
      </w:pPr>
      <w:r>
        <w:rPr/>
      </w:r>
    </w:p>
    <w:p>
      <w:pPr>
        <w:pStyle w:val="Normal"/>
        <w:spacing w:before="160" w:after="80"/>
        <w:rPr/>
      </w:pPr>
      <w:r>
        <w:rPr>
          <w:b/>
          <w:bCs/>
          <w:color w:val="312E81"/>
        </w:rPr>
        <w:t>Condiciones y desarrollo de la prueba</w:t>
      </w:r>
    </w:p>
    <w:p>
      <w:pPr>
        <w:pStyle w:val="Normal"/>
        <w:rPr/>
      </w:pPr>
      <w:r>
        <w:rPr/>
      </w:r>
    </w:p>
    <w:p>
      <w:pPr>
        <w:pStyle w:val="Normal"/>
        <w:rPr/>
      </w:pPr>
      <w:r>
        <w:rPr/>
        <w:t>1. Verificar que la Central Eléctrica se encuentre sincronizada, interconectada y en operación estable.</w:t>
      </w:r>
    </w:p>
    <w:p>
      <w:pPr>
        <w:pStyle w:val="Normal"/>
        <w:rPr/>
      </w:pPr>
      <w:r>
        <w:rPr/>
        <w:t>2. Confirmar que el modo de control potencia-frecuencia se encuentre habilitado y que la característica de regulación aplicable esté configurada dentro del rango permitido.</w:t>
      </w:r>
    </w:p>
    <w:p>
      <w:pPr>
        <w:pStyle w:val="Normal"/>
        <w:rPr/>
      </w:pPr>
      <w:r>
        <w:rPr/>
        <w:t>3. Registrar la condición inicial de operación, incluyendo potencia activa, frecuencia medida, frecuencia simulada, velocidad del rotor y voltaje del generador.</w:t>
      </w:r>
    </w:p>
    <w:p>
      <w:pPr>
        <w:pStyle w:val="Normal"/>
        <w:rPr/>
      </w:pPr>
      <w:r>
        <w:rPr/>
        <w:t>4. Aplicar una señal simulada de frecuencia para generar desviaciones controladas por arriba y por debajo de 60 Hz, conforme al procedimiento de Estatismo y respuesta ante alta/baja frecuencia.</w:t>
      </w:r>
    </w:p>
    <w:p>
      <w:pPr>
        <w:pStyle w:val="Normal"/>
        <w:rPr/>
      </w:pPr>
      <w:r>
        <w:rPr/>
        <w:t>5. Registrar la respuesta de potencia activa de la Central Eléctrica durante cada desviación de frecuencia simulada.</w:t>
      </w:r>
    </w:p>
    <w:p>
      <w:pPr>
        <w:pStyle w:val="Normal"/>
        <w:rPr/>
      </w:pPr>
      <w:r>
        <w:rPr/>
        <w:t>6. Verificar que la respuesta sea estable, que corresponda al ajuste de estatismo y que no se presenten disparos, desconexiones no intencionales ni actuación indebida de protecciones.</w:t>
      </w:r>
    </w:p>
    <w:p>
      <w:pPr>
        <w:pStyle w:val="Normal"/>
        <w:rPr/>
      </w:pPr>
      <w:r>
        <w:rPr/>
      </w:r>
    </w:p>
    <w:p>
      <w:pPr>
        <w:pStyle w:val="Normal"/>
        <w:rPr/>
      </w:pPr>
      <w:r>
        <w:rPr>
          <w:b/>
          <w:bCs/>
          <w:color w:val="312E81"/>
        </w:rPr>
        <w:t>Señales requeridas</w:t>
      </w:r>
    </w:p>
    <w:p>
      <w:pPr>
        <w:pStyle w:val="Normal"/>
        <w:rPr/>
      </w:pPr>
      <w:r>
        <w:rPr/>
      </w:r>
    </w:p>
    <w:p>
      <w:pPr>
        <w:pStyle w:val="Normal"/>
        <w:numPr>
          <w:ilvl w:val="0"/>
          <w:numId w:val="3"/>
        </w:numPr>
        <w:spacing w:beforeAutospacing="1" w:afterAutospacing="1"/>
        <w:jc w:val="left"/>
        <w:rPr>
          <w:rFonts w:eastAsia="Times New Roman" w:cs="Times New Roman"/>
          <w:lang w:val="es-MX"/>
        </w:rPr>
      </w:pPr>
      <w:r>
        <w:rPr>
          <w:rFonts w:eastAsia="Times New Roman" w:cs="Times New Roman"/>
          <w:lang w:val="es-MX"/>
        </w:rPr>
        <w:t>Potencia activa (P)</w:t>
      </w:r>
    </w:p>
    <w:p>
      <w:pPr>
        <w:pStyle w:val="Normal"/>
        <w:spacing w:beforeAutospacing="1" w:afterAutospacing="1"/>
        <w:ind w:left="720"/>
        <w:jc w:val="left"/>
        <w:rPr>
          <w:rFonts w:eastAsia="Times New Roman" w:cs="Times New Roman"/>
          <w:lang w:val="es-MX"/>
        </w:rPr>
      </w:pPr>
      <w:r>
        <w:rPr>
          <w:rFonts w:eastAsia="Times New Roman" w:cs="Times New Roman"/>
          <w:lang w:val="es-MX"/>
        </w:rPr>
      </w:r>
    </w:p>
    <w:p>
      <w:pPr>
        <w:pStyle w:val="Normal"/>
        <w:numPr>
          <w:ilvl w:val="0"/>
          <w:numId w:val="3"/>
        </w:numPr>
        <w:spacing w:beforeAutospacing="1" w:after="0"/>
        <w:jc w:val="left"/>
        <w:rPr>
          <w:rFonts w:eastAsia="Times New Roman" w:cs="Times New Roman"/>
          <w:lang w:val="es-MX"/>
        </w:rPr>
      </w:pPr>
      <w:r>
        <w:rPr>
          <w:rFonts w:eastAsia="Times New Roman" w:cs="Times New Roman"/>
          <w:lang w:val="es-MX"/>
        </w:rPr>
        <w:t>Consigna de potencia</w:t>
      </w:r>
    </w:p>
    <w:p>
      <w:pPr>
        <w:pStyle w:val="Normal"/>
        <w:numPr>
          <w:ilvl w:val="0"/>
          <w:numId w:val="3"/>
        </w:numPr>
        <w:spacing w:before="0" w:after="0"/>
        <w:jc w:val="left"/>
        <w:rPr>
          <w:rFonts w:eastAsia="Times New Roman" w:cs="Times New Roman"/>
          <w:lang w:val="es-MX"/>
        </w:rPr>
      </w:pPr>
      <w:r>
        <w:rPr>
          <w:rFonts w:eastAsia="Times New Roman" w:cs="Times New Roman"/>
          <w:lang w:val="es-MX"/>
        </w:rPr>
        <w:t>Frecuencia (f)</w:t>
      </w:r>
    </w:p>
    <w:p>
      <w:pPr>
        <w:pStyle w:val="Normal"/>
        <w:numPr>
          <w:ilvl w:val="0"/>
          <w:numId w:val="3"/>
        </w:numPr>
        <w:spacing w:before="0" w:afterAutospacing="1"/>
        <w:jc w:val="left"/>
        <w:rPr>
          <w:rFonts w:eastAsia="Times New Roman" w:cs="Times New Roman"/>
          <w:lang w:val="es-MX"/>
        </w:rPr>
      </w:pPr>
      <w:r>
        <w:rPr>
          <w:rFonts w:eastAsia="Times New Roman" w:cs="Times New Roman"/>
          <w:lang w:val="es-MX"/>
        </w:rPr>
        <w:t>Voltaje del generador (Vg)</w:t>
      </w:r>
    </w:p>
    <w:p>
      <w:pPr>
        <w:pStyle w:val="Normal"/>
        <w:spacing w:before="160" w:after="80"/>
        <w:rPr/>
      </w:pPr>
      <w:r>
        <w:rPr/>
      </w:r>
    </w:p>
    <w:p>
      <w:pPr>
        <w:pStyle w:val="Normal"/>
        <w:spacing w:before="160" w:after="80"/>
        <w:rPr>
          <w:b/>
          <w:bCs/>
          <w:color w:val="312E81"/>
        </w:rPr>
      </w:pPr>
      <w:r>
        <w:rPr>
          <w:b/>
          <w:bCs/>
          <w:color w:val="312E81"/>
        </w:rPr>
        <w:t>Criterio de aceptación</w:t>
      </w:r>
    </w:p>
    <w:p>
      <w:pPr>
        <w:pStyle w:val="Normal"/>
        <w:rPr/>
      </w:pPr>
      <w:r>
        <w:rPr/>
        <w:t>La prueba se considera satisfactoria cuando la Central Eléctrica demuestra respuesta de potencia activa ante desviaciones de frecuencia conforme a una característica de regulación entre 3% y 8%, manteniéndose interconectada y sin actuación indebida de protecciones.</w:t>
      </w:r>
    </w:p>
    <w:p>
      <w:pPr>
        <w:pStyle w:val="Normal"/>
        <w:rPr/>
      </w:pPr>
      <w:r>
        <w:rPr/>
        <w:t>Resultados de la prueba</w:t>
      </w:r>
    </w:p>
    <w:p>
      <w:pPr>
        <w:pStyle w:val="Normal"/>
        <w:rPr/>
      </w:pPr>
      <w:r>
        <w:rPr/>
      </w:r>
    </w:p>
    <w:p>
      <w:pPr>
        <w:pStyle w:val="Normal"/>
        <w:rPr/>
      </w:pPr>
      <w:r>
        <w:rPr/>
        <w:t>La evidencia de esta prueba corresponderá al registro de frecuencia simulada, frecuencia medida, potencia activa, velocidad del rotor y voltaje del generador durante las pruebas de Estatismo y respuesta ante alta/baja frecuencia.</w:t>
      </w:r>
    </w:p>
    <w:p>
      <w:pPr>
        <w:pStyle w:val="Normal"/>
        <w:rPr/>
      </w:pPr>
      <w:r>
        <w:rPr/>
      </w:r>
    </w:p>
    <w:p>
      <w:pPr>
        <w:pStyle w:val="Normal"/>
        <w:rPr/>
      </w:pPr>
      <w:r>
        <w:rPr/>
        <w:t>La evaluación deberá mostrar que la potencia activa cambia de manera coherente con la desviación de frecuencia y con el ajuste de estatismo configurado, sin comprometer la estabilidad operativa de la Central Eléctrica.</w:t>
      </w:r>
    </w:p>
    <w:p>
      <w:pPr>
        <w:pStyle w:val="Normal"/>
        <w:rPr/>
      </w:pPr>
      <w:r>
        <w:rPr/>
      </w:r>
    </w:p>
    <w:p>
      <w:pPr>
        <w:pStyle w:val="Normal"/>
        <w:rPr/>
      </w:pPr>
      <w:r>
        <w:rPr/>
      </w:r>
    </w:p>
    <w:p>
      <w:pPr>
        <w:pStyle w:val="Heading2"/>
        <w:rPr/>
      </w:pPr>
      <w:bookmarkStart w:id="14" w:name="_Toc230532603"/>
      <w:r>
        <w:rPr/>
        <w:t>3.7. Prueba 7 - Control Secundario de Frecuencia</w:t>
      </w:r>
      <w:bookmarkEnd w:id="14"/>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7" wp14:anchorId="732E1B92">
                      <wp:simplePos x="0" y="0"/>
                      <wp:positionH relativeFrom="column">
                        <wp:posOffset>74295</wp:posOffset>
                      </wp:positionH>
                      <wp:positionV relativeFrom="paragraph">
                        <wp:posOffset>79375</wp:posOffset>
                      </wp:positionV>
                      <wp:extent cx="708660" cy="635"/>
                      <wp:effectExtent l="0" t="10160" r="0" b="9525"/>
                      <wp:wrapNone/>
                      <wp:docPr id="40"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32E1B92">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8" wp14:anchorId="423BACD8">
                      <wp:simplePos x="0" y="0"/>
                      <wp:positionH relativeFrom="column">
                        <wp:posOffset>0</wp:posOffset>
                      </wp:positionH>
                      <wp:positionV relativeFrom="paragraph">
                        <wp:posOffset>71120</wp:posOffset>
                      </wp:positionV>
                      <wp:extent cx="708660" cy="0"/>
                      <wp:effectExtent l="635" t="10160" r="635" b="10160"/>
                      <wp:wrapNone/>
                      <wp:docPr id="41"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423BACD8">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69" wp14:anchorId="10F18BCD">
                      <wp:simplePos x="0" y="0"/>
                      <wp:positionH relativeFrom="column">
                        <wp:posOffset>0</wp:posOffset>
                      </wp:positionH>
                      <wp:positionV relativeFrom="paragraph">
                        <wp:posOffset>65405</wp:posOffset>
                      </wp:positionV>
                      <wp:extent cx="708660" cy="635"/>
                      <wp:effectExtent l="635" t="9525" r="635" b="9525"/>
                      <wp:wrapNone/>
                      <wp:docPr id="42"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0F18BCD">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43" name="Imagen2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22" descr="Badge Tick1 con relleno sólido"/>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44" name="Imagen2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3" descr="Badge Tick1 con relleno sólido"/>
                          <pic:cNvPicPr>
                            <a:picLocks noChangeAspect="1" noChangeArrowheads="1"/>
                          </pic:cNvPicPr>
                        </pic:nvPicPr>
                        <pic:blipFill>
                          <a:blip r:embed="rId51">
                            <a:extLst>
                              <a:ext uri="{96DAC541-7B7A-43D3-8B79-37D633B846F1}">
                                <asvg:svgBlip xmlns:asvg="http://schemas.microsoft.com/office/drawing/2016/SVG/main" r:embed="rId52"/>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15" w:name="_Toc230532604"/>
      <w:r>
        <w:rPr/>
        <w:t>3.8. Prueba 8 - Rango de Tensión en el Punto de Interconexión (no aplica)</w:t>
      </w:r>
      <w:bookmarkEnd w:id="15"/>
    </w:p>
    <w:p>
      <w:pPr>
        <w:pStyle w:val="Normal"/>
        <w:spacing w:before="0" w:after="120"/>
        <w:rPr>
          <w:i/>
          <w:i/>
          <w:iCs/>
        </w:rPr>
      </w:pPr>
      <w:r>
        <w:rPr>
          <w:i/>
          <w:iCs/>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0" wp14:anchorId="7C1696B8">
                      <wp:simplePos x="0" y="0"/>
                      <wp:positionH relativeFrom="column">
                        <wp:posOffset>74295</wp:posOffset>
                      </wp:positionH>
                      <wp:positionV relativeFrom="paragraph">
                        <wp:posOffset>79375</wp:posOffset>
                      </wp:positionV>
                      <wp:extent cx="708660" cy="635"/>
                      <wp:effectExtent l="0" t="10160" r="0" b="9525"/>
                      <wp:wrapNone/>
                      <wp:docPr id="4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C1696B8">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1" wp14:anchorId="02FDEC33">
                      <wp:simplePos x="0" y="0"/>
                      <wp:positionH relativeFrom="column">
                        <wp:posOffset>0</wp:posOffset>
                      </wp:positionH>
                      <wp:positionV relativeFrom="paragraph">
                        <wp:posOffset>71120</wp:posOffset>
                      </wp:positionV>
                      <wp:extent cx="708660" cy="0"/>
                      <wp:effectExtent l="635" t="10160" r="635" b="10160"/>
                      <wp:wrapNone/>
                      <wp:docPr id="4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02FDEC33">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2" wp14:anchorId="5AD91F03">
                      <wp:simplePos x="0" y="0"/>
                      <wp:positionH relativeFrom="column">
                        <wp:posOffset>0</wp:posOffset>
                      </wp:positionH>
                      <wp:positionV relativeFrom="paragraph">
                        <wp:posOffset>65405</wp:posOffset>
                      </wp:positionV>
                      <wp:extent cx="708660" cy="635"/>
                      <wp:effectExtent l="635" t="9525" r="635" b="9525"/>
                      <wp:wrapNone/>
                      <wp:docPr id="4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AD91F0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48" name="Imagen2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24" descr="Badge Tick1 con relleno sólido"/>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16" w:name="_Toc230532605"/>
      <w:r>
        <w:rPr/>
        <w:t>3.9. Prueba 9 - Rango de Tensión en el Punto de Interconexión</w:t>
      </w:r>
      <w:bookmarkEnd w:id="16"/>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3" wp14:anchorId="2B89150F">
                      <wp:simplePos x="0" y="0"/>
                      <wp:positionH relativeFrom="column">
                        <wp:posOffset>74295</wp:posOffset>
                      </wp:positionH>
                      <wp:positionV relativeFrom="paragraph">
                        <wp:posOffset>79375</wp:posOffset>
                      </wp:positionV>
                      <wp:extent cx="708660" cy="635"/>
                      <wp:effectExtent l="0" t="10160" r="0" b="9525"/>
                      <wp:wrapNone/>
                      <wp:docPr id="4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2B89150F">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4" wp14:anchorId="39CBAD4F">
                      <wp:simplePos x="0" y="0"/>
                      <wp:positionH relativeFrom="column">
                        <wp:posOffset>0</wp:posOffset>
                      </wp:positionH>
                      <wp:positionV relativeFrom="paragraph">
                        <wp:posOffset>71120</wp:posOffset>
                      </wp:positionV>
                      <wp:extent cx="708660" cy="0"/>
                      <wp:effectExtent l="635" t="10160" r="635" b="10160"/>
                      <wp:wrapNone/>
                      <wp:docPr id="5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39CBAD4F">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5" wp14:anchorId="6D5C41A4">
                      <wp:simplePos x="0" y="0"/>
                      <wp:positionH relativeFrom="column">
                        <wp:posOffset>0</wp:posOffset>
                      </wp:positionH>
                      <wp:positionV relativeFrom="paragraph">
                        <wp:posOffset>65405</wp:posOffset>
                      </wp:positionV>
                      <wp:extent cx="708660" cy="635"/>
                      <wp:effectExtent l="635" t="9525" r="635" b="9525"/>
                      <wp:wrapNone/>
                      <wp:docPr id="5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6D5C41A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52" name="Imagen2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25" descr="Badge Tick1 con relleno sólido"/>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53" name="Imagen2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26" descr="Badge Tick1 con relleno sólido"/>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54" name="Imagen2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27" descr="Badge Tick1 con relleno sólido"/>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160" w:after="80"/>
        <w:rPr/>
      </w:pPr>
      <w:r>
        <w:rPr>
          <w:b/>
          <w:bCs/>
          <w:color w:val="312E81"/>
        </w:rPr>
        <w:t>Objetivo</w:t>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t xml:space="preserve">Esta prueba verifica que la </w:t>
      </w:r>
      <w:r>
        <w:rPr>
          <w:rFonts w:ascii="Helvetica Neue Light" w:hAnsi="Helvetica Neue Light"/>
          <w:b/>
          <w:bCs/>
          <w:sz w:val="22"/>
          <w:szCs w:val="22"/>
        </w:rPr>
        <w:t>Central Eléctrica</w:t>
      </w:r>
      <w:r>
        <w:rPr>
          <w:rFonts w:ascii="Helvetica Neue Light" w:hAnsi="Helvetica Neue Light"/>
          <w:sz w:val="22"/>
          <w:szCs w:val="22"/>
        </w:rPr>
        <w:t xml:space="preserve"> pueda permanecer interconectada y en operación dentro de los </w:t>
      </w:r>
      <w:r>
        <w:rPr>
          <w:rFonts w:ascii="Helvetica Neue Light" w:hAnsi="Helvetica Neue Light"/>
          <w:b/>
          <w:bCs/>
          <w:sz w:val="22"/>
          <w:szCs w:val="22"/>
        </w:rPr>
        <w:t>rangos de tensión establecidos en el Punto de Interconexión</w:t>
      </w:r>
      <w:r>
        <w:rPr>
          <w:rFonts w:ascii="Helvetica Neue Light" w:hAnsi="Helvetica Neue Light"/>
          <w:sz w:val="22"/>
          <w:szCs w:val="22"/>
        </w:rPr>
        <w:t>, sin que los ajustes de protección provoquen una desconexión anticipada dentro de los tiempos mínimos requeridos.</w:t>
      </w:r>
    </w:p>
    <w:p>
      <w:pPr>
        <w:pStyle w:val="p1"/>
        <w:spacing w:lineRule="auto" w:line="360" w:before="280" w:after="280"/>
        <w:rPr>
          <w:rFonts w:ascii="Helvetica Neue Light" w:hAnsi="Helvetica Neue Light"/>
          <w:sz w:val="22"/>
          <w:szCs w:val="22"/>
        </w:rPr>
      </w:pPr>
      <w:r>
        <w:rPr>
          <w:rFonts w:ascii="Helvetica Neue Light" w:hAnsi="Helvetica Neue Light"/>
          <w:sz w:val="22"/>
          <w:szCs w:val="22"/>
        </w:rPr>
        <w:t xml:space="preserve">El criterio de evaluación se toma del </w:t>
      </w:r>
      <w:r>
        <w:rPr>
          <w:rFonts w:ascii="Helvetica Neue Light" w:hAnsi="Helvetica Neue Light"/>
          <w:b/>
          <w:bCs/>
          <w:sz w:val="22"/>
          <w:szCs w:val="22"/>
        </w:rPr>
        <w:t>Anexo 5 del Procedimiento de Operación para la Declaración de Entrada en Operación Comercial de Centrales Eléctricas y Centros de Carga</w:t>
      </w:r>
      <w:r>
        <w:rPr>
          <w:rFonts w:ascii="Helvetica Neue Light" w:hAnsi="Helvetica Neue Light"/>
          <w:sz w:val="22"/>
          <w:szCs w:val="22"/>
        </w:rPr>
        <w:t xml:space="preserve">, en el apartado de pruebas por Central Eléctrica para Centrales Eléctricas Síncronas, donde se establece la prueba de </w:t>
      </w:r>
      <w:r>
        <w:rPr>
          <w:rFonts w:ascii="Helvetica Neue Light" w:hAnsi="Helvetica Neue Light"/>
          <w:b/>
          <w:bCs/>
          <w:sz w:val="22"/>
          <w:szCs w:val="22"/>
        </w:rPr>
        <w:t>Rango de Tensión en el Punto de Interconexión</w:t>
      </w:r>
      <w:r>
        <w:rPr>
          <w:rFonts w:ascii="Helvetica Neue Light" w:hAnsi="Helvetica Neue Light"/>
          <w:sz w:val="22"/>
          <w:szCs w:val="22"/>
        </w:rPr>
        <w:t>.</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t xml:space="preserve">El fundamento técnico corresponde al Código de Red 2.0, dentro del Manual Regulatorio de Requerimientos Técnicos para la Interconexión de Centrales Eléctricas al Sistema Eléctrico Nacional, </w:t>
      </w:r>
      <w:r>
        <w:rPr>
          <w:rFonts w:ascii="Helvetica Neue Light" w:hAnsi="Helvetica Neue Light"/>
          <w:b/>
          <w:bCs/>
          <w:sz w:val="22"/>
          <w:szCs w:val="22"/>
        </w:rPr>
        <w:t>Capítulo 3, Sección 3.1.1, donde se establecen los valores de operación</w:t>
      </w:r>
      <w:r>
        <w:rPr>
          <w:rFonts w:ascii="Helvetica Neue Light" w:hAnsi="Helvetica Neue Light"/>
          <w:sz w:val="22"/>
          <w:szCs w:val="22"/>
        </w:rPr>
        <w:t xml:space="preserve"> sin desconexión ante variaciones de tensión para Centrales Eléctricas.</w:t>
      </w:r>
    </w:p>
    <w:p>
      <w:pPr>
        <w:pStyle w:val="Normal"/>
        <w:spacing w:before="0" w:after="120"/>
        <w:rPr/>
      </w:pPr>
      <w:r>
        <w:rPr/>
        <w:t>solo hay una unidad, mostrado el cumplimiento de los tiempos establecidos a continuación.</w:t>
      </w:r>
    </w:p>
    <w:tbl>
      <w:tblPr>
        <w:tblW w:w="936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3120"/>
        <w:gridCol w:w="3120"/>
        <w:gridCol w:w="3120"/>
      </w:tblGrid>
      <w:tr>
        <w:trPr>
          <w:tblHeader w:val="true"/>
        </w:trPr>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Área síncrona</w:t>
            </w:r>
          </w:p>
        </w:tc>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Rango de tensión del punto de interconexión</w:t>
            </w:r>
          </w:p>
        </w:tc>
        <w:tc>
          <w:tcPr>
            <w:tcW w:w="312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Tiempo mínimo de operación</w:t>
            </w:r>
          </w:p>
        </w:tc>
      </w:tr>
      <w:tr>
        <w:trPr/>
        <w:tc>
          <w:tcPr>
            <w:tcW w:w="3120" w:type="dxa"/>
            <w:vMerge w:val="restart"/>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pPr>
            <w:r>
              <w:rPr/>
              <w:t>Sistema Interconectado Nacional</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1.05 p.u. &lt; V &lt; 1.10 p.u.</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30 minutos</w:t>
            </w:r>
          </w:p>
        </w:tc>
      </w:tr>
      <w:tr>
        <w:trPr/>
        <w:tc>
          <w:tcPr>
            <w:tcW w:w="3120" w:type="dxa"/>
            <w:vMerge w:val="continue"/>
            <w:tcBorders>
              <w:top w:val="single" w:sz="4" w:space="0" w:color="000000"/>
              <w:left w:val="single" w:sz="4" w:space="0" w:color="BFBFBF"/>
              <w:bottom w:val="single" w:sz="4" w:space="0" w:color="000000"/>
              <w:right w:val="single" w:sz="4" w:space="0" w:color="BFBFBF"/>
            </w:tcBorders>
            <w:vAlign w:val="center"/>
          </w:tcPr>
          <w:p>
            <w:pPr>
              <w:pStyle w:val="Normal"/>
              <w:spacing w:lineRule="auto" w:line="240"/>
              <w:jc w:val="center"/>
              <w:rPr/>
            </w:pPr>
            <w:r>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0.95 p.u. ≤ V ≤ 1.05 p.u.</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Ilimitado</w:t>
            </w:r>
          </w:p>
        </w:tc>
      </w:tr>
      <w:tr>
        <w:trPr/>
        <w:tc>
          <w:tcPr>
            <w:tcW w:w="3120" w:type="dxa"/>
            <w:vMerge w:val="continue"/>
            <w:tcBorders>
              <w:top w:val="single" w:sz="4" w:space="0" w:color="000000"/>
              <w:left w:val="single" w:sz="4" w:space="0" w:color="BFBFBF"/>
              <w:bottom w:val="single" w:sz="4" w:space="0" w:color="BFBFBF"/>
              <w:right w:val="single" w:sz="4" w:space="0" w:color="BFBFBF"/>
            </w:tcBorders>
            <w:vAlign w:val="center"/>
          </w:tcPr>
          <w:p>
            <w:pPr>
              <w:pStyle w:val="Normal"/>
              <w:spacing w:lineRule="auto" w:line="240"/>
              <w:jc w:val="center"/>
              <w:rPr/>
            </w:pPr>
            <w:r>
              <w:rPr/>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0.90 p.u. &lt; V &lt; 0.95 p.u.</w:t>
            </w:r>
          </w:p>
        </w:tc>
        <w:tc>
          <w:tcPr>
            <w:tcW w:w="312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t>30 minutos</w:t>
            </w:r>
          </w:p>
        </w:tc>
      </w:tr>
    </w:tbl>
    <w:p>
      <w:pPr>
        <w:pStyle w:val="Subtitle"/>
        <w:rPr/>
      </w:pPr>
      <w:r>
        <w:rPr/>
        <w:t>Tabla 1. Tiempo mínimo de operación sin desconexión.</w:t>
      </w:r>
    </w:p>
    <w:p>
      <w:pPr>
        <w:pStyle w:val="Normal"/>
        <w:rPr/>
      </w:pPr>
      <w:r>
        <w:rPr/>
      </w:r>
    </w:p>
    <w:p>
      <w:pPr>
        <w:pStyle w:val="Normal"/>
        <w:spacing w:before="160" w:after="80"/>
        <w:rPr/>
      </w:pPr>
      <w:r>
        <w:rPr>
          <w:b/>
          <w:bCs/>
          <w:color w:val="312E81"/>
        </w:rPr>
        <w:t>Condiciones y desarrollo de la prueba</w:t>
      </w:r>
    </w:p>
    <w:p>
      <w:pPr>
        <w:pStyle w:val="ListParagraph"/>
        <w:numPr>
          <w:ilvl w:val="0"/>
          <w:numId w:val="2"/>
        </w:numPr>
        <w:rPr/>
      </w:pPr>
      <w:r>
        <w:rPr/>
        <w:t>Integrar la información documental de los ajustes de protección asociados al Punto de Interconexión.</w:t>
      </w:r>
    </w:p>
    <w:p>
      <w:pPr>
        <w:pStyle w:val="ListParagraph"/>
        <w:numPr>
          <w:ilvl w:val="0"/>
          <w:numId w:val="2"/>
        </w:numPr>
        <w:rPr/>
      </w:pPr>
      <w:r>
        <w:rPr/>
        <w:t xml:space="preserve">Identificar los ajustes de protección de baja tensión y sobretensión aplicables, principalmente funciones </w:t>
      </w:r>
      <w:r>
        <w:rPr>
          <w:b/>
          <w:bCs/>
        </w:rPr>
        <w:t>ANSI 27</w:t>
      </w:r>
      <w:r>
        <w:rPr/>
        <w:t xml:space="preserve"> y </w:t>
      </w:r>
      <w:r>
        <w:rPr>
          <w:b/>
          <w:bCs/>
        </w:rPr>
        <w:t>ANSI 59</w:t>
      </w:r>
      <w:r>
        <w:rPr/>
        <w:t>.</w:t>
      </w:r>
    </w:p>
    <w:p>
      <w:pPr>
        <w:pStyle w:val="ListParagraph"/>
        <w:numPr>
          <w:ilvl w:val="0"/>
          <w:numId w:val="2"/>
        </w:numPr>
        <w:rPr/>
      </w:pPr>
      <w:r>
        <w:rPr/>
        <w:t>Verificar los valores de alarma y disparo configurados en el relevador correspondiente al Punto de Interconexión.</w:t>
      </w:r>
    </w:p>
    <w:p>
      <w:pPr>
        <w:pStyle w:val="ListParagraph"/>
        <w:numPr>
          <w:ilvl w:val="0"/>
          <w:numId w:val="2"/>
        </w:numPr>
        <w:rPr/>
      </w:pPr>
      <w:r>
        <w:rPr/>
        <w:t>Comparar los ajustes de protección contra los rangos de tensión establecidos en el criterio de aceptación.</w:t>
      </w:r>
    </w:p>
    <w:p>
      <w:pPr>
        <w:pStyle w:val="ListParagraph"/>
        <w:numPr>
          <w:ilvl w:val="0"/>
          <w:numId w:val="2"/>
        </w:numPr>
        <w:rPr/>
      </w:pPr>
      <w:r>
        <w:rPr/>
        <w:t>Confirmar que los ajustes no provoquen la desconexión de la Central Eléctrica dentro de los rangos donde el Código de Red exige permanencia en operación.</w:t>
      </w:r>
    </w:p>
    <w:p>
      <w:pPr>
        <w:pStyle w:val="ListParagraph"/>
        <w:numPr>
          <w:ilvl w:val="0"/>
          <w:numId w:val="2"/>
        </w:numPr>
        <w:rPr/>
      </w:pPr>
      <w:r>
        <w:rPr/>
        <w:t>Documentar los valores de ajuste en volts y su equivalencia en por unidad, cuando dicha conversión aplique.</w:t>
      </w:r>
    </w:p>
    <w:p>
      <w:pPr>
        <w:pStyle w:val="ListParagraph"/>
        <w:rPr/>
      </w:pPr>
      <w:r>
        <w:rPr/>
        <w:t>Integrar capturas de pantalla o evidencia documental de los ajustes del relevador como soporte de la evaluación.</w:t>
      </w:r>
    </w:p>
    <w:p>
      <w:pPr>
        <w:pStyle w:val="Normal"/>
        <w:rPr/>
      </w:pPr>
      <w:r>
        <w:rPr/>
      </w:r>
    </w:p>
    <w:p>
      <w:pPr>
        <w:pStyle w:val="Normal"/>
        <w:rPr/>
      </w:pPr>
      <w:r>
        <w:rPr>
          <w:b/>
          <w:bCs/>
          <w:color w:val="312E81"/>
        </w:rPr>
        <w:t>Señales requerida</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spacing w:before="160" w:after="80"/>
        <w:rPr/>
      </w:pPr>
      <w:r>
        <w:rPr/>
        <w:t>No aplica para medición directa en campo, al tratarse de una verificación documental de ajustes de protección y rangos de permanencia ante variaciones de tensión.</w:t>
      </w:r>
    </w:p>
    <w:p>
      <w:pPr>
        <w:pStyle w:val="Normal"/>
        <w:spacing w:before="160" w:after="80"/>
        <w:rPr/>
      </w:pPr>
      <w:r>
        <w:rPr>
          <w:b/>
          <w:bCs/>
          <w:color w:val="312E81"/>
        </w:rPr>
        <w:t>Criterio de aceptación</w:t>
      </w:r>
    </w:p>
    <w:p>
      <w:pPr>
        <w:pStyle w:val="Normal"/>
        <w:spacing w:before="160" w:after="80"/>
        <w:rPr/>
      </w:pPr>
      <w:r>
        <w:rPr/>
        <w:t>La prueba se considera satisfactoria cuando la documentación presentada demuestra que los ajustes de protección permiten la permanencia de la Central Eléctrica dentro de los rangos de tensión establecidos.</w:t>
      </w:r>
    </w:p>
    <w:p>
      <w:pPr>
        <w:pStyle w:val="Normal"/>
        <w:spacing w:before="160" w:after="80"/>
        <w:rPr/>
      </w:pPr>
      <w:r>
        <w:rPr>
          <w:b/>
          <w:bCs/>
          <w:color w:val="312E81"/>
        </w:rPr>
        <w:t>Resultados de la prueba</w:t>
      </w:r>
    </w:p>
    <w:p>
      <w:pPr>
        <w:pStyle w:val="Normal"/>
        <w:spacing w:before="0" w:after="120"/>
        <w:rPr/>
      </w:pPr>
      <w:r>
        <w:rPr/>
        <w:t>La evidencia de esta prueba corresponderá a la revisión documental de los ajustes de protección del relevador asociado al Punto de Interconexión, considerando las funciones de baja tensión y sobretensión.</w:t>
      </w:r>
    </w:p>
    <w:p>
      <w:pPr>
        <w:pStyle w:val="Normal"/>
        <w:spacing w:before="0" w:after="120"/>
        <w:rPr/>
      </w:pPr>
      <w:r>
        <w:rPr/>
      </w:r>
    </w:p>
    <w:p>
      <w:pPr>
        <w:pStyle w:val="Normal"/>
        <w:spacing w:before="0" w:after="120"/>
        <w:rPr/>
      </w:pPr>
      <w:r>
        <w:rPr/>
        <w:t>La información presentada permitirá comparar los valores de alarma y disparo contra los rangos de permanencia exigidos, verificando que la Central Eléctrica pueda mantenerse en operación dentro de los límites establecidos por el Código de Red.</w:t>
      </w:r>
    </w:p>
    <w:tbl>
      <w:tblPr>
        <w:tblW w:w="936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2340"/>
        <w:gridCol w:w="2340"/>
        <w:gridCol w:w="2340"/>
        <w:gridCol w:w="2339"/>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Protección ANSI</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Voltaje (V)</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Tiempo (s)</w:t>
            </w:r>
          </w:p>
        </w:tc>
        <w:tc>
          <w:tcPr>
            <w:tcW w:w="233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Modo de operación</w:t>
            </w:r>
          </w:p>
        </w:tc>
      </w:tr>
      <w:tr>
        <w:trPr/>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39"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r>
      <w:tr>
        <w:trPr/>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39"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r>
    </w:tbl>
    <w:p>
      <w:pPr>
        <w:pStyle w:val="Subtitle"/>
        <w:rPr/>
      </w:pPr>
      <w:r>
        <w:rPr/>
        <w:t>Tabla. Ajustes relevadores</w:t>
      </w:r>
    </w:p>
    <w:p>
      <w:pPr>
        <w:pStyle w:val="Normal"/>
        <w:rPr/>
      </w:pPr>
      <w:r>
        <w:rPr/>
      </w:r>
    </w:p>
    <w:p>
      <w:pPr>
        <w:pStyle w:val="Normal"/>
        <w:spacing w:before="0" w:after="120"/>
        <w:rPr/>
      </w:pPr>
      <w:r>
        <w:rPr/>
        <w:t xml:space="preserve">Cuando se integren los ajustes del relevador, se deberá indicar su equivalencia en por unidad para confirmar la correspondencia con los límites normativos de </w:t>
      </w:r>
      <w:r>
        <w:rPr>
          <w:b/>
          <w:bCs/>
        </w:rPr>
        <w:t>0.90 pu, 0.95 pu, 1.05 pu y 1.10 pu.</w:t>
      </w:r>
    </w:p>
    <w:p>
      <w:pPr>
        <w:pStyle w:val="Heading2"/>
        <w:rPr/>
      </w:pPr>
      <w:bookmarkStart w:id="17" w:name="_Toc230532606"/>
      <w:r>
        <w:rPr/>
        <w:t>3.10. Prueba 10 - Capacidad de Potencia Reactiva</w:t>
      </w:r>
      <w:bookmarkEnd w:id="17"/>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6" wp14:anchorId="4C45C104">
                      <wp:simplePos x="0" y="0"/>
                      <wp:positionH relativeFrom="column">
                        <wp:posOffset>74295</wp:posOffset>
                      </wp:positionH>
                      <wp:positionV relativeFrom="paragraph">
                        <wp:posOffset>79375</wp:posOffset>
                      </wp:positionV>
                      <wp:extent cx="708660" cy="635"/>
                      <wp:effectExtent l="0" t="10160" r="0" b="9525"/>
                      <wp:wrapNone/>
                      <wp:docPr id="5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C45C104">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7" wp14:anchorId="4F45BF4E">
                      <wp:simplePos x="0" y="0"/>
                      <wp:positionH relativeFrom="column">
                        <wp:posOffset>0</wp:posOffset>
                      </wp:positionH>
                      <wp:positionV relativeFrom="paragraph">
                        <wp:posOffset>71120</wp:posOffset>
                      </wp:positionV>
                      <wp:extent cx="708660" cy="0"/>
                      <wp:effectExtent l="635" t="10160" r="635" b="10160"/>
                      <wp:wrapNone/>
                      <wp:docPr id="5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4F45BF4E">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8" wp14:anchorId="5608B475">
                      <wp:simplePos x="0" y="0"/>
                      <wp:positionH relativeFrom="column">
                        <wp:posOffset>0</wp:posOffset>
                      </wp:positionH>
                      <wp:positionV relativeFrom="paragraph">
                        <wp:posOffset>65405</wp:posOffset>
                      </wp:positionV>
                      <wp:extent cx="708660" cy="635"/>
                      <wp:effectExtent l="635" t="9525" r="635" b="9525"/>
                      <wp:wrapNone/>
                      <wp:docPr id="5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608B47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58" name="Imagen2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28" descr="Badge Tick1 con relleno sólido"/>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r>
    </w:tbl>
    <w:p>
      <w:pPr>
        <w:pStyle w:val="Normal"/>
        <w:rPr/>
      </w:pPr>
      <w:r>
        <w:rPr/>
      </w:r>
    </w:p>
    <w:p>
      <w:pPr>
        <w:pStyle w:val="Normal"/>
        <w:spacing w:before="160" w:after="80"/>
        <w:rPr/>
      </w:pPr>
      <w:r>
        <w:rPr>
          <w:b/>
          <w:bCs/>
          <w:color w:val="312E81"/>
        </w:rPr>
        <w:t>Objetivo</w:t>
      </w:r>
    </w:p>
    <w:p>
      <w:pPr>
        <w:pStyle w:val="Normal"/>
        <w:rPr>
          <w:rFonts w:ascii="Times New Roman" w:hAnsi="Times New Roman"/>
          <w:lang w:val="es-MX"/>
        </w:rPr>
      </w:pPr>
      <w:r>
        <w:rPr/>
        <w:t xml:space="preserve">Esta prueba verifica que la </w:t>
      </w:r>
      <w:r>
        <w:rPr>
          <w:rStyle w:val="s1"/>
          <w:b/>
          <w:bCs/>
        </w:rPr>
        <w:t>Central Eléctrica Síncrona tipo B</w:t>
      </w:r>
      <w:r>
        <w:rPr/>
        <w:t xml:space="preserve"> cuente con la capacidad de generar y absorber potencia reactiva, manteniendo su operación dentro del rango de factor de potencia requerido en el Punto de Interconexión.</w:t>
      </w:r>
    </w:p>
    <w:p>
      <w:pPr>
        <w:pStyle w:val="Normal"/>
        <w:rPr/>
      </w:pPr>
      <w:r>
        <w:rPr/>
      </w:r>
    </w:p>
    <w:p>
      <w:pPr>
        <w:pStyle w:val="Normal"/>
        <w:rPr/>
      </w:pPr>
      <w:r>
        <w:rPr/>
        <w:t xml:space="preserve">El criterio de evaluación se toma del </w:t>
      </w:r>
      <w:r>
        <w:rPr>
          <w:rStyle w:val="s1"/>
          <w:b/>
          <w:bCs/>
        </w:rPr>
        <w:t>Anexo 5 del Procedimiento de Operación para la Declaración de Entrada en Operación Comercial de Centrales Eléctricas y Centros de Carga</w:t>
      </w:r>
      <w:r>
        <w:rPr/>
        <w:t xml:space="preserve">, en el apartado de pruebas por Central Eléctrica para </w:t>
      </w:r>
      <w:r>
        <w:rPr>
          <w:rStyle w:val="s1"/>
          <w:b/>
          <w:bCs/>
        </w:rPr>
        <w:t>Centrales Eléctricas Síncronas</w:t>
      </w:r>
      <w:r>
        <w:rPr/>
        <w:t xml:space="preserve">, donde se establece la prueba de </w:t>
      </w:r>
      <w:r>
        <w:rPr>
          <w:rStyle w:val="s1"/>
          <w:b/>
          <w:bCs/>
        </w:rPr>
        <w:t>Capacidad de Potencia Reactiva</w:t>
      </w:r>
      <w:r>
        <w:rPr/>
        <w:t xml:space="preserve">. </w:t>
      </w:r>
      <w:r>
        <w:rPr>
          <w:rStyle w:val="apple-converted-space"/>
        </w:rPr>
        <w:t> </w:t>
      </w:r>
    </w:p>
    <w:p>
      <w:pPr>
        <w:pStyle w:val="Normal"/>
        <w:rPr/>
      </w:pPr>
      <w:r>
        <w:rPr/>
      </w:r>
    </w:p>
    <w:p>
      <w:pPr>
        <w:pStyle w:val="Normal"/>
        <w:rPr/>
      </w:pPr>
      <w:r>
        <w:rPr/>
        <w:t xml:space="preserve">El fundamento técnico corresponde al </w:t>
      </w:r>
      <w:r>
        <w:rPr>
          <w:rStyle w:val="s1"/>
          <w:b/>
          <w:bCs/>
        </w:rPr>
        <w:t>Código de Red 2.0</w:t>
      </w:r>
      <w:r>
        <w:rPr/>
        <w:t xml:space="preserve">, dentro del </w:t>
      </w:r>
      <w:r>
        <w:rPr>
          <w:rStyle w:val="s1"/>
          <w:b/>
          <w:bCs/>
        </w:rPr>
        <w:t>Manual Regulatorio de Requerimientos Técnicos para la Interconexión de Centrales Eléctricas al Sistema Eléctrico Nacional</w:t>
      </w:r>
      <w:r>
        <w:rPr/>
        <w:t xml:space="preserve">, </w:t>
      </w:r>
      <w:r>
        <w:rPr>
          <w:rStyle w:val="s1"/>
          <w:b/>
          <w:bCs/>
        </w:rPr>
        <w:t>Capítulo 3</w:t>
      </w:r>
      <w:r>
        <w:rPr/>
        <w:t xml:space="preserve">, particularmente en la </w:t>
      </w:r>
      <w:r>
        <w:rPr>
          <w:rStyle w:val="s1"/>
          <w:b/>
          <w:bCs/>
        </w:rPr>
        <w:t>Sección 3.2.1 Capacidad de potencia reactiva para Centrales Eléctricas Síncronas tipo B</w:t>
      </w:r>
      <w:r>
        <w:rPr/>
        <w:t xml:space="preserve">, donde se establece la capacidad de mantener potencia reactiva en un rango de factor de potencia de al menos </w:t>
      </w:r>
      <w:r>
        <w:rPr>
          <w:rStyle w:val="s1"/>
          <w:b/>
          <w:bCs/>
        </w:rPr>
        <w:t>0.95 en atraso y 0.95 en adelanto</w:t>
      </w:r>
      <w:r>
        <w:rPr/>
        <w:t>.</w:t>
      </w:r>
    </w:p>
    <w:p>
      <w:pPr>
        <w:pStyle w:val="Normal"/>
        <w:spacing w:before="160" w:after="80"/>
        <w:rPr/>
      </w:pPr>
      <w:r>
        <w:rPr>
          <w:b/>
          <w:bCs/>
          <w:color w:val="312E81"/>
        </w:rPr>
        <w:t>Condiciones y desarrollo de la prueba</w:t>
      </w:r>
    </w:p>
    <w:p>
      <w:pPr>
        <w:pStyle w:val="ListParagraph"/>
        <w:numPr>
          <w:ilvl w:val="0"/>
          <w:numId w:val="8"/>
        </w:numPr>
        <w:rPr/>
      </w:pPr>
      <w:r>
        <w:rPr/>
        <w:t>Verificar que la Central Eléctrica se encuentre sincronizada, en operación estable y con el sistema de control de tensión/reactivos disponible.</w:t>
      </w:r>
    </w:p>
    <w:p>
      <w:pPr>
        <w:pStyle w:val="ListParagraph"/>
        <w:numPr>
          <w:ilvl w:val="0"/>
          <w:numId w:val="8"/>
        </w:numPr>
        <w:rPr/>
      </w:pPr>
      <w:r>
        <w:rPr/>
        <w:t xml:space="preserve">Operar el generador en condición normal, entregando potencia activa y con potencia reactiva cercana a </w:t>
      </w:r>
      <w:r>
        <w:rPr>
          <w:b/>
          <w:bCs/>
        </w:rPr>
        <w:t>0 kVAr</w:t>
      </w:r>
      <w:r>
        <w:rPr/>
        <w:t xml:space="preserve"> como condición inicial.</w:t>
      </w:r>
    </w:p>
    <w:p>
      <w:pPr>
        <w:pStyle w:val="ListParagraph"/>
        <w:numPr>
          <w:ilvl w:val="0"/>
          <w:numId w:val="8"/>
        </w:numPr>
        <w:rPr/>
      </w:pPr>
      <w:r>
        <w:rPr/>
        <w:t xml:space="preserve">Llevar la unidad al punto de operación de </w:t>
      </w:r>
      <w:r>
        <w:rPr>
          <w:b/>
          <w:bCs/>
        </w:rPr>
        <w:t>100% de carga</w:t>
      </w:r>
      <w:r>
        <w:rPr/>
        <w:t>, conforme a la capacidad disponible para la prueba.</w:t>
      </w:r>
    </w:p>
    <w:p>
      <w:pPr>
        <w:pStyle w:val="ListParagraph"/>
        <w:numPr>
          <w:ilvl w:val="0"/>
          <w:numId w:val="8"/>
        </w:numPr>
        <w:rPr/>
      </w:pPr>
      <w:r>
        <w:rPr/>
        <w:t>Ajustar la consigna para generar potencia reactiva, mantener la condición el tiempo necesario para estabilización y registrar las variables eléctricas.</w:t>
      </w:r>
    </w:p>
    <w:p>
      <w:pPr>
        <w:pStyle w:val="ListParagraph"/>
        <w:numPr>
          <w:ilvl w:val="0"/>
          <w:numId w:val="8"/>
        </w:numPr>
        <w:rPr/>
      </w:pPr>
      <w:r>
        <w:rPr/>
        <w:t>Ajustar la consigna para absorber potencia reactiva, mantener la condición el tiempo necesario para estabilización y registrar las variables eléctricas.</w:t>
      </w:r>
    </w:p>
    <w:p>
      <w:pPr>
        <w:pStyle w:val="ListParagraph"/>
        <w:numPr>
          <w:ilvl w:val="0"/>
          <w:numId w:val="8"/>
        </w:numPr>
        <w:rPr/>
      </w:pPr>
      <w:r>
        <w:rPr/>
        <w:t>Retornar la unidad a una condición cercana a la condición inicial.</w:t>
      </w:r>
    </w:p>
    <w:p>
      <w:pPr>
        <w:pStyle w:val="ListParagraph"/>
        <w:numPr>
          <w:ilvl w:val="0"/>
          <w:numId w:val="8"/>
        </w:numPr>
        <w:rPr/>
      </w:pPr>
      <w:r>
        <w:rPr/>
        <w:t xml:space="preserve">Repetir la evaluación al </w:t>
      </w:r>
      <w:r>
        <w:rPr>
          <w:b/>
          <w:bCs/>
        </w:rPr>
        <w:t>75% de carga</w:t>
      </w:r>
      <w:r>
        <w:rPr/>
        <w:t>, generando y absorbiendo potencia reactiva.</w:t>
      </w:r>
    </w:p>
    <w:p>
      <w:pPr>
        <w:pStyle w:val="ListParagraph"/>
        <w:numPr>
          <w:ilvl w:val="0"/>
          <w:numId w:val="8"/>
        </w:numPr>
        <w:rPr/>
      </w:pPr>
      <w:r>
        <w:rPr/>
        <w:t xml:space="preserve">Repetir la evaluación al </w:t>
      </w:r>
      <w:r>
        <w:rPr>
          <w:b/>
          <w:bCs/>
        </w:rPr>
        <w:t>50% de carga</w:t>
      </w:r>
      <w:r>
        <w:rPr/>
        <w:t>, generando y absorbiendo potencia reactiva.</w:t>
      </w:r>
    </w:p>
    <w:p>
      <w:pPr>
        <w:pStyle w:val="ListParagraph"/>
        <w:numPr>
          <w:ilvl w:val="0"/>
          <w:numId w:val="8"/>
        </w:numPr>
        <w:rPr/>
      </w:pPr>
      <w:r>
        <w:rPr/>
        <w:t>Verificar que, en los puntos evaluados, la Central Eléctrica mantenga capacidad de operación dentro del rango mínimo de factor de potencia requerido.</w:t>
      </w:r>
    </w:p>
    <w:p>
      <w:pPr>
        <w:pStyle w:val="ListParagraph"/>
        <w:numPr>
          <w:ilvl w:val="0"/>
          <w:numId w:val="8"/>
        </w:numPr>
        <w:rPr/>
      </w:pPr>
      <w:r>
        <w:rPr/>
        <w:t>Confirmar que no se presenten oscilaciones anormales, pérdida de control de tensión/reactivos o actuación indebida de protecciones.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numPr>
          <w:ilvl w:val="0"/>
          <w:numId w:val="3"/>
        </w:numPr>
        <w:spacing w:beforeAutospacing="1" w:after="0"/>
        <w:jc w:val="left"/>
        <w:rPr>
          <w:rFonts w:eastAsia="Times New Roman" w:cs="Times New Roman"/>
          <w:lang w:val="es-MX"/>
        </w:rPr>
      </w:pPr>
      <w:r>
        <w:rPr>
          <w:rFonts w:eastAsia="Times New Roman" w:cs="Times New Roman"/>
          <w:lang w:val="es-MX"/>
        </w:rPr>
        <w:t>Frecuencia</w:t>
      </w:r>
    </w:p>
    <w:p>
      <w:pPr>
        <w:pStyle w:val="Normal"/>
        <w:numPr>
          <w:ilvl w:val="0"/>
          <w:numId w:val="3"/>
        </w:numPr>
        <w:spacing w:before="0" w:after="0"/>
        <w:jc w:val="left"/>
        <w:rPr>
          <w:rFonts w:eastAsia="Times New Roman" w:cs="Times New Roman"/>
          <w:lang w:val="es-MX"/>
        </w:rPr>
      </w:pPr>
      <w:r>
        <w:rPr>
          <w:rFonts w:eastAsia="Times New Roman" w:cs="Times New Roman"/>
          <w:lang w:val="es-MX"/>
        </w:rPr>
        <w:t>Potencia activa (P)</w:t>
      </w:r>
    </w:p>
    <w:p>
      <w:pPr>
        <w:pStyle w:val="Normal"/>
        <w:numPr>
          <w:ilvl w:val="0"/>
          <w:numId w:val="3"/>
        </w:numPr>
        <w:spacing w:before="0" w:after="0"/>
        <w:jc w:val="left"/>
        <w:rPr>
          <w:rFonts w:eastAsia="Times New Roman" w:cs="Times New Roman"/>
          <w:lang w:val="es-MX"/>
        </w:rPr>
      </w:pPr>
      <w:r>
        <w:rPr>
          <w:rFonts w:eastAsia="Times New Roman" w:cs="Times New Roman"/>
          <w:lang w:val="es-MX"/>
        </w:rPr>
        <w:t>Potencia reactiva (Q)</w:t>
      </w:r>
    </w:p>
    <w:p>
      <w:pPr>
        <w:pStyle w:val="Normal"/>
        <w:numPr>
          <w:ilvl w:val="0"/>
          <w:numId w:val="3"/>
        </w:numPr>
        <w:spacing w:before="0" w:afterAutospacing="1"/>
        <w:jc w:val="left"/>
        <w:rPr>
          <w:rFonts w:eastAsia="Times New Roman" w:cs="Times New Roman"/>
          <w:lang w:val="es-MX"/>
        </w:rPr>
      </w:pPr>
      <w:r>
        <w:rPr>
          <w:rFonts w:eastAsia="Times New Roman" w:cs="Times New Roman"/>
          <w:lang w:val="es-MX"/>
        </w:rPr>
        <w:t>Voltaje del generador (Vg)</w:t>
      </w:r>
    </w:p>
    <w:p>
      <w:pPr>
        <w:sectPr>
          <w:type w:val="continuous"/>
          <w:pgSz w:w="12240" w:h="15840"/>
          <w:pgMar w:left="1440" w:right="1440" w:gutter="0" w:header="708" w:top="1434" w:footer="708" w:bottom="1440"/>
          <w:cols w:num="3" w:space="720" w:equalWidth="true" w:sep="false"/>
          <w:formProt w:val="false"/>
          <w:titlePg/>
          <w:textDirection w:val="lrTb"/>
          <w:docGrid w:type="default" w:linePitch="360" w:charSpace="0"/>
        </w:sectPr>
      </w:pPr>
    </w:p>
    <w:p>
      <w:pPr>
        <w:pStyle w:val="Normal"/>
        <w:spacing w:before="160" w:after="80"/>
        <w:rPr/>
      </w:pPr>
      <w:r>
        <w:rPr/>
        <w:t>Para recabar la información de la prueba se utilizará un adquisidor de datos HIOKI MR8847A, mediante el cual se registrarán las señales eléctricas requeridas durante la ejecución de la prueba, con capacidad de muestreo mínima de 20 muestras por segundo, equivalente a un intervalo de 50 ms por señal.</w:t>
      </w:r>
    </w:p>
    <w:p>
      <w:pPr>
        <w:pStyle w:val="Normal"/>
        <w:spacing w:before="160" w:after="80"/>
        <w:rPr/>
      </w:pPr>
      <w:r>
        <w:rPr/>
      </w:r>
    </w:p>
    <w:p>
      <w:pPr>
        <w:pStyle w:val="Normal"/>
        <w:spacing w:before="160" w:after="80"/>
        <w:rPr/>
      </w:pPr>
      <w:r>
        <w:rPr>
          <w:b/>
          <w:bCs/>
          <w:color w:val="312E81"/>
        </w:rPr>
        <w:t>Criterio de aceptación</w:t>
      </w:r>
    </w:p>
    <w:p>
      <w:pPr>
        <w:pStyle w:val="Normal"/>
        <w:spacing w:before="160" w:after="80"/>
        <w:rPr/>
      </w:pPr>
      <w:r>
        <w:rPr/>
        <w:t>La prueba se considera satisfactoria cuando la Central Eléctrica Síncrona tipo B demuestra capacidad de operar en un rango de factor de potencia de al menos:</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0.95</m:t>
          </m:r>
          <m:r>
            <w:rPr>
              <w:rFonts w:ascii="Cambria Math" w:hAnsi="Cambria Math"/>
            </w:rPr>
            <m:t xml:space="preserve">en</m:t>
          </m:r>
          <m:r>
            <w:rPr>
              <w:rFonts w:ascii="Cambria Math" w:hAnsi="Cambria Math"/>
            </w:rPr>
            <m:t xml:space="preserve">atraso</m:t>
          </m:r>
        </m:oMath>
      </m:oMathPara>
    </w:p>
    <w:p>
      <w:pPr>
        <w:pStyle w:val="Normal"/>
        <w:spacing w:before="160" w:after="80"/>
        <w:rPr/>
      </w:pPr>
      <w:r>
        <w:rPr/>
        <w:t>y</w:t>
      </w:r>
    </w:p>
    <w:p>
      <w:pPr>
        <w:pStyle w:val="Normal"/>
        <w:spacing w:before="160" w:after="8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0.95</m:t>
          </m:r>
          <m:r>
            <w:rPr>
              <w:rFonts w:ascii="Cambria Math" w:hAnsi="Cambria Math"/>
            </w:rPr>
            <m:t xml:space="preserve">en</m:t>
          </m:r>
          <m:r>
            <w:rPr>
              <w:rFonts w:ascii="Cambria Math" w:hAnsi="Cambria Math"/>
            </w:rPr>
            <m:t xml:space="preserve">adelanto</m:t>
          </m:r>
        </m:oMath>
      </m:oMathPara>
    </w:p>
    <w:p>
      <w:pPr>
        <w:pStyle w:val="Normal"/>
        <w:spacing w:before="160" w:after="80"/>
        <w:rPr>
          <w:b/>
          <w:bCs/>
          <w:color w:val="312E81"/>
        </w:rPr>
      </w:pPr>
      <w:r>
        <w:rPr/>
        <w:t>en el Punto de Interconexión, conforme a los requerimientos aplicables del Código de Red.</w:t>
      </w:r>
    </w:p>
    <w:p>
      <w:pPr>
        <w:pStyle w:val="Normal"/>
        <w:spacing w:before="160" w:after="80"/>
        <w:rPr/>
      </w:pPr>
      <w:r>
        <w:rPr>
          <w:b/>
          <w:bCs/>
          <w:color w:val="312E81"/>
        </w:rPr>
        <w:t>Resultados de la prueba</w:t>
      </w:r>
    </w:p>
    <w:p>
      <w:pPr>
        <w:pStyle w:val="Normal"/>
        <w:rPr>
          <w:rFonts w:ascii="Times New Roman" w:hAnsi="Times New Roman"/>
          <w:lang w:val="es-MX"/>
        </w:rPr>
      </w:pPr>
      <w:r>
        <w:rPr/>
        <w:t>La evidencia de esta prueba corresponderá al registro de potencia activa, potencia reactiva, voltaje del generador y frecuencia en los puntos de carga evaluados.</w:t>
      </w:r>
    </w:p>
    <w:p>
      <w:pPr>
        <w:pStyle w:val="Normal"/>
        <w:rPr/>
      </w:pPr>
      <w:r>
        <w:rPr/>
      </w:r>
    </w:p>
    <w:p>
      <w:pPr>
        <w:pStyle w:val="Normal"/>
        <w:rPr/>
      </w:pPr>
      <w:r>
        <w:rPr/>
        <w:t>La información presentada permitirá calcular la potencia aparente y el factor de potencia para cada condición, verificando la capacidad de la Central Eléctrica para generar y absorber potencia reactiva conforme al rango mínimo requerido.</w:t>
      </w:r>
    </w:p>
    <w:p>
      <w:pPr>
        <w:pStyle w:val="Normal"/>
        <w:rPr/>
      </w:pPr>
      <w:r>
        <w:rPr/>
      </w:r>
    </w:p>
    <w:p>
      <w:pPr>
        <w:pStyle w:val="Normal"/>
        <w:rPr/>
      </w:pPr>
      <w:r>
        <w:rPr/>
        <w:t xml:space="preserve">Los resultados se organizarán en una tabla de evaluación por nivel de carga, considerando como mínimo las condiciones de </w:t>
      </w:r>
      <w:r>
        <w:rPr>
          <w:rStyle w:val="s1"/>
          <w:b/>
          <w:bCs/>
        </w:rPr>
        <w:t>100%</w:t>
      </w:r>
      <w:r>
        <w:rPr/>
        <w:t xml:space="preserve">, </w:t>
      </w:r>
      <w:r>
        <w:rPr>
          <w:rStyle w:val="s1"/>
          <w:b/>
          <w:bCs/>
        </w:rPr>
        <w:t>75%</w:t>
      </w:r>
      <w:r>
        <w:rPr/>
        <w:t xml:space="preserve"> y </w:t>
      </w:r>
      <w:r>
        <w:rPr>
          <w:rStyle w:val="s1"/>
          <w:b/>
          <w:bCs/>
        </w:rPr>
        <w:t>50%</w:t>
      </w:r>
      <w:r>
        <w:rPr/>
        <w:t xml:space="preserve"> de carga, tanto en generación como en absorción de potencia reactiva.</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047"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 xml:space="preserve">Gráfica: Capacidad de Potencia Reactiva — 100% de carga </w:t>
            </w:r>
          </w:p>
          <w:p>
            <w:pPr>
              <w:pStyle w:val="Normal"/>
              <w:jc w:val="center"/>
              <w:rPr/>
            </w:pPr>
            <w:r>
              <w:rPr>
                <w:i/>
                <w:iCs/>
                <w:color w:val="808080"/>
                <w:sz w:val="18"/>
                <w:szCs w:val="18"/>
              </w:rPr>
              <w:t>[Espacio reservado para gráfica]</w:t>
            </w:r>
          </w:p>
        </w:tc>
      </w:tr>
    </w:tbl>
    <w:p>
      <w:pPr>
        <w:pStyle w:val="Subtitle"/>
        <w:rPr/>
      </w:pPr>
      <w:r>
        <w:rPr/>
        <w:t xml:space="preserve">Gráfica: Capacidad de Potencia Reactiva — 100% de carga </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124"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Capacidad de Potencia Reactiva — 75% de carga</w:t>
            </w:r>
          </w:p>
          <w:p>
            <w:pPr>
              <w:pStyle w:val="Normal"/>
              <w:jc w:val="center"/>
              <w:rPr/>
            </w:pPr>
            <w:r>
              <w:rPr>
                <w:i/>
                <w:iCs/>
                <w:color w:val="808080"/>
                <w:sz w:val="18"/>
                <w:szCs w:val="18"/>
              </w:rPr>
              <w:t>[Espacio reservado para gráfica]</w:t>
            </w:r>
          </w:p>
        </w:tc>
      </w:tr>
    </w:tbl>
    <w:p>
      <w:pPr>
        <w:pStyle w:val="Subtitle"/>
        <w:rPr/>
      </w:pPr>
      <w:r>
        <w:rPr/>
        <w:t xml:space="preserve">Gráfica: Capacidad de Potencia Reactiva — 75% de carga </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2316"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 xml:space="preserve">Gráfica: Capacidad de Potencia Reactiva — 50% de carga </w:t>
            </w:r>
          </w:p>
          <w:p>
            <w:pPr>
              <w:pStyle w:val="Normal"/>
              <w:jc w:val="center"/>
              <w:rPr/>
            </w:pPr>
            <w:r>
              <w:rPr>
                <w:i/>
                <w:iCs/>
                <w:color w:val="808080"/>
                <w:sz w:val="18"/>
                <w:szCs w:val="18"/>
              </w:rPr>
              <w:t>[Espacio reservado para gráfica]</w:t>
            </w:r>
          </w:p>
        </w:tc>
      </w:tr>
    </w:tbl>
    <w:p>
      <w:pPr>
        <w:pStyle w:val="Subtitle"/>
        <w:rPr/>
      </w:pPr>
      <w:r>
        <w:rPr/>
        <w:t xml:space="preserve">Gráfica: Capacidad de Potencia Reactiva — 50% de carga </w:t>
      </w:r>
    </w:p>
    <w:p>
      <w:pPr>
        <w:pStyle w:val="Heading2"/>
        <w:rPr/>
      </w:pPr>
      <w:bookmarkStart w:id="18" w:name="_Toc230532607"/>
      <w:r>
        <w:rPr/>
        <w:t>3.11. Prueba 11 - Capacidad de Potencia Reactiva a Potencia Máxima (no aplica)</w:t>
      </w:r>
      <w:bookmarkEnd w:id="18"/>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79" wp14:anchorId="35F16A89">
                      <wp:simplePos x="0" y="0"/>
                      <wp:positionH relativeFrom="column">
                        <wp:posOffset>74295</wp:posOffset>
                      </wp:positionH>
                      <wp:positionV relativeFrom="paragraph">
                        <wp:posOffset>79375</wp:posOffset>
                      </wp:positionV>
                      <wp:extent cx="708660" cy="635"/>
                      <wp:effectExtent l="0" t="10160" r="0" b="9525"/>
                      <wp:wrapNone/>
                      <wp:docPr id="5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35F16A8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0" wp14:anchorId="14482291">
                      <wp:simplePos x="0" y="0"/>
                      <wp:positionH relativeFrom="column">
                        <wp:posOffset>0</wp:posOffset>
                      </wp:positionH>
                      <wp:positionV relativeFrom="paragraph">
                        <wp:posOffset>71120</wp:posOffset>
                      </wp:positionV>
                      <wp:extent cx="708660" cy="0"/>
                      <wp:effectExtent l="635" t="10160" r="635" b="10160"/>
                      <wp:wrapNone/>
                      <wp:docPr id="6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14482291">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1" wp14:anchorId="1E46761C">
                      <wp:simplePos x="0" y="0"/>
                      <wp:positionH relativeFrom="column">
                        <wp:posOffset>0</wp:posOffset>
                      </wp:positionH>
                      <wp:positionV relativeFrom="paragraph">
                        <wp:posOffset>65405</wp:posOffset>
                      </wp:positionV>
                      <wp:extent cx="708660" cy="635"/>
                      <wp:effectExtent l="635" t="9525" r="635" b="9525"/>
                      <wp:wrapNone/>
                      <wp:docPr id="6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E46761C">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62" name="Imagen2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29" descr="Badge Tick1 con relleno sólido"/>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63" name="Imagen3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30" descr="Badge Tick1 con relleno sólido"/>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19" w:name="_Toc230532608"/>
      <w:r>
        <w:rPr/>
        <w:t>3.12. Prueba 12 - Capacidad de Potencia Reactiva Debajo de Potencia Máxima (no aplica)</w:t>
      </w:r>
      <w:bookmarkEnd w:id="19"/>
    </w:p>
    <w:p>
      <w:pPr>
        <w:pStyle w:val="Normal"/>
        <w:spacing w:before="0" w:after="120"/>
        <w:rPr>
          <w:i/>
          <w:i/>
          <w:iCs/>
        </w:rPr>
      </w:pPr>
      <w:r>
        <w:rPr>
          <w:i/>
          <w:iCs/>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2" wp14:anchorId="448F43C7">
                      <wp:simplePos x="0" y="0"/>
                      <wp:positionH relativeFrom="column">
                        <wp:posOffset>74295</wp:posOffset>
                      </wp:positionH>
                      <wp:positionV relativeFrom="paragraph">
                        <wp:posOffset>79375</wp:posOffset>
                      </wp:positionV>
                      <wp:extent cx="708660" cy="635"/>
                      <wp:effectExtent l="0" t="10160" r="0" b="9525"/>
                      <wp:wrapNone/>
                      <wp:docPr id="64"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448F43C7">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3" wp14:anchorId="64944674">
                      <wp:simplePos x="0" y="0"/>
                      <wp:positionH relativeFrom="column">
                        <wp:posOffset>0</wp:posOffset>
                      </wp:positionH>
                      <wp:positionV relativeFrom="paragraph">
                        <wp:posOffset>71120</wp:posOffset>
                      </wp:positionV>
                      <wp:extent cx="708660" cy="0"/>
                      <wp:effectExtent l="635" t="10160" r="635" b="10160"/>
                      <wp:wrapNone/>
                      <wp:docPr id="65"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64944674">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4" wp14:anchorId="1EE8B2C0">
                      <wp:simplePos x="0" y="0"/>
                      <wp:positionH relativeFrom="column">
                        <wp:posOffset>0</wp:posOffset>
                      </wp:positionH>
                      <wp:positionV relativeFrom="paragraph">
                        <wp:posOffset>65405</wp:posOffset>
                      </wp:positionV>
                      <wp:extent cx="708660" cy="635"/>
                      <wp:effectExtent l="635" t="9525" r="635" b="9525"/>
                      <wp:wrapNone/>
                      <wp:docPr id="6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1EE8B2C0">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67" name="Imagen3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31" descr="Badge Tick1 con relleno sólido"/>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68" name="Imagen3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32" descr="Badge Tick1 con relleno sólido"/>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20" w:name="_Toc230532609"/>
      <w:r>
        <w:rPr/>
        <w:t>3.13. Prueba 13 - Sistema de Control de Tensión</w:t>
      </w:r>
      <w:bookmarkEnd w:id="20"/>
    </w:p>
    <w:p>
      <w:pPr>
        <w:pStyle w:val="Normal"/>
        <w:spacing w:before="160" w:after="80"/>
        <w:rPr>
          <w:b/>
          <w:bCs/>
          <w:color w:val="312E81"/>
        </w:rPr>
      </w:pPr>
      <w:r>
        <w:rPr>
          <w:b/>
          <w:bCs/>
          <w:color w:val="312E81"/>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5" wp14:anchorId="120D142B">
                      <wp:simplePos x="0" y="0"/>
                      <wp:positionH relativeFrom="column">
                        <wp:posOffset>74295</wp:posOffset>
                      </wp:positionH>
                      <wp:positionV relativeFrom="paragraph">
                        <wp:posOffset>79375</wp:posOffset>
                      </wp:positionV>
                      <wp:extent cx="708660" cy="635"/>
                      <wp:effectExtent l="0" t="10160" r="0" b="9525"/>
                      <wp:wrapNone/>
                      <wp:docPr id="69"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120D142B">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6" wp14:anchorId="06E528C5">
                      <wp:simplePos x="0" y="0"/>
                      <wp:positionH relativeFrom="column">
                        <wp:posOffset>0</wp:posOffset>
                      </wp:positionH>
                      <wp:positionV relativeFrom="paragraph">
                        <wp:posOffset>71120</wp:posOffset>
                      </wp:positionV>
                      <wp:extent cx="708660" cy="0"/>
                      <wp:effectExtent l="635" t="10160" r="635" b="10160"/>
                      <wp:wrapNone/>
                      <wp:docPr id="70"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06E528C5">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7" wp14:anchorId="2D0AC349">
                      <wp:simplePos x="0" y="0"/>
                      <wp:positionH relativeFrom="column">
                        <wp:posOffset>0</wp:posOffset>
                      </wp:positionH>
                      <wp:positionV relativeFrom="paragraph">
                        <wp:posOffset>65405</wp:posOffset>
                      </wp:positionV>
                      <wp:extent cx="708660" cy="635"/>
                      <wp:effectExtent l="635" t="9525" r="635" b="9525"/>
                      <wp:wrapNone/>
                      <wp:docPr id="7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2D0AC349">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2" name="Imagen3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33" descr="Badge Tick1 con relleno sólido"/>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3" name="Imagen3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34" descr="Badge Tick1 con relleno sólido"/>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4" name="Imagen3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35" descr="Badge Tick1 con relleno sólido"/>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160" w:after="80"/>
        <w:rPr/>
      </w:pPr>
      <w:r>
        <w:rPr>
          <w:b/>
          <w:bCs/>
          <w:color w:val="312E81"/>
        </w:rPr>
        <w:t>Objetivo</w:t>
      </w:r>
    </w:p>
    <w:p>
      <w:pPr>
        <w:pStyle w:val="Normal"/>
        <w:rPr>
          <w:rFonts w:ascii="Times New Roman" w:hAnsi="Times New Roman"/>
          <w:lang w:val="es-MX"/>
        </w:rPr>
      </w:pPr>
      <w:r>
        <w:rPr/>
        <w:t xml:space="preserve">Esta prueba verifica que la </w:t>
      </w:r>
      <w:r>
        <w:rPr>
          <w:rStyle w:val="s1"/>
          <w:b/>
          <w:bCs/>
        </w:rPr>
        <w:t>Central Eléctrica Síncrona tipo B</w:t>
      </w:r>
      <w:r>
        <w:rPr/>
        <w:t xml:space="preserve"> cuente con un sistema de control automático de excitación permanente, capaz de mantener una tensión constante en sus terminales mediante una consigna seleccionable, sin causar inestabilidad dentro de su rango de operación.</w:t>
      </w:r>
    </w:p>
    <w:p>
      <w:pPr>
        <w:pStyle w:val="Normal"/>
        <w:rPr/>
      </w:pPr>
      <w:r>
        <w:rPr/>
      </w:r>
    </w:p>
    <w:p>
      <w:pPr>
        <w:pStyle w:val="Normal"/>
        <w:rPr/>
      </w:pPr>
      <w:r>
        <w:rPr/>
        <w:t xml:space="preserve">El criterio de evaluación se toma del </w:t>
      </w:r>
      <w:r>
        <w:rPr>
          <w:rStyle w:val="s1"/>
          <w:b/>
          <w:bCs/>
        </w:rPr>
        <w:t>Anexo 5 del Procedimiento de Operación para la Declaración de Entrada en Operación Comercial de Centrales Eléctricas y Centros de Carga</w:t>
      </w:r>
      <w:r>
        <w:rPr/>
        <w:t xml:space="preserve">, en el apartado de pruebas por Central Eléctrica para </w:t>
      </w:r>
      <w:r>
        <w:rPr>
          <w:rStyle w:val="s1"/>
          <w:b/>
          <w:bCs/>
        </w:rPr>
        <w:t>Centrales Eléctricas Síncronas</w:t>
      </w:r>
      <w:r>
        <w:rPr/>
        <w:t xml:space="preserve">, donde se establece la prueba de </w:t>
      </w:r>
      <w:r>
        <w:rPr>
          <w:rStyle w:val="s1"/>
          <w:b/>
          <w:bCs/>
        </w:rPr>
        <w:t>Sistema de Control de Tensión</w:t>
      </w:r>
      <w:r>
        <w:rPr/>
        <w:t xml:space="preserve">. </w:t>
      </w:r>
      <w:r>
        <w:rPr>
          <w:rStyle w:val="apple-converted-space"/>
        </w:rPr>
        <w:t> </w:t>
      </w:r>
    </w:p>
    <w:p>
      <w:pPr>
        <w:pStyle w:val="Normal"/>
        <w:rPr/>
      </w:pPr>
      <w:r>
        <w:rPr/>
      </w:r>
    </w:p>
    <w:p>
      <w:pPr>
        <w:pStyle w:val="Normal"/>
        <w:rPr/>
      </w:pPr>
      <w:r>
        <w:rPr/>
        <w:t xml:space="preserve">El fundamento técnico corresponde al </w:t>
      </w:r>
      <w:r>
        <w:rPr>
          <w:rStyle w:val="s1"/>
          <w:b/>
          <w:bCs/>
        </w:rPr>
        <w:t>Código de Red 2.0</w:t>
      </w:r>
      <w:r>
        <w:rPr/>
        <w:t xml:space="preserve">, dentro del </w:t>
      </w:r>
      <w:r>
        <w:rPr>
          <w:rStyle w:val="s1"/>
          <w:b/>
          <w:bCs/>
        </w:rPr>
        <w:t>Manual Regulatorio de Requerimientos Técnicos para la Interconexión de Centrales Eléctricas al Sistema Eléctrico Nacional</w:t>
      </w:r>
      <w:r>
        <w:rPr/>
        <w:t xml:space="preserve">, </w:t>
      </w:r>
      <w:r>
        <w:rPr>
          <w:rStyle w:val="s1"/>
          <w:b/>
          <w:bCs/>
        </w:rPr>
        <w:t>Capítulo 3, Sección 3.2.2</w:t>
      </w:r>
      <w:r>
        <w:rPr/>
        <w:t>, relativo al sistema de control de tensión para Centrales Eléctricas Síncronas tipo B.</w:t>
      </w:r>
      <w:r>
        <w:rPr>
          <w:rStyle w:val="apple-converted-space"/>
        </w:rPr>
        <w:t> </w:t>
      </w:r>
    </w:p>
    <w:p>
      <w:pPr>
        <w:pStyle w:val="Normal"/>
        <w:spacing w:before="160" w:after="80"/>
        <w:rPr/>
      </w:pPr>
      <w:r>
        <w:rPr>
          <w:b/>
          <w:bCs/>
          <w:color w:val="312E81"/>
        </w:rPr>
        <w:t>Condiciones y desarrollo de la prueba</w:t>
      </w:r>
    </w:p>
    <w:p>
      <w:pPr>
        <w:pStyle w:val="ListParagraph"/>
        <w:numPr>
          <w:ilvl w:val="0"/>
          <w:numId w:val="10"/>
        </w:numPr>
        <w:rPr/>
      </w:pPr>
      <w:r>
        <w:rPr/>
        <w:t>Integrar la evidencia documental del sistema de control automático de excitación de la Central Eléctrica.</w:t>
      </w:r>
    </w:p>
    <w:p>
      <w:pPr>
        <w:pStyle w:val="ListParagraph"/>
        <w:numPr>
          <w:ilvl w:val="0"/>
          <w:numId w:val="10"/>
        </w:numPr>
        <w:rPr/>
      </w:pPr>
      <w:r>
        <w:rPr/>
        <w:t>Verificar que el sistema permita operar con una consigna seleccionable de tensión.</w:t>
      </w:r>
    </w:p>
    <w:p>
      <w:pPr>
        <w:pStyle w:val="ListParagraph"/>
        <w:numPr>
          <w:ilvl w:val="0"/>
          <w:numId w:val="10"/>
        </w:numPr>
        <w:rPr/>
      </w:pPr>
      <w:r>
        <w:rPr/>
        <w:t>Confirmar que el sistema de excitación pueda mantener tensión constante en terminales de la Central Eléctrica dentro de su rango de operación.</w:t>
      </w:r>
    </w:p>
    <w:p>
      <w:pPr>
        <w:pStyle w:val="ListParagraph"/>
        <w:numPr>
          <w:ilvl w:val="0"/>
          <w:numId w:val="10"/>
        </w:numPr>
        <w:rPr/>
      </w:pPr>
      <w:r>
        <w:rPr/>
        <w:t>Relacionar esta verificación con las pruebas por unidad asociadas al sistema de control de tensión, principalmente:</w:t>
      </w:r>
    </w:p>
    <w:p>
      <w:pPr>
        <w:pStyle w:val="ListParagraph"/>
        <w:numPr>
          <w:ilvl w:val="1"/>
          <w:numId w:val="9"/>
        </w:numPr>
        <w:rPr/>
      </w:pPr>
      <w:r>
        <w:rPr/>
        <w:t>Rango Operativo de Tensión.</w:t>
      </w:r>
    </w:p>
    <w:p>
      <w:pPr>
        <w:pStyle w:val="ListParagraph"/>
        <w:numPr>
          <w:ilvl w:val="1"/>
          <w:numId w:val="9"/>
        </w:numPr>
        <w:rPr/>
      </w:pPr>
      <w:r>
        <w:rPr/>
        <w:t>Escalón de Tensión.</w:t>
      </w:r>
    </w:p>
    <w:p>
      <w:pPr>
        <w:pStyle w:val="ListParagraph"/>
        <w:numPr>
          <w:ilvl w:val="1"/>
          <w:numId w:val="9"/>
        </w:numPr>
        <w:rPr/>
      </w:pPr>
      <w:r>
        <w:rPr/>
        <w:t>Limitador V/Hz.</w:t>
      </w:r>
    </w:p>
    <w:p>
      <w:pPr>
        <w:pStyle w:val="ListParagraph"/>
        <w:numPr>
          <w:ilvl w:val="1"/>
          <w:numId w:val="9"/>
        </w:numPr>
        <w:rPr/>
      </w:pPr>
      <w:r>
        <w:rPr/>
        <w:t>Secuencia de Excitación y Desexcitación.</w:t>
      </w:r>
    </w:p>
    <w:p>
      <w:pPr>
        <w:pStyle w:val="ListParagraph"/>
        <w:numPr>
          <w:ilvl w:val="1"/>
          <w:numId w:val="9"/>
        </w:numPr>
        <w:rPr/>
      </w:pPr>
      <w:r>
        <w:rPr/>
        <w:t>Seguidor Auto entre Canales y UCE’s.</w:t>
      </w:r>
    </w:p>
    <w:p>
      <w:pPr>
        <w:pStyle w:val="ListParagraph"/>
        <w:numPr>
          <w:ilvl w:val="1"/>
          <w:numId w:val="9"/>
        </w:numPr>
        <w:rPr/>
      </w:pPr>
      <w:r>
        <w:rPr/>
        <w:t>Compensador de Reactivos.</w:t>
      </w:r>
    </w:p>
    <w:p>
      <w:pPr>
        <w:pStyle w:val="ListParagraph"/>
        <w:numPr>
          <w:ilvl w:val="0"/>
          <w:numId w:val="10"/>
        </w:numPr>
        <w:rPr/>
      </w:pPr>
      <w:r>
        <w:rPr/>
        <w:t>Documentar la referencia al Reporte de Pruebas por Unidad de la Central Eléctrica CNK, donde se desarrollan las pruebas específicas del sistema de excitación y control de tensión.</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spacing w:before="160" w:after="80"/>
        <w:rPr/>
      </w:pPr>
      <w:r>
        <w:rPr/>
        <w:t>No aplica para medición directa en campo, al tratarse de una verificación documental sustentada en las pruebas por unidad asociadas al sistema de control de tensión.</w:t>
      </w:r>
    </w:p>
    <w:p>
      <w:pPr>
        <w:pStyle w:val="Normal"/>
        <w:spacing w:before="160" w:after="80"/>
        <w:rPr/>
      </w:pPr>
      <w:r>
        <w:rPr/>
      </w:r>
    </w:p>
    <w:p>
      <w:pPr>
        <w:pStyle w:val="Normal"/>
        <w:spacing w:before="160" w:after="80"/>
        <w:rPr/>
      </w:pPr>
      <w:r>
        <w:rPr>
          <w:b/>
          <w:bCs/>
          <w:color w:val="312E81"/>
        </w:rPr>
        <w:t>Criterio de aceptación</w:t>
      </w:r>
    </w:p>
    <w:p>
      <w:pPr>
        <w:pStyle w:val="Normal"/>
        <w:spacing w:before="160" w:after="80"/>
        <w:rPr/>
      </w:pPr>
      <w:r>
        <w:rPr/>
        <w:t>La prueba se considera satisfactoria cuando se documenta que la Central Eléctrica cuenta con un sistema de control automático de excitación permanente, capaz de proporcionar una tensión constante en terminales mediante una consigna seleccionable, sin causar inestabilidad en su rango de operación.</w:t>
      </w:r>
    </w:p>
    <w:p>
      <w:pPr>
        <w:pStyle w:val="Normal"/>
        <w:spacing w:before="160" w:after="80"/>
        <w:rPr/>
      </w:pPr>
      <w:r>
        <w:rPr>
          <w:b/>
          <w:bCs/>
          <w:color w:val="312E81"/>
        </w:rPr>
        <w:t>Resultados de la prueba</w:t>
      </w:r>
    </w:p>
    <w:p>
      <w:pPr>
        <w:pStyle w:val="Normal"/>
        <w:rPr>
          <w:rFonts w:ascii="Times New Roman" w:hAnsi="Times New Roman"/>
          <w:lang w:val="es-MX"/>
        </w:rPr>
      </w:pPr>
      <w:r>
        <w:rPr/>
        <w:t>La evidencia de esta prueba corresponderá a la documentación técnica del sistema de excitación y a los resultados de las pruebas por unidad relacionadas con el control de tensión.</w:t>
      </w:r>
    </w:p>
    <w:p>
      <w:pPr>
        <w:pStyle w:val="Normal"/>
        <w:rPr/>
      </w:pPr>
      <w:r>
        <w:rPr/>
      </w:r>
    </w:p>
    <w:p>
      <w:pPr>
        <w:pStyle w:val="Normal"/>
        <w:rPr/>
      </w:pPr>
      <w:r>
        <w:rPr/>
        <w:t>La información presentada permitirá confirmar que la Central Eléctrica cuenta con un sistema automático de excitación y que su desempeño fue verificado mediante las pruebas específicas de la Unidad de Generación.</w:t>
      </w:r>
    </w:p>
    <w:p>
      <w:pPr>
        <w:pStyle w:val="Normal"/>
        <w:rPr/>
      </w:pPr>
      <w:r>
        <w:rPr/>
      </w:r>
    </w:p>
    <w:p>
      <w:pPr>
        <w:pStyle w:val="Normal"/>
        <w:rPr/>
      </w:pPr>
      <w:r>
        <w:rPr/>
        <w:t xml:space="preserve">Para el sustento de esta prueba se deberá hacer referencia al </w:t>
      </w:r>
      <w:r>
        <w:rPr>
          <w:rStyle w:val="s1"/>
          <w:b/>
          <w:bCs/>
        </w:rPr>
        <w:t>Reporte de Pruebas por Unidad de la Central Eléctrica CNK</w:t>
      </w:r>
      <w:r>
        <w:rPr/>
        <w:t>, particularmente a las pruebas asociadas al sistema de control de tensión.</w:t>
      </w:r>
    </w:p>
    <w:p>
      <w:pPr>
        <w:pStyle w:val="Normal"/>
        <w:spacing w:before="0" w:after="120"/>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829"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Rango Operativo de Tensión</w:t>
            </w:r>
          </w:p>
          <w:p>
            <w:pPr>
              <w:pStyle w:val="Normal"/>
              <w:jc w:val="center"/>
              <w:rPr/>
            </w:pPr>
            <w:r>
              <w:rPr>
                <w:i/>
                <w:iCs/>
                <w:color w:val="808080"/>
                <w:sz w:val="18"/>
                <w:szCs w:val="18"/>
              </w:rPr>
              <w:t>[Espacio reservado para gráfica]</w:t>
            </w:r>
          </w:p>
        </w:tc>
      </w:tr>
    </w:tbl>
    <w:p>
      <w:pPr>
        <w:pStyle w:val="Subtitle"/>
        <w:rPr/>
      </w:pPr>
      <w:r>
        <w:rPr/>
        <w:t>Gráfica: Rango Operativo de Tensión</w:t>
      </w:r>
    </w:p>
    <w:p>
      <w:pPr>
        <w:pStyle w:val="Normal"/>
        <w:rPr/>
      </w:pPr>
      <w:r>
        <w:rPr/>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rHeight w:val="1778" w:hRule="atLeast"/>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Gráfica: Desempeño del control de tensión — Automátic</w:t>
            </w:r>
          </w:p>
          <w:p>
            <w:pPr>
              <w:pStyle w:val="Normal"/>
              <w:jc w:val="center"/>
              <w:rPr/>
            </w:pPr>
            <w:r>
              <w:rPr>
                <w:i/>
                <w:iCs/>
                <w:color w:val="808080"/>
                <w:sz w:val="18"/>
                <w:szCs w:val="18"/>
              </w:rPr>
              <w:t>[Espacio reservado para gráfica]</w:t>
            </w:r>
          </w:p>
        </w:tc>
      </w:tr>
    </w:tbl>
    <w:p>
      <w:pPr>
        <w:pStyle w:val="Subtitle"/>
        <w:rPr/>
      </w:pPr>
      <w:r>
        <w:rPr/>
        <w:t>Gráfica: Desempeño del control de tensión</w:t>
      </w:r>
    </w:p>
    <w:p>
      <w:pPr>
        <w:pStyle w:val="Heading2"/>
        <w:rPr/>
      </w:pPr>
      <w:bookmarkStart w:id="21" w:name="_Toc230532610"/>
      <w:r>
        <w:rPr/>
        <w:t>3.14. Prueba 14 - Control de Tensión en Condiciones Dinámicas o de Falla</w:t>
      </w:r>
      <w:bookmarkEnd w:id="21"/>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8" wp14:anchorId="19E7403D">
                      <wp:simplePos x="0" y="0"/>
                      <wp:positionH relativeFrom="column">
                        <wp:posOffset>74295</wp:posOffset>
                      </wp:positionH>
                      <wp:positionV relativeFrom="paragraph">
                        <wp:posOffset>79375</wp:posOffset>
                      </wp:positionV>
                      <wp:extent cx="708660" cy="635"/>
                      <wp:effectExtent l="0" t="10160" r="0" b="9525"/>
                      <wp:wrapNone/>
                      <wp:docPr id="75"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19E7403D">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89" wp14:anchorId="003FE05B">
                      <wp:simplePos x="0" y="0"/>
                      <wp:positionH relativeFrom="column">
                        <wp:posOffset>0</wp:posOffset>
                      </wp:positionH>
                      <wp:positionV relativeFrom="paragraph">
                        <wp:posOffset>71120</wp:posOffset>
                      </wp:positionV>
                      <wp:extent cx="708660" cy="0"/>
                      <wp:effectExtent l="635" t="10160" r="635" b="10160"/>
                      <wp:wrapNone/>
                      <wp:docPr id="76"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003FE05B">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0" wp14:anchorId="590E5FA5">
                      <wp:simplePos x="0" y="0"/>
                      <wp:positionH relativeFrom="column">
                        <wp:posOffset>0</wp:posOffset>
                      </wp:positionH>
                      <wp:positionV relativeFrom="paragraph">
                        <wp:posOffset>65405</wp:posOffset>
                      </wp:positionV>
                      <wp:extent cx="708660" cy="635"/>
                      <wp:effectExtent l="635" t="9525" r="635" b="9525"/>
                      <wp:wrapNone/>
                      <wp:docPr id="77"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590E5FA5">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8" name="Imagen3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36" descr="Badge Tick1 con relleno sólido"/>
                          <pic:cNvPicPr>
                            <a:picLocks noChangeAspect="1" noChangeArrowheads="1"/>
                          </pic:cNvPicPr>
                        </pic:nvPicPr>
                        <pic:blipFill>
                          <a:blip r:embed="rId77">
                            <a:extLst>
                              <a:ext uri="{96DAC541-7B7A-43D3-8B79-37D633B846F1}">
                                <asvg:svgBlip xmlns:asvg="http://schemas.microsoft.com/office/drawing/2016/SVG/main" r:embed="rId78"/>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79" name="Imagen3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37" descr="Badge Tick1 con relleno sólido"/>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80" name="Imagen38"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38" descr="Badge Tick1 con relleno sólido"/>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220980" cy="220980"/>
                          </a:xfrm>
                          <a:prstGeom prst="rect">
                            <a:avLst/>
                          </a:prstGeom>
                          <a:noFill/>
                        </pic:spPr>
                      </pic:pic>
                    </a:graphicData>
                  </a:graphic>
                </wp:inline>
              </w:drawing>
            </w:r>
          </w:p>
        </w:tc>
      </w:tr>
    </w:tbl>
    <w:p>
      <w:pPr>
        <w:pStyle w:val="Normal"/>
        <w:rPr/>
      </w:pPr>
      <w:r>
        <w:rPr/>
      </w:r>
    </w:p>
    <w:p>
      <w:pPr>
        <w:pStyle w:val="Normal"/>
        <w:spacing w:before="160" w:after="80"/>
        <w:rPr/>
      </w:pPr>
      <w:r>
        <w:rPr>
          <w:b/>
          <w:bCs/>
          <w:color w:val="312E81"/>
        </w:rPr>
        <w:t>Objetivo</w:t>
      </w:r>
    </w:p>
    <w:p>
      <w:pPr>
        <w:pStyle w:val="Normal"/>
        <w:rPr>
          <w:rFonts w:ascii="Times New Roman" w:hAnsi="Times New Roman"/>
          <w:lang w:val="es-MX"/>
        </w:rPr>
      </w:pPr>
      <w:r>
        <w:rPr/>
        <w:t xml:space="preserve">Esta prueba verifica que la </w:t>
      </w:r>
      <w:r>
        <w:rPr>
          <w:rStyle w:val="s1"/>
          <w:b/>
          <w:bCs/>
        </w:rPr>
        <w:t>Central Eléctrica</w:t>
      </w:r>
      <w:r>
        <w:rPr/>
        <w:t xml:space="preserve"> cuente con ajustes de protección compatibles con los requerimientos de permanencia ante condiciones dinámicas o de falla, de forma que no se produzca una desconexión anticipada mientras la tensión permanezca dentro de la zona permitida.</w:t>
      </w:r>
    </w:p>
    <w:p>
      <w:pPr>
        <w:pStyle w:val="Normal"/>
        <w:rPr/>
      </w:pPr>
      <w:r>
        <w:rPr/>
      </w:r>
    </w:p>
    <w:p>
      <w:pPr>
        <w:pStyle w:val="Normal"/>
        <w:rPr/>
      </w:pPr>
      <w:r>
        <w:rPr/>
        <w:t xml:space="preserve">El criterio de evaluación se toma del </w:t>
      </w:r>
      <w:r>
        <w:rPr>
          <w:rStyle w:val="s1"/>
          <w:b/>
          <w:bCs/>
        </w:rPr>
        <w:t>Anexo 5 del Procedimiento de Operación para la Declaración de Entrada en Operación Comercial de Centrales Eléctricas y Centros de Carga</w:t>
      </w:r>
      <w:r>
        <w:rPr/>
        <w:t xml:space="preserve">, en el apartado de pruebas por Central Eléctrica para </w:t>
      </w:r>
      <w:r>
        <w:rPr>
          <w:rStyle w:val="s1"/>
          <w:b/>
          <w:bCs/>
        </w:rPr>
        <w:t>Centrales Eléctricas Síncronas</w:t>
      </w:r>
      <w:r>
        <w:rPr/>
        <w:t xml:space="preserve">, donde se establece la prueba de </w:t>
      </w:r>
      <w:r>
        <w:rPr>
          <w:rStyle w:val="s1"/>
          <w:b/>
          <w:bCs/>
        </w:rPr>
        <w:t>Control de Tensión en Condiciones Dinámicas o de Falla</w:t>
      </w:r>
      <w:r>
        <w:rPr/>
        <w:t xml:space="preserve">. </w:t>
      </w:r>
      <w:r>
        <w:rPr>
          <w:rStyle w:val="apple-converted-space"/>
        </w:rPr>
        <w:t> </w:t>
      </w:r>
    </w:p>
    <w:p>
      <w:pPr>
        <w:pStyle w:val="Normal"/>
        <w:rPr/>
      </w:pPr>
      <w:r>
        <w:rPr/>
      </w:r>
    </w:p>
    <w:p>
      <w:pPr>
        <w:pStyle w:val="Normal"/>
        <w:rPr/>
      </w:pPr>
      <w:r>
        <w:rPr/>
        <w:t xml:space="preserve">El fundamento técnico corresponde al </w:t>
      </w:r>
      <w:r>
        <w:rPr>
          <w:rStyle w:val="s1"/>
          <w:b/>
          <w:bCs/>
        </w:rPr>
        <w:t>Código de Red 2.0</w:t>
      </w:r>
      <w:r>
        <w:rPr/>
        <w:t xml:space="preserve">, dentro del </w:t>
      </w:r>
      <w:r>
        <w:rPr>
          <w:rStyle w:val="s1"/>
          <w:b/>
          <w:bCs/>
        </w:rPr>
        <w:t>Manual Regulatorio de Requerimientos Técnicos para la Interconexión de Centrales Eléctricas al Sistema Eléctrico Nacional</w:t>
      </w:r>
      <w:r>
        <w:rPr/>
        <w:t xml:space="preserve">, </w:t>
      </w:r>
      <w:r>
        <w:rPr>
          <w:rStyle w:val="s1"/>
          <w:b/>
          <w:bCs/>
        </w:rPr>
        <w:t>Capítulo 4</w:t>
      </w:r>
      <w:r>
        <w:rPr/>
        <w:t>, relativo a los requerimientos de control de tensión en condiciones dinámicas o de falla, particularmente para Centrales Eléctricas tipo B y C.</w:t>
      </w:r>
    </w:p>
    <w:p>
      <w:pPr>
        <w:pStyle w:val="p1"/>
        <w:spacing w:lineRule="auto" w:line="360" w:before="280" w:after="280"/>
        <w:jc w:val="both"/>
        <w:rPr>
          <w:rFonts w:ascii="Helvetica Neue Light" w:hAnsi="Helvetica Neue Light"/>
          <w:sz w:val="22"/>
          <w:szCs w:val="22"/>
        </w:rPr>
      </w:pPr>
      <w:r>
        <w:rPr>
          <w:rFonts w:ascii="Helvetica Neue Light" w:hAnsi="Helvetica Neue Light"/>
          <w:sz w:val="22"/>
          <w:szCs w:val="22"/>
        </w:rPr>
      </w:r>
    </w:p>
    <w:p>
      <w:pPr>
        <w:pStyle w:val="Normal"/>
        <w:spacing w:before="160" w:after="80"/>
        <w:rPr/>
      </w:pPr>
      <w:r>
        <w:rPr>
          <w:b/>
          <w:bCs/>
          <w:color w:val="312E81"/>
        </w:rPr>
        <w:t>Condiciones y desarrollo de la prueba</w:t>
      </w:r>
    </w:p>
    <w:p>
      <w:pPr>
        <w:pStyle w:val="ListParagraph"/>
        <w:numPr>
          <w:ilvl w:val="0"/>
          <w:numId w:val="11"/>
        </w:numPr>
        <w:rPr/>
      </w:pPr>
      <w:r>
        <w:rPr/>
        <w:t>Integrar la información documental de los ajustes de protección asociados a tensión en la Central Eléctrica y en el Punto de Interconexión.</w:t>
      </w:r>
    </w:p>
    <w:p>
      <w:pPr>
        <w:pStyle w:val="ListParagraph"/>
        <w:numPr>
          <w:ilvl w:val="0"/>
          <w:numId w:val="11"/>
        </w:numPr>
        <w:rPr/>
      </w:pPr>
      <w:r>
        <w:rPr/>
        <w:t xml:space="preserve">Identificar los ajustes de protección de baja tensión y sobretensión aplicables, principalmente funciones </w:t>
      </w:r>
      <w:r>
        <w:rPr>
          <w:b/>
          <w:bCs/>
        </w:rPr>
        <w:t>ANSI 27</w:t>
      </w:r>
      <w:r>
        <w:rPr/>
        <w:t xml:space="preserve"> y </w:t>
      </w:r>
      <w:r>
        <w:rPr>
          <w:b/>
          <w:bCs/>
        </w:rPr>
        <w:t>ANSI 59</w:t>
      </w:r>
      <w:r>
        <w:rPr/>
        <w:t>.</w:t>
      </w:r>
    </w:p>
    <w:p>
      <w:pPr>
        <w:pStyle w:val="ListParagraph"/>
        <w:numPr>
          <w:ilvl w:val="0"/>
          <w:numId w:val="11"/>
        </w:numPr>
        <w:rPr/>
      </w:pPr>
      <w:r>
        <w:rPr/>
        <w:t>Comparar los ajustes de alarma y disparo contra la curva de permanencia requerida para condiciones dinámicas o de falla.</w:t>
      </w:r>
    </w:p>
    <w:p>
      <w:pPr>
        <w:pStyle w:val="ListParagraph"/>
        <w:numPr>
          <w:ilvl w:val="0"/>
          <w:numId w:val="11"/>
        </w:numPr>
        <w:rPr/>
      </w:pPr>
      <w:r>
        <w:rPr/>
        <w:t xml:space="preserve">Verificar que los ajustes permitan la permanencia de la Central Eléctrica dentro de la </w:t>
      </w:r>
      <w:r>
        <w:rPr>
          <w:b/>
          <w:bCs/>
        </w:rPr>
        <w:t>Zona A</w:t>
      </w:r>
      <w:r>
        <w:rPr/>
        <w:t xml:space="preserve"> definida para Centrales Eléctricas Síncronas tipo B y C.</w:t>
      </w:r>
    </w:p>
    <w:p>
      <w:pPr>
        <w:pStyle w:val="ListParagraph"/>
        <w:numPr>
          <w:ilvl w:val="0"/>
          <w:numId w:val="11"/>
        </w:numPr>
        <w:rPr/>
      </w:pPr>
      <w:r>
        <w:rPr/>
        <w:t>Documentar los puntos de operación tensión-tiempo aplicables al perfil de permanencia ante falla.</w:t>
      </w:r>
    </w:p>
    <w:p>
      <w:pPr>
        <w:pStyle w:val="ListParagraph"/>
        <w:numPr>
          <w:ilvl w:val="0"/>
          <w:numId w:val="11"/>
        </w:numPr>
        <w:rPr/>
      </w:pPr>
      <w:r>
        <w:rPr/>
        <w:t>Integrar evidencia documental de los ajustes de protección del controlador, relevador o sistema de protección correspondiente.</w:t>
      </w:r>
    </w:p>
    <w:p>
      <w:pPr>
        <w:pStyle w:val="ListParagraph"/>
        <w:numPr>
          <w:ilvl w:val="0"/>
          <w:numId w:val="11"/>
        </w:numPr>
        <w:rPr/>
      </w:pPr>
      <w:r>
        <w:rPr/>
        <w:t>Cuando aplique, indicar la equivalencia de los ajustes en valores por unidad para comprobar su correspondencia con los límites requeridos.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spacing w:before="160" w:after="80"/>
        <w:rPr/>
      </w:pPr>
      <w:r>
        <w:rPr/>
        <w:t xml:space="preserve">No aplica para medición directa en campo, al tratarse de una verificación documental de ajustes de protección y permanencia ante condiciones dinámicas o de falla. </w:t>
      </w:r>
    </w:p>
    <w:p>
      <w:pPr>
        <w:pStyle w:val="Normal"/>
        <w:spacing w:before="160" w:after="80"/>
        <w:rPr>
          <w:b/>
          <w:bCs/>
          <w:color w:val="312E81"/>
        </w:rPr>
      </w:pPr>
      <w:r>
        <w:rPr>
          <w:b/>
          <w:bCs/>
          <w:color w:val="312E81"/>
        </w:rPr>
      </w:r>
    </w:p>
    <w:p>
      <w:pPr>
        <w:pStyle w:val="Normal"/>
        <w:spacing w:before="160" w:after="80"/>
        <w:rPr/>
      </w:pPr>
      <w:r>
        <w:rPr>
          <w:b/>
          <w:bCs/>
          <w:color w:val="312E81"/>
        </w:rPr>
        <w:t>Criterio de aceptación</w:t>
      </w:r>
    </w:p>
    <w:p>
      <w:pPr>
        <w:pStyle w:val="Normal"/>
        <w:spacing w:before="160" w:after="80"/>
        <w:rPr/>
      </w:pPr>
      <w:r>
        <w:rPr/>
        <w:t>La prueba se considera satisfactoria cuando los ajustes de protección permiten que la Central Eléctrica permanezca interconectada dentro de la Zona A del perfil tensión-tiempo aplicable a Centrales Eléctricas Síncronas tipo B y C.</w:t>
      </w:r>
    </w:p>
    <w:p>
      <w:pPr>
        <w:pStyle w:val="Normal"/>
        <w:spacing w:before="160" w:after="80"/>
        <w:rPr/>
      </w:pPr>
      <w:r>
        <w:rPr/>
        <w:t>La evaluación deberá confirmar que las protecciones de baja tensión y sobretensión no provoquen una desconexión anticipada dentro de la zona permitida por el Código de Red.</w:t>
      </w:r>
    </w:p>
    <w:p>
      <w:pPr>
        <w:pStyle w:val="Normal"/>
        <w:spacing w:before="160" w:after="80"/>
        <w:rPr/>
      </w:pPr>
      <w:r>
        <w:rPr>
          <w:b/>
          <w:bCs/>
          <w:color w:val="312E81"/>
        </w:rPr>
        <w:t>Resultados de la prueba</w:t>
      </w:r>
    </w:p>
    <w:p>
      <w:pPr>
        <w:pStyle w:val="Normal"/>
        <w:spacing w:before="0" w:after="120"/>
        <w:rPr/>
      </w:pPr>
      <w:r>
        <w:rPr/>
        <w:t>La evidencia de esta prueba corresponderá a la revisión documental de los ajustes de protección de tensión implementados en la Central Eléctrica y en el Punto de Interconexión.</w:t>
      </w:r>
    </w:p>
    <w:p>
      <w:pPr>
        <w:pStyle w:val="Normal"/>
        <w:spacing w:before="0" w:after="120"/>
        <w:rPr/>
      </w:pPr>
      <w:r>
        <w:rPr/>
      </w:r>
    </w:p>
    <w:p>
      <w:pPr>
        <w:pStyle w:val="Normal"/>
        <w:spacing w:before="0" w:after="120"/>
        <w:rPr/>
      </w:pPr>
      <w:r>
        <w:rPr/>
        <w:t>La información presentada permitirá comparar los ajustes de alarma y disparo contra el perfil de permanencia tensión-tiempo requerido, verificando que los valores configurados sean compatibles con la operación dentro de la Zona A.</w:t>
      </w:r>
    </w:p>
    <w:p>
      <w:pPr>
        <w:pStyle w:val="Normal"/>
        <w:spacing w:before="0" w:after="120"/>
        <w:rPr/>
      </w:pPr>
      <w:r>
        <w:rPr/>
      </w:r>
    </w:p>
    <w:p>
      <w:pPr>
        <w:pStyle w:val="Normal"/>
        <w:spacing w:before="0" w:after="120"/>
        <w:rPr/>
      </w:pPr>
      <w:r>
        <w:rPr/>
        <w:t>Cuando se integren los ajustes del relevador asociado al Punto de Interconexión, se deberá indicar su equivalencia en por unidad para confirmar su correspondencia con los límites de permanencia ante falla. En particular, deberá verificarse que el ajuste de disparo por sobretensión no interfiera con la permanencia requerida hasta 1.10 pu, y que los ajustes de baja tensión sean compatibles con la curva de respuesta aplicable.</w:t>
      </w:r>
    </w:p>
    <w:tbl>
      <w:tblPr>
        <w:tblW w:w="9000" w:type="dxa"/>
        <w:jc w:val="center"/>
        <w:tblInd w:w="0" w:type="dxa"/>
        <w:tblLayout w:type="fixed"/>
        <w:tblCellMar>
          <w:top w:w="400" w:type="dxa"/>
          <w:left w:w="200" w:type="dxa"/>
          <w:bottom w:w="400" w:type="dxa"/>
          <w:right w:w="200" w:type="dxa"/>
        </w:tblCellMar>
        <w:tblLook w:firstRow="0" w:noVBand="0" w:lastRow="0" w:firstColumn="0" w:lastColumn="0" w:noHBand="0" w:val="0000"/>
      </w:tblPr>
      <w:tblGrid>
        <w:gridCol w:w="9000"/>
      </w:tblGrid>
      <w:tr>
        <w:trPr/>
        <w:tc>
          <w:tcPr>
            <w:tcW w:w="9000" w:type="dxa"/>
            <w:tcBorders>
              <w:top w:val="single" w:sz="8" w:space="0" w:color="A6A6A6"/>
              <w:left w:val="single" w:sz="8" w:space="0" w:color="A6A6A6"/>
              <w:bottom w:val="single" w:sz="8" w:space="0" w:color="A6A6A6"/>
              <w:right w:val="single" w:sz="8" w:space="0" w:color="A6A6A6"/>
            </w:tcBorders>
            <w:shd w:color="auto" w:fill="D9D9D9" w:val="clear"/>
            <w:vAlign w:val="center"/>
          </w:tcPr>
          <w:p>
            <w:pPr>
              <w:pStyle w:val="Normal"/>
              <w:spacing w:before="0" w:after="80"/>
              <w:jc w:val="center"/>
              <w:rPr/>
            </w:pPr>
            <w:r>
              <w:rPr>
                <w:b/>
                <w:bCs/>
                <w:i/>
                <w:iCs/>
                <w:color w:val="404040"/>
              </w:rPr>
              <w:t>Figura. Respuesta de la central eléctrica de tipo B ante condiciones dinámicas o de falla (perfil V vs t)</w:t>
            </w:r>
          </w:p>
          <w:p>
            <w:pPr>
              <w:pStyle w:val="Normal"/>
              <w:jc w:val="center"/>
              <w:rPr/>
            </w:pPr>
            <w:r>
              <w:rPr>
                <w:i/>
                <w:iCs/>
                <w:color w:val="808080"/>
                <w:sz w:val="18"/>
                <w:szCs w:val="18"/>
              </w:rPr>
              <w:t>[Espacio reservado para gráfica]</w:t>
            </w:r>
          </w:p>
        </w:tc>
      </w:tr>
    </w:tbl>
    <w:p>
      <w:pPr>
        <w:pStyle w:val="Subtitle"/>
        <w:rPr/>
      </w:pPr>
      <w:r>
        <w:rPr/>
        <w:t>Figura. Respuesta de la central eléctrica de tipo B ante condiciones dinámicas o de falla</w:t>
      </w:r>
    </w:p>
    <w:p>
      <w:pPr>
        <w:pStyle w:val="Normal"/>
        <w:spacing w:before="160" w:after="80"/>
        <w:rPr/>
      </w:pPr>
      <w:r>
        <w:rPr/>
      </w:r>
    </w:p>
    <w:tbl>
      <w:tblPr>
        <w:tblW w:w="9360" w:type="dxa"/>
        <w:jc w:val="left"/>
        <w:tblInd w:w="0" w:type="dxa"/>
        <w:tblLayout w:type="fixed"/>
        <w:tblCellMar>
          <w:top w:w="100" w:type="dxa"/>
          <w:left w:w="120" w:type="dxa"/>
          <w:bottom w:w="100" w:type="dxa"/>
          <w:right w:w="120" w:type="dxa"/>
        </w:tblCellMar>
        <w:tblLook w:firstRow="0" w:noVBand="0" w:lastRow="0" w:firstColumn="0" w:lastColumn="0" w:noHBand="0" w:val="0000"/>
      </w:tblPr>
      <w:tblGrid>
        <w:gridCol w:w="2340"/>
        <w:gridCol w:w="2340"/>
        <w:gridCol w:w="2340"/>
        <w:gridCol w:w="2339"/>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Protección</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Punto de Operación</w:t>
            </w:r>
          </w:p>
        </w:tc>
        <w:tc>
          <w:tcPr>
            <w:tcW w:w="2340"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Tiempo t (s)</w:t>
            </w:r>
          </w:p>
        </w:tc>
        <w:tc>
          <w:tcPr>
            <w:tcW w:w="2339" w:type="dxa"/>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Tensión V (pu)</w:t>
            </w:r>
          </w:p>
        </w:tc>
      </w:tr>
      <w:tr>
        <w:trPr/>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40"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c>
          <w:tcPr>
            <w:tcW w:w="2339" w:type="dxa"/>
            <w:tcBorders>
              <w:top w:val="single" w:sz="4" w:space="0" w:color="BFBFBF"/>
              <w:left w:val="single" w:sz="4" w:space="0" w:color="BFBFBF"/>
              <w:bottom w:val="single" w:sz="4" w:space="0" w:color="BFBFBF"/>
              <w:right w:val="single" w:sz="4" w:space="0" w:color="BFBFBF"/>
            </w:tcBorders>
            <w:vAlign w:val="center"/>
          </w:tcPr>
          <w:p>
            <w:pPr>
              <w:pStyle w:val="Normal"/>
              <w:spacing w:lineRule="auto" w:line="240"/>
              <w:jc w:val="center"/>
              <w:rPr>
                <w:sz w:val="18"/>
                <w:szCs w:val="18"/>
              </w:rPr>
            </w:pPr>
            <w:r>
              <w:rPr>
                <w:sz w:val="18"/>
                <w:szCs w:val="18"/>
              </w:rPr>
            </w:r>
          </w:p>
        </w:tc>
      </w:tr>
    </w:tbl>
    <w:p>
      <w:pPr>
        <w:pStyle w:val="Subtitle"/>
        <w:jc w:val="both"/>
        <w:rPr/>
      </w:pPr>
      <w:r>
        <w:rPr/>
        <w:t>Tabla 3. Ajustes de protección de voltaje establecidos en el Woodward 3500 de la Central Eléctrica CNK.</w:t>
      </w:r>
    </w:p>
    <w:p>
      <w:pPr>
        <w:pStyle w:val="Normal"/>
        <w:rPr/>
      </w:pPr>
      <w:r>
        <w:rPr/>
      </w:r>
    </w:p>
    <w:p>
      <w:pPr>
        <w:pStyle w:val="Heading2"/>
        <w:rPr/>
      </w:pPr>
      <w:bookmarkStart w:id="22" w:name="_Toc230532611"/>
      <w:r>
        <w:rPr/>
        <w:t>3.15. Prueba 15 - Arranque de Emergencia (opcional, no aplica)</w:t>
      </w:r>
      <w:bookmarkEnd w:id="22"/>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1" wp14:anchorId="2E36C85A">
                      <wp:simplePos x="0" y="0"/>
                      <wp:positionH relativeFrom="column">
                        <wp:posOffset>74295</wp:posOffset>
                      </wp:positionH>
                      <wp:positionV relativeFrom="paragraph">
                        <wp:posOffset>79375</wp:posOffset>
                      </wp:positionV>
                      <wp:extent cx="708660" cy="635"/>
                      <wp:effectExtent l="0" t="10160" r="0" b="9525"/>
                      <wp:wrapNone/>
                      <wp:docPr id="8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2E36C85A">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2" wp14:anchorId="4A9853B0">
                      <wp:simplePos x="0" y="0"/>
                      <wp:positionH relativeFrom="column">
                        <wp:posOffset>0</wp:posOffset>
                      </wp:positionH>
                      <wp:positionV relativeFrom="paragraph">
                        <wp:posOffset>71120</wp:posOffset>
                      </wp:positionV>
                      <wp:extent cx="708660" cy="0"/>
                      <wp:effectExtent l="635" t="10160" r="635" b="10160"/>
                      <wp:wrapNone/>
                      <wp:docPr id="82"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4A9853B0">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3" wp14:anchorId="40F9AA5C">
                      <wp:simplePos x="0" y="0"/>
                      <wp:positionH relativeFrom="column">
                        <wp:posOffset>0</wp:posOffset>
                      </wp:positionH>
                      <wp:positionV relativeFrom="paragraph">
                        <wp:posOffset>65405</wp:posOffset>
                      </wp:positionV>
                      <wp:extent cx="708660" cy="635"/>
                      <wp:effectExtent l="635" t="9525" r="635" b="9525"/>
                      <wp:wrapNone/>
                      <wp:docPr id="8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40F9AA5C">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84" name="Imagen39"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39" descr="Badge Tick1 con relleno sólido"/>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85" name="Imagen40"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40" descr="Badge Tick1 con relleno sólido"/>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23" w:name="_Toc230532612"/>
      <w:r>
        <w:rPr/>
        <w:t>3.16. Prueba 16 - Operación en Modo Isla (no aplica)</w:t>
      </w:r>
      <w:bookmarkEnd w:id="23"/>
    </w:p>
    <w:p>
      <w:pPr>
        <w:pStyle w:val="Normal"/>
        <w:rPr/>
      </w:pPr>
      <w:r>
        <w:rPr/>
      </w:r>
    </w:p>
    <w:tbl>
      <w:tblPr>
        <w:tblW w:w="3548" w:type="dxa"/>
        <w:jc w:val="center"/>
        <w:tblInd w:w="0" w:type="dxa"/>
        <w:tblLayout w:type="fixed"/>
        <w:tblCellMar>
          <w:top w:w="100" w:type="dxa"/>
          <w:left w:w="120" w:type="dxa"/>
          <w:bottom w:w="100" w:type="dxa"/>
          <w:right w:w="120" w:type="dxa"/>
        </w:tblCellMar>
        <w:tblLook w:firstRow="0" w:noVBand="0" w:lastRow="0" w:firstColumn="0" w:lastColumn="0" w:noHBand="0" w:val="0000"/>
      </w:tblPr>
      <w:tblGrid>
        <w:gridCol w:w="887"/>
        <w:gridCol w:w="887"/>
        <w:gridCol w:w="887"/>
        <w:gridCol w:w="886"/>
      </w:tblGrid>
      <w:tr>
        <w:trPr>
          <w:trHeight w:val="57" w:hRule="atLeast"/>
        </w:trPr>
        <w:tc>
          <w:tcPr>
            <w:tcW w:w="3547" w:type="dxa"/>
            <w:gridSpan w:val="4"/>
            <w:tcBorders>
              <w:top w:val="single" w:sz="4" w:space="0" w:color="BFBFBF"/>
              <w:left w:val="single" w:sz="4" w:space="0" w:color="BFBFBF"/>
              <w:bottom w:val="single" w:sz="4" w:space="0" w:color="BFBFBF"/>
              <w:right w:val="single" w:sz="4" w:space="0" w:color="BFBFBF"/>
            </w:tcBorders>
            <w:shd w:color="auto" w:fill="312E81" w:val="clear"/>
            <w:vAlign w:val="center"/>
          </w:tcPr>
          <w:p>
            <w:pPr>
              <w:pStyle w:val="Normal"/>
              <w:spacing w:lineRule="auto" w:line="240"/>
              <w:jc w:val="center"/>
              <w:rPr>
                <w:sz w:val="20"/>
                <w:szCs w:val="20"/>
              </w:rPr>
            </w:pPr>
            <w:r>
              <w:rPr>
                <w:b/>
                <w:bCs/>
                <w:color w:val="FFFFFF"/>
                <w:sz w:val="20"/>
                <w:szCs w:val="20"/>
              </w:rPr>
              <w:t>Tipo de Central Eléctrica</w:t>
            </w:r>
          </w:p>
        </w:tc>
      </w:tr>
      <w:tr>
        <w:trPr>
          <w:trHeight w:val="57" w:hRule="atLeast"/>
        </w:trPr>
        <w:tc>
          <w:tcPr>
            <w:tcW w:w="887" w:type="dxa"/>
            <w:tcBorders>
              <w:top w:val="single" w:sz="4" w:space="0" w:color="BFBFBF"/>
              <w:left w:val="single" w:sz="4" w:space="0" w:color="BFBFBF"/>
              <w:bottom w:val="single" w:sz="4" w:space="0" w:color="BFBFBF"/>
              <w:right w:val="single" w:sz="4" w:space="0" w:color="BFBFBF"/>
            </w:tcBorders>
            <w:shd w:color="auto" w:fill="F2F2F2" w:val="clear"/>
            <w:tcMar>
              <w:top w:w="80" w:type="dxa"/>
              <w:left w:w="60" w:type="dxa"/>
              <w:bottom w:w="80" w:type="dxa"/>
              <w:right w:w="60" w:type="dxa"/>
            </w:tcMar>
            <w:vAlign w:val="center"/>
          </w:tcPr>
          <w:p>
            <w:pPr>
              <w:pStyle w:val="Normal"/>
              <w:spacing w:lineRule="auto" w:line="240"/>
              <w:jc w:val="center"/>
              <w:rPr>
                <w:sz w:val="20"/>
                <w:szCs w:val="20"/>
              </w:rPr>
            </w:pPr>
            <w:r>
              <w:rPr>
                <w:sz w:val="20"/>
                <w:szCs w:val="20"/>
              </w:rPr>
              <w:t>A</w:t>
            </w:r>
          </w:p>
        </w:tc>
        <w:tc>
          <w:tcPr>
            <w:tcW w:w="887" w:type="dxa"/>
            <w:tcBorders>
              <w:top w:val="single" w:sz="4" w:space="0" w:color="BFBFBF"/>
              <w:left w:val="single" w:sz="4" w:space="0" w:color="BFBFBF"/>
              <w:bottom w:val="single" w:sz="4" w:space="0" w:color="BFBFBF"/>
              <w:right w:val="single" w:sz="4" w:space="0" w:color="BFBFBF"/>
            </w:tcBorders>
            <w:shd w:color="auto" w:fill="F2F2F2" w:val="clear"/>
            <w:tcMar>
              <w:top w:w="80" w:type="dxa"/>
              <w:left w:w="60" w:type="dxa"/>
              <w:bottom w:w="80" w:type="dxa"/>
              <w:right w:w="60" w:type="dxa"/>
            </w:tcMar>
            <w:vAlign w:val="center"/>
          </w:tcPr>
          <w:p>
            <w:pPr>
              <w:pStyle w:val="Normal"/>
              <w:spacing w:lineRule="auto" w:line="240"/>
              <w:jc w:val="center"/>
              <w:rPr>
                <w:sz w:val="20"/>
                <w:szCs w:val="20"/>
              </w:rPr>
            </w:pPr>
            <w:r>
              <w:rPr>
                <w:sz w:val="20"/>
                <w:szCs w:val="20"/>
              </w:rPr>
              <w:t>B</w:t>
            </w:r>
          </w:p>
        </w:tc>
        <w:tc>
          <w:tcPr>
            <w:tcW w:w="887" w:type="dxa"/>
            <w:tcBorders>
              <w:top w:val="single" w:sz="4" w:space="0" w:color="BFBFBF"/>
              <w:left w:val="single" w:sz="4" w:space="0" w:color="BFBFBF"/>
              <w:bottom w:val="single" w:sz="4" w:space="0" w:color="BFBFBF"/>
              <w:right w:val="single" w:sz="4" w:space="0" w:color="BFBFBF"/>
            </w:tcBorders>
            <w:shd w:color="auto" w:fill="F2F2F2" w:val="clear"/>
            <w:tcMar>
              <w:top w:w="80" w:type="dxa"/>
              <w:left w:w="60" w:type="dxa"/>
              <w:bottom w:w="80" w:type="dxa"/>
              <w:right w:w="60" w:type="dxa"/>
            </w:tcMar>
            <w:vAlign w:val="center"/>
          </w:tcPr>
          <w:p>
            <w:pPr>
              <w:pStyle w:val="Normal"/>
              <w:spacing w:lineRule="auto" w:line="240"/>
              <w:jc w:val="center"/>
              <w:rPr>
                <w:sz w:val="20"/>
                <w:szCs w:val="20"/>
              </w:rPr>
            </w:pPr>
            <w:r>
              <w:rPr>
                <w:sz w:val="20"/>
                <w:szCs w:val="20"/>
              </w:rPr>
              <w:t>C</w:t>
            </w:r>
          </w:p>
        </w:tc>
        <w:tc>
          <w:tcPr>
            <w:tcW w:w="886" w:type="dxa"/>
            <w:tcBorders>
              <w:top w:val="single" w:sz="4" w:space="0" w:color="BFBFBF"/>
              <w:left w:val="single" w:sz="4" w:space="0" w:color="BFBFBF"/>
              <w:bottom w:val="single" w:sz="4" w:space="0" w:color="BFBFBF"/>
              <w:right w:val="single" w:sz="4" w:space="0" w:color="BFBFBF"/>
            </w:tcBorders>
            <w:shd w:color="auto" w:fill="F2F2F2" w:val="clear"/>
            <w:tcMar>
              <w:top w:w="80" w:type="dxa"/>
              <w:left w:w="60" w:type="dxa"/>
              <w:bottom w:w="80" w:type="dxa"/>
              <w:right w:w="60" w:type="dxa"/>
            </w:tcMar>
            <w:vAlign w:val="center"/>
          </w:tcPr>
          <w:p>
            <w:pPr>
              <w:pStyle w:val="Normal"/>
              <w:spacing w:lineRule="auto" w:line="240"/>
              <w:jc w:val="center"/>
              <w:rPr>
                <w:sz w:val="20"/>
                <w:szCs w:val="20"/>
              </w:rPr>
            </w:pPr>
            <w:r>
              <w:rPr>
                <w:sz w:val="20"/>
                <w:szCs w:val="20"/>
              </w:rPr>
              <w:t>D</w:t>
            </w:r>
          </w:p>
        </w:tc>
      </w:tr>
      <w:tr>
        <w:trPr>
          <w:trHeight w:val="57" w:hRule="atLeast"/>
        </w:trPr>
        <w:tc>
          <w:tcPr>
            <w:tcW w:w="887" w:type="dxa"/>
            <w:tcBorders>
              <w:top w:val="single" w:sz="4" w:space="0" w:color="BFBFBF"/>
              <w:left w:val="single" w:sz="4" w:space="0" w:color="BFBFBF"/>
              <w:bottom w:val="single" w:sz="4" w:space="0" w:color="BFBFBF"/>
              <w:right w:val="single" w:sz="4" w:space="0" w:color="BFBFBF"/>
            </w:tcBorders>
            <w:tcMar>
              <w:top w:w="80" w:type="dxa"/>
              <w:left w:w="60" w:type="dxa"/>
              <w:bottom w:w="80" w:type="dxa"/>
              <w:right w:w="60" w:type="dxa"/>
            </w:tcMar>
            <w:vAlign w:val="center"/>
          </w:tcPr>
          <w:p>
            <w:pPr>
              <w:pStyle w:val="Normal"/>
              <w:spacing w:lineRule="auto" w:line="240"/>
              <w:jc w:val="center"/>
              <w:rPr>
                <w:sz w:val="18"/>
                <w:szCs w:val="18"/>
              </w:rPr>
            </w:pPr>
            <w:r>
              <w:rPr>
                <w:sz w:val="18"/>
                <w:szCs w:val="18"/>
              </w:rPr>
            </w:r>
          </w:p>
        </w:tc>
        <w:tc>
          <w:tcPr>
            <w:tcW w:w="887" w:type="dxa"/>
            <w:tcBorders>
              <w:top w:val="single" w:sz="4" w:space="0" w:color="BFBFBF"/>
              <w:left w:val="single" w:sz="4" w:space="0" w:color="BFBFBF"/>
              <w:bottom w:val="single" w:sz="4" w:space="0" w:color="BFBFBF"/>
              <w:right w:val="single" w:sz="4" w:space="0" w:color="BFBFBF"/>
            </w:tcBorders>
            <w:tcMar>
              <w:top w:w="80" w:type="dxa"/>
              <w:left w:w="60" w:type="dxa"/>
              <w:bottom w:w="80" w:type="dxa"/>
              <w:right w:w="60" w:type="dxa"/>
            </w:tcMar>
            <w:vAlign w:val="center"/>
          </w:tcPr>
          <w:p>
            <w:pPr>
              <w:pStyle w:val="Normal"/>
              <w:spacing w:lineRule="auto" w:line="240"/>
              <w:jc w:val="center"/>
              <w:rPr>
                <w:sz w:val="18"/>
                <w:szCs w:val="18"/>
              </w:rPr>
            </w:pPr>
            <w:r>
              <w:rPr>
                <w:sz w:val="18"/>
                <w:szCs w:val="18"/>
              </w:rPr>
            </w:r>
          </w:p>
        </w:tc>
        <w:tc>
          <w:tcPr>
            <w:tcW w:w="887" w:type="dxa"/>
            <w:tcBorders>
              <w:top w:val="single" w:sz="4" w:space="0" w:color="BFBFBF"/>
              <w:left w:val="single" w:sz="4" w:space="0" w:color="BFBFBF"/>
              <w:bottom w:val="single" w:sz="4" w:space="0" w:color="BFBFBF"/>
              <w:right w:val="single" w:sz="4" w:space="0" w:color="BFBFBF"/>
            </w:tcBorders>
            <w:tcMar>
              <w:top w:w="80" w:type="dxa"/>
              <w:left w:w="60" w:type="dxa"/>
              <w:bottom w:w="80" w:type="dxa"/>
              <w:right w:w="60" w:type="dxa"/>
            </w:tcMar>
            <w:vAlign w:val="center"/>
          </w:tcPr>
          <w:p>
            <w:pPr>
              <w:pStyle w:val="Normal"/>
              <w:spacing w:lineRule="auto" w:line="240"/>
              <w:jc w:val="center"/>
              <w:rPr>
                <w:sz w:val="18"/>
                <w:szCs w:val="18"/>
              </w:rPr>
            </w:pPr>
            <w:r>
              <w:rPr>
                <w:sz w:val="18"/>
                <w:szCs w:val="18"/>
              </w:rPr>
              <w:t>■</w:t>
            </w:r>
          </w:p>
        </w:tc>
        <w:tc>
          <w:tcPr>
            <w:tcW w:w="886" w:type="dxa"/>
            <w:tcBorders>
              <w:top w:val="single" w:sz="4" w:space="0" w:color="BFBFBF"/>
              <w:left w:val="single" w:sz="4" w:space="0" w:color="BFBFBF"/>
              <w:bottom w:val="single" w:sz="4" w:space="0" w:color="BFBFBF"/>
              <w:right w:val="single" w:sz="4" w:space="0" w:color="BFBFBF"/>
            </w:tcBorders>
            <w:tcMar>
              <w:top w:w="80" w:type="dxa"/>
              <w:left w:w="60" w:type="dxa"/>
              <w:bottom w:w="80" w:type="dxa"/>
              <w:right w:w="60" w:type="dxa"/>
            </w:tcMar>
            <w:vAlign w:val="center"/>
          </w:tcPr>
          <w:p>
            <w:pPr>
              <w:pStyle w:val="Normal"/>
              <w:spacing w:lineRule="auto" w:line="240"/>
              <w:jc w:val="center"/>
              <w:rPr>
                <w:sz w:val="18"/>
                <w:szCs w:val="18"/>
              </w:rPr>
            </w:pPr>
            <w:r>
              <w:rPr>
                <w:sz w:val="18"/>
                <w:szCs w:val="18"/>
              </w:rPr>
              <w:t>■</w:t>
            </w:r>
          </w:p>
        </w:tc>
      </w:tr>
    </w:tbl>
    <w:p>
      <w:pPr>
        <w:pStyle w:val="Normal"/>
        <w:spacing w:before="0" w:after="120"/>
        <w:rPr>
          <w:i/>
          <w:i/>
          <w:iCs/>
        </w:rPr>
      </w:pPr>
      <w:r>
        <w:rPr>
          <w:i/>
          <w:iCs/>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4" wp14:anchorId="7F447768">
                      <wp:simplePos x="0" y="0"/>
                      <wp:positionH relativeFrom="column">
                        <wp:posOffset>74295</wp:posOffset>
                      </wp:positionH>
                      <wp:positionV relativeFrom="paragraph">
                        <wp:posOffset>79375</wp:posOffset>
                      </wp:positionV>
                      <wp:extent cx="708660" cy="635"/>
                      <wp:effectExtent l="0" t="10160" r="0" b="9525"/>
                      <wp:wrapNone/>
                      <wp:docPr id="8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7F447768">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5" wp14:anchorId="75DEB33D">
                      <wp:simplePos x="0" y="0"/>
                      <wp:positionH relativeFrom="column">
                        <wp:posOffset>0</wp:posOffset>
                      </wp:positionH>
                      <wp:positionV relativeFrom="paragraph">
                        <wp:posOffset>71120</wp:posOffset>
                      </wp:positionV>
                      <wp:extent cx="708660" cy="0"/>
                      <wp:effectExtent l="635" t="10160" r="635" b="10160"/>
                      <wp:wrapNone/>
                      <wp:docPr id="87"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75DEB33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6" wp14:anchorId="3ED2C83F">
                      <wp:simplePos x="0" y="0"/>
                      <wp:positionH relativeFrom="column">
                        <wp:posOffset>0</wp:posOffset>
                      </wp:positionH>
                      <wp:positionV relativeFrom="paragraph">
                        <wp:posOffset>65405</wp:posOffset>
                      </wp:positionV>
                      <wp:extent cx="708660" cy="635"/>
                      <wp:effectExtent l="635" t="9525" r="635" b="9525"/>
                      <wp:wrapNone/>
                      <wp:docPr id="8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3ED2C83F">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89" name="Imagen41"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41" descr="Badge Tick1 con relleno sólido"/>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90" name="Imagen42"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42" descr="Badge Tick1 con relleno sólido"/>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220980" cy="220980"/>
                          </a:xfrm>
                          <a:prstGeom prst="rect">
                            <a:avLst/>
                          </a:prstGeom>
                          <a:noFill/>
                        </pic:spPr>
                      </pic:pic>
                    </a:graphicData>
                  </a:graphic>
                </wp:inline>
              </w:drawing>
            </w:r>
          </w:p>
        </w:tc>
      </w:tr>
    </w:tbl>
    <w:p>
      <w:pPr>
        <w:pStyle w:val="Normal"/>
        <w:spacing w:before="0" w:after="120"/>
        <w:rPr>
          <w:i/>
          <w:i/>
          <w:iCs/>
        </w:rPr>
      </w:pPr>
      <w:r>
        <w:rPr>
          <w:i/>
          <w:iCs/>
        </w:rPr>
      </w:r>
    </w:p>
    <w:p>
      <w:pPr>
        <w:pStyle w:val="Normal"/>
        <w:spacing w:before="0" w:after="120"/>
        <w:rPr/>
      </w:pPr>
      <w:r>
        <w:rPr>
          <w:i/>
          <w:iCs/>
        </w:rPr>
        <w:t>No aplica para la Central Eléctrica CNK.</w:t>
      </w:r>
    </w:p>
    <w:p>
      <w:pPr>
        <w:pStyle w:val="Heading2"/>
        <w:rPr/>
      </w:pPr>
      <w:bookmarkStart w:id="24" w:name="_Toc230532613"/>
      <w:r>
        <w:rPr/>
        <w:t>3.17. Prueba 17 - Resincronización Rápida (no aplica)</w:t>
      </w:r>
      <w:bookmarkEnd w:id="24"/>
    </w:p>
    <w:p>
      <w:pPr>
        <w:pStyle w:val="Normal"/>
        <w:rPr/>
      </w:pPr>
      <w:r>
        <w:rPr/>
      </w:r>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7" wp14:anchorId="69BDFB17">
                      <wp:simplePos x="0" y="0"/>
                      <wp:positionH relativeFrom="column">
                        <wp:posOffset>74295</wp:posOffset>
                      </wp:positionH>
                      <wp:positionV relativeFrom="paragraph">
                        <wp:posOffset>79375</wp:posOffset>
                      </wp:positionV>
                      <wp:extent cx="708660" cy="635"/>
                      <wp:effectExtent l="0" t="10160" r="0" b="9525"/>
                      <wp:wrapNone/>
                      <wp:docPr id="91"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69BDFB17">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8" wp14:anchorId="6CBA910D">
                      <wp:simplePos x="0" y="0"/>
                      <wp:positionH relativeFrom="column">
                        <wp:posOffset>0</wp:posOffset>
                      </wp:positionH>
                      <wp:positionV relativeFrom="paragraph">
                        <wp:posOffset>71120</wp:posOffset>
                      </wp:positionV>
                      <wp:extent cx="708660" cy="0"/>
                      <wp:effectExtent l="635" t="10160" r="635" b="10160"/>
                      <wp:wrapNone/>
                      <wp:docPr id="92"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6CBA910D">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99" wp14:anchorId="71D99B6E">
                      <wp:simplePos x="0" y="0"/>
                      <wp:positionH relativeFrom="column">
                        <wp:posOffset>0</wp:posOffset>
                      </wp:positionH>
                      <wp:positionV relativeFrom="paragraph">
                        <wp:posOffset>65405</wp:posOffset>
                      </wp:positionV>
                      <wp:extent cx="708660" cy="635"/>
                      <wp:effectExtent l="635" t="9525" r="635" b="9525"/>
                      <wp:wrapNone/>
                      <wp:docPr id="93"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71D99B6E">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94" name="Imagen43"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43" descr="Badge Tick1 con relleno sólido"/>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95" name="Imagen44"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44" descr="Badge Tick1 con relleno sólido"/>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220980" cy="220980"/>
                          </a:xfrm>
                          <a:prstGeom prst="rect">
                            <a:avLst/>
                          </a:prstGeom>
                          <a:noFill/>
                        </pic:spPr>
                      </pic:pic>
                    </a:graphicData>
                  </a:graphic>
                </wp:inline>
              </w:drawing>
            </w:r>
          </w:p>
        </w:tc>
      </w:tr>
    </w:tbl>
    <w:p>
      <w:pPr>
        <w:pStyle w:val="Normal"/>
        <w:rPr/>
      </w:pPr>
      <w:r>
        <w:rPr/>
      </w:r>
    </w:p>
    <w:p>
      <w:pPr>
        <w:pStyle w:val="Normal"/>
        <w:spacing w:before="0" w:after="120"/>
        <w:rPr/>
      </w:pPr>
      <w:r>
        <w:rPr>
          <w:i/>
          <w:iCs/>
        </w:rPr>
        <w:t>No aplica para la Central Eléctrica CNK.</w:t>
      </w:r>
    </w:p>
    <w:p>
      <w:pPr>
        <w:pStyle w:val="Heading2"/>
        <w:rPr/>
      </w:pPr>
      <w:bookmarkStart w:id="25" w:name="_Toc230532614"/>
      <w:r>
        <w:rPr/>
        <w:t xml:space="preserve">3.18. </w:t>
      </w:r>
      <w:bookmarkStart w:id="26" w:name="OLE_LINK1"/>
      <w:r>
        <w:rPr/>
        <w:t>Prueba 18 - Requerimientos Generales de Administración del Sistema</w:t>
      </w:r>
      <w:bookmarkEnd w:id="25"/>
      <w:bookmarkEnd w:id="26"/>
    </w:p>
    <w:tbl>
      <w:tblPr>
        <w:tblStyle w:val="Tablaconcuadrcula"/>
        <w:tblW w:w="93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333"/>
        <w:gridCol w:w="1332"/>
        <w:gridCol w:w="1333"/>
        <w:gridCol w:w="1333"/>
        <w:gridCol w:w="1334"/>
        <w:gridCol w:w="1332"/>
        <w:gridCol w:w="1333"/>
      </w:tblGrid>
      <w:tr>
        <w:trPr>
          <w:trHeight w:val="283" w:hRule="atLeast"/>
        </w:trPr>
        <w:tc>
          <w:tcPr>
            <w:tcW w:w="9330" w:type="dxa"/>
            <w:gridSpan w:val="7"/>
            <w:tcBorders>
              <w:top w:val="nil"/>
              <w:left w:val="single" w:sz="12" w:space="0" w:color="FFFFFF"/>
              <w:bottom w:val="nil"/>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LA PRUEBA APLICA A CENTRALES TIPO:</w:t>
            </w:r>
          </w:p>
        </w:tc>
      </w:tr>
      <w:tr>
        <w:trPr>
          <w:trHeight w:val="283" w:hRule="atLeast"/>
        </w:trPr>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A</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100" wp14:anchorId="144DEBC3">
                      <wp:simplePos x="0" y="0"/>
                      <wp:positionH relativeFrom="column">
                        <wp:posOffset>74295</wp:posOffset>
                      </wp:positionH>
                      <wp:positionV relativeFrom="paragraph">
                        <wp:posOffset>79375</wp:posOffset>
                      </wp:positionV>
                      <wp:extent cx="708660" cy="635"/>
                      <wp:effectExtent l="0" t="10160" r="0" b="9525"/>
                      <wp:wrapNone/>
                      <wp:docPr id="96"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5.85pt,6.25pt" to="61.6pt,6.25pt" ID="Conector recto 2" stroked="t" o:allowincell="t" style="position:absolute" wp14:anchorId="144DEBC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t>B</w: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101" wp14:anchorId="01A8D5D7">
                      <wp:simplePos x="0" y="0"/>
                      <wp:positionH relativeFrom="column">
                        <wp:posOffset>0</wp:posOffset>
                      </wp:positionH>
                      <wp:positionV relativeFrom="paragraph">
                        <wp:posOffset>71120</wp:posOffset>
                      </wp:positionV>
                      <wp:extent cx="708660" cy="0"/>
                      <wp:effectExtent l="635" t="10160" r="635" b="10160"/>
                      <wp:wrapNone/>
                      <wp:docPr id="97" name="Conector recto 2"/>
                      <a:graphic xmlns:a="http://schemas.openxmlformats.org/drawingml/2006/main">
                        <a:graphicData uri="http://schemas.microsoft.com/office/word/2010/wordprocessingShape">
                          <wps:wsp>
                            <wps:cNvSpPr/>
                            <wps:spPr>
                              <a:xfrm>
                                <a:off x="0" y="0"/>
                                <a:ext cx="708840" cy="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6pt" to="55.75pt,5.6pt" ID="Conector recto 2" stroked="t" o:allowincell="t" style="position:absolute" wp14:anchorId="01A8D5D7">
                      <v:stroke color="#312e81" weight="19080" joinstyle="miter" endcap="flat"/>
                      <v:fill o:detectmouseclick="t" on="false"/>
                      <w10:wrap type="none"/>
                    </v:line>
                  </w:pict>
                </mc:Fallback>
              </mc:AlternateContent>
            </w:r>
          </w:p>
        </w:tc>
        <w:tc>
          <w:tcPr>
            <w:tcW w:w="1334"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C</w:t>
            </w:r>
          </w:p>
        </w:tc>
        <w:tc>
          <w:tcPr>
            <w:tcW w:w="1332"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mc:AlternateContent>
                <mc:Choice Requires="wps">
                  <w:drawing>
                    <wp:anchor behindDoc="0" distT="12700" distB="12700" distL="0" distR="15240" simplePos="0" locked="0" layoutInCell="1" allowOverlap="1" relativeHeight="102" wp14:anchorId="024C4BA3">
                      <wp:simplePos x="0" y="0"/>
                      <wp:positionH relativeFrom="column">
                        <wp:posOffset>0</wp:posOffset>
                      </wp:positionH>
                      <wp:positionV relativeFrom="paragraph">
                        <wp:posOffset>65405</wp:posOffset>
                      </wp:positionV>
                      <wp:extent cx="708660" cy="635"/>
                      <wp:effectExtent l="635" t="9525" r="635" b="9525"/>
                      <wp:wrapNone/>
                      <wp:docPr id="98" name="Conector recto 2"/>
                      <a:graphic xmlns:a="http://schemas.openxmlformats.org/drawingml/2006/main">
                        <a:graphicData uri="http://schemas.microsoft.com/office/word/2010/wordprocessingShape">
                          <wps:wsp>
                            <wps:cNvSpPr/>
                            <wps:spPr>
                              <a:xfrm>
                                <a:off x="0" y="0"/>
                                <a:ext cx="708840" cy="720"/>
                              </a:xfrm>
                              <a:prstGeom prst="line">
                                <a:avLst/>
                              </a:prstGeom>
                              <a:ln>
                                <a:solidFill>
                                  <a:srgbClr val="312e81"/>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5.15pt" to="55.75pt,5.15pt" ID="Conector recto 2" stroked="t" o:allowincell="t" style="position:absolute" wp14:anchorId="024C4BA3">
                      <v:stroke color="#312e81" weight="19080" joinstyle="miter" endcap="flat"/>
                      <v:fill o:detectmouseclick="t" on="false"/>
                      <w10:wrap type="none"/>
                    </v:line>
                  </w:pict>
                </mc:Fallback>
              </mc:AlternateContent>
            </w:r>
          </w:p>
        </w:tc>
        <w:tc>
          <w:tcPr>
            <w:tcW w:w="1333" w:type="dxa"/>
            <w:tcBorders>
              <w:top w:val="nil"/>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t>D</w:t>
            </w:r>
          </w:p>
        </w:tc>
      </w:tr>
      <w:tr>
        <w:trPr>
          <w:trHeight w:val="283" w:hRule="atLeast"/>
        </w:trPr>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99" name="Imagen45"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45" descr="Badge Tick1 con relleno sólido"/>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220980" cy="220980"/>
                          </a:xfrm>
                          <a:prstGeom prst="rect">
                            <a:avLst/>
                          </a:prstGeom>
                          <a:noFill/>
                        </pic:spPr>
                      </pic:pic>
                    </a:graphicData>
                  </a:graphic>
                </wp:inline>
              </w:drawing>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4"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00" name="Imagen46"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46" descr="Badge Tick1 con relleno sólido"/>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220980" cy="220980"/>
                          </a:xfrm>
                          <a:prstGeom prst="rect">
                            <a:avLst/>
                          </a:prstGeom>
                          <a:noFill/>
                        </pic:spPr>
                      </pic:pic>
                    </a:graphicData>
                  </a:graphic>
                </wp:inline>
              </w:drawing>
            </w:r>
          </w:p>
        </w:tc>
        <w:tc>
          <w:tcPr>
            <w:tcW w:w="1332"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r>
          </w:p>
        </w:tc>
        <w:tc>
          <w:tcPr>
            <w:tcW w:w="1333" w:type="dxa"/>
            <w:tcBorders>
              <w:top w:val="single" w:sz="12" w:space="0" w:color="FFFFFF"/>
              <w:left w:val="single" w:sz="12" w:space="0" w:color="FFFFFF"/>
              <w:bottom w:val="single" w:sz="12" w:space="0" w:color="FFFFFF"/>
              <w:right w:val="single" w:sz="12" w:space="0" w:color="FFFFFF"/>
            </w:tcBorders>
            <w:vAlign w:val="center"/>
          </w:tcPr>
          <w:p>
            <w:pPr>
              <w:pStyle w:val="Normal"/>
              <w:widowControl/>
              <w:spacing w:lineRule="auto" w:line="240" w:before="0" w:after="80"/>
              <w:jc w:val="center"/>
              <w:rPr>
                <w:rFonts w:eastAsia="Calibri" w:cs="Calibri"/>
                <w:kern w:val="0"/>
                <w:sz w:val="22"/>
                <w:szCs w:val="22"/>
                <w:lang w:eastAsia="es-MX" w:bidi="ar-SA"/>
              </w:rPr>
            </w:pPr>
            <w:r>
              <w:rPr>
                <w:rFonts w:eastAsia="Calibri" w:cs="Calibri"/>
                <w:kern w:val="0"/>
                <w:sz w:val="22"/>
                <w:szCs w:val="22"/>
                <w:lang w:eastAsia="es-MX" w:bidi="ar-SA"/>
              </w:rPr>
              <w:drawing>
                <wp:inline distT="0" distB="0" distL="0" distR="0">
                  <wp:extent cx="220980" cy="220980"/>
                  <wp:effectExtent l="0" t="0" r="0" b="0"/>
                  <wp:docPr id="101" name="Imagen47" descr="Badge Tick1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47" descr="Badge Tick1 con relleno sólido"/>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220980" cy="220980"/>
                          </a:xfrm>
                          <a:prstGeom prst="rect">
                            <a:avLst/>
                          </a:prstGeom>
                          <a:noFill/>
                        </pic:spPr>
                      </pic:pic>
                    </a:graphicData>
                  </a:graphic>
                </wp:inline>
              </w:drawing>
            </w:r>
          </w:p>
        </w:tc>
      </w:tr>
    </w:tbl>
    <w:p>
      <w:pPr>
        <w:pStyle w:val="Normal"/>
        <w:rPr/>
      </w:pPr>
      <w:r>
        <w:rPr/>
      </w:r>
    </w:p>
    <w:p>
      <w:pPr>
        <w:pStyle w:val="Normal"/>
        <w:spacing w:before="160" w:after="80"/>
        <w:rPr/>
      </w:pPr>
      <w:r>
        <w:rPr>
          <w:b/>
          <w:bCs/>
          <w:color w:val="312E81"/>
        </w:rPr>
        <w:t>Objetivo</w:t>
      </w:r>
    </w:p>
    <w:p>
      <w:pPr>
        <w:pStyle w:val="Normal"/>
        <w:rPr>
          <w:rFonts w:ascii="Times New Roman" w:hAnsi="Times New Roman"/>
          <w:lang w:val="es-MX"/>
        </w:rPr>
      </w:pPr>
      <w:r>
        <w:rPr/>
        <w:t xml:space="preserve">Esta prueba verifica que la </w:t>
      </w:r>
      <w:r>
        <w:rPr>
          <w:rStyle w:val="s1"/>
          <w:b/>
          <w:bCs/>
        </w:rPr>
        <w:t>Central Eléctrica</w:t>
      </w:r>
      <w:r>
        <w:rPr/>
        <w:t xml:space="preserve"> cuente con la evidencia documental asociada a los requerimientos generales de administración del sistema, incluyendo esquemas de control, esquemas de protección, prioridad entre protección y control, intercambio de información, instrumentación y modelos de simulación.</w:t>
      </w:r>
    </w:p>
    <w:p>
      <w:pPr>
        <w:pStyle w:val="Normal"/>
        <w:rPr/>
      </w:pPr>
      <w:r>
        <w:rPr/>
      </w:r>
    </w:p>
    <w:p>
      <w:pPr>
        <w:pStyle w:val="Normal"/>
        <w:rPr/>
      </w:pPr>
      <w:r>
        <w:rPr/>
        <w:t xml:space="preserve">El criterio de evaluación se toma del </w:t>
      </w:r>
      <w:r>
        <w:rPr>
          <w:rStyle w:val="s1"/>
          <w:b/>
          <w:bCs/>
        </w:rPr>
        <w:t>Anexo 5 del Procedimiento de Operación para la Declaración de Entrada en Operación Comercial de Centrales Eléctricas y Centros de Carga</w:t>
      </w:r>
      <w:r>
        <w:rPr/>
        <w:t xml:space="preserve">, en el apartado de pruebas por Central Eléctrica para </w:t>
      </w:r>
      <w:r>
        <w:rPr>
          <w:rStyle w:val="s1"/>
          <w:b/>
          <w:bCs/>
        </w:rPr>
        <w:t>Centrales Eléctricas Síncronas</w:t>
      </w:r>
      <w:r>
        <w:rPr/>
        <w:t xml:space="preserve">, donde se establecen los </w:t>
      </w:r>
      <w:r>
        <w:rPr>
          <w:rStyle w:val="s1"/>
          <w:b/>
          <w:bCs/>
        </w:rPr>
        <w:t>Requerimientos Generales de Administración del Sistema</w:t>
      </w:r>
      <w:r>
        <w:rPr/>
        <w:t xml:space="preserve">. </w:t>
      </w:r>
      <w:r>
        <w:rPr>
          <w:rStyle w:val="apple-converted-space"/>
        </w:rPr>
        <w:t> </w:t>
      </w:r>
    </w:p>
    <w:p>
      <w:pPr>
        <w:pStyle w:val="Normal"/>
        <w:rPr/>
      </w:pPr>
      <w:r>
        <w:rPr/>
      </w:r>
    </w:p>
    <w:p>
      <w:pPr>
        <w:pStyle w:val="Normal"/>
        <w:rPr/>
      </w:pPr>
      <w:r>
        <w:rPr/>
        <w:t xml:space="preserve">El fundamento técnico corresponde al </w:t>
      </w:r>
      <w:r>
        <w:rPr>
          <w:rStyle w:val="s1"/>
          <w:b/>
          <w:bCs/>
        </w:rPr>
        <w:t>Código de Red 2.0</w:t>
      </w:r>
      <w:r>
        <w:rPr/>
        <w:t xml:space="preserve">, dentro del </w:t>
      </w:r>
      <w:r>
        <w:rPr>
          <w:rStyle w:val="s1"/>
          <w:b/>
          <w:bCs/>
        </w:rPr>
        <w:t>Manual Regulatorio de Requerimientos Técnicos para la Interconexión de Centrales Eléctricas al Sistema Eléctrico Nacional</w:t>
      </w:r>
      <w:r>
        <w:rPr/>
        <w:t xml:space="preserve">, </w:t>
      </w:r>
      <w:r>
        <w:rPr>
          <w:rStyle w:val="s1"/>
          <w:b/>
          <w:bCs/>
        </w:rPr>
        <w:t>Capítulo 6</w:t>
      </w:r>
      <w:r>
        <w:rPr/>
        <w:t>, relativo a los requerimientos generales de administración del SEN para Centrales Eléctricas tipo B.</w:t>
      </w:r>
    </w:p>
    <w:p>
      <w:pPr>
        <w:pStyle w:val="Normal"/>
        <w:spacing w:before="160" w:after="80"/>
        <w:rPr/>
      </w:pPr>
      <w:r>
        <w:rPr>
          <w:b/>
          <w:bCs/>
          <w:color w:val="312E81"/>
        </w:rPr>
        <w:t>Condiciones y desarrollo de la prueba</w:t>
      </w:r>
    </w:p>
    <w:p>
      <w:pPr>
        <w:pStyle w:val="ListParagraph"/>
        <w:numPr>
          <w:ilvl w:val="0"/>
          <w:numId w:val="12"/>
        </w:numPr>
        <w:rPr/>
      </w:pPr>
      <w:r>
        <w:rPr/>
        <w:t>Integrar la evidencia documental de los esquemas de control y ajustes disponibles para la Central Eléctrica.</w:t>
      </w:r>
    </w:p>
    <w:p>
      <w:pPr>
        <w:pStyle w:val="ListParagraph"/>
        <w:numPr>
          <w:ilvl w:val="0"/>
          <w:numId w:val="12"/>
        </w:numPr>
        <w:rPr/>
      </w:pPr>
      <w:r>
        <w:rPr/>
        <w:t>Verificar la documentación de esquemas de acción remedial, en caso de que resulten aplicables al proyecto.</w:t>
      </w:r>
    </w:p>
    <w:p>
      <w:pPr>
        <w:pStyle w:val="ListParagraph"/>
        <w:numPr>
          <w:ilvl w:val="0"/>
          <w:numId w:val="12"/>
        </w:numPr>
        <w:rPr/>
      </w:pPr>
      <w:r>
        <w:rPr/>
        <w:t>Integrar los esquemas de protección y ajustes asociados a la Central Eléctrica, Unidad de Generación, transformador, servicios auxiliares y Punto de Interconexión.</w:t>
      </w:r>
    </w:p>
    <w:p>
      <w:pPr>
        <w:pStyle w:val="ListParagraph"/>
        <w:numPr>
          <w:ilvl w:val="0"/>
          <w:numId w:val="12"/>
        </w:numPr>
        <w:rPr/>
      </w:pPr>
      <w:r>
        <w:rPr/>
        <w:t>Revisar la documentación de prioridad entre esquemas de protección y funciones de control.</w:t>
      </w:r>
    </w:p>
    <w:p>
      <w:pPr>
        <w:pStyle w:val="ListParagraph"/>
        <w:numPr>
          <w:ilvl w:val="0"/>
          <w:numId w:val="12"/>
        </w:numPr>
        <w:rPr/>
      </w:pPr>
      <w:r>
        <w:rPr/>
        <w:t>Integrar la evidencia del intercambio de información en tiempo real o bajo demanda con CENACE, conforme a los requerimientos aplicables durante la validación técnica.</w:t>
      </w:r>
    </w:p>
    <w:p>
      <w:pPr>
        <w:pStyle w:val="ListParagraph"/>
        <w:numPr>
          <w:ilvl w:val="0"/>
          <w:numId w:val="12"/>
        </w:numPr>
        <w:rPr/>
      </w:pPr>
      <w:r>
        <w:rPr/>
        <w:t>Confirmar que la Central Eléctrica cuente con instrumentación para el registro de variables eléctricas principales.</w:t>
      </w:r>
    </w:p>
    <w:p>
      <w:pPr>
        <w:pStyle w:val="ListParagraph"/>
        <w:numPr>
          <w:ilvl w:val="0"/>
          <w:numId w:val="12"/>
        </w:numPr>
        <w:rPr/>
      </w:pPr>
      <w:r>
        <w:rPr/>
        <w:t>Integrar la referencia a los modelos de simulación de la Central Eléctrica, considerando que su verificación específica se desarrolla en la prueba correspondiente a modelos.</w:t>
      </w:r>
    </w:p>
    <w:p>
      <w:pPr>
        <w:pStyle w:val="Normal"/>
        <w:rPr/>
      </w:pPr>
      <w:r>
        <w:rPr/>
      </w:r>
    </w:p>
    <w:p>
      <w:pPr>
        <w:pStyle w:val="Normal"/>
        <w:rPr/>
      </w:pPr>
      <w:r>
        <w:rPr>
          <w:b/>
          <w:bCs/>
          <w:color w:val="312E81"/>
        </w:rPr>
        <w:t>Señales requeridas</w:t>
      </w:r>
    </w:p>
    <w:p>
      <w:pPr>
        <w:sectPr>
          <w:type w:val="continuous"/>
          <w:pgSz w:w="12240" w:h="15840"/>
          <w:pgMar w:left="1440" w:right="1440" w:gutter="0" w:header="708" w:top="1434" w:footer="708" w:bottom="1440"/>
          <w:formProt w:val="false"/>
          <w:titlePg/>
          <w:textDirection w:val="lrTb"/>
          <w:docGrid w:type="default" w:linePitch="360" w:charSpace="0"/>
        </w:sectPr>
      </w:pPr>
    </w:p>
    <w:p>
      <w:pPr>
        <w:pStyle w:val="Normal"/>
        <w:spacing w:before="160" w:after="80"/>
        <w:rPr/>
      </w:pPr>
      <w:r>
        <w:rPr/>
      </w:r>
    </w:p>
    <w:p>
      <w:pPr>
        <w:pStyle w:val="Normal"/>
        <w:spacing w:before="160" w:after="80"/>
        <w:rPr/>
      </w:pPr>
      <w:r>
        <w:rPr/>
        <w:t>No aplica para medición directa en campo, al tratarse de una verificación documental de los requerimientos generales de administración del sistema.</w:t>
      </w:r>
    </w:p>
    <w:p>
      <w:pPr>
        <w:pStyle w:val="Normal"/>
        <w:spacing w:before="160" w:after="80"/>
        <w:rPr/>
      </w:pPr>
      <w:r>
        <w:rPr>
          <w:b/>
          <w:bCs/>
          <w:color w:val="312E81"/>
        </w:rPr>
        <w:t>Criterio de aceptación</w:t>
      </w:r>
    </w:p>
    <w:p>
      <w:pPr>
        <w:pStyle w:val="Normal"/>
        <w:spacing w:before="160" w:after="80"/>
        <w:rPr/>
      </w:pPr>
      <w:r>
        <w:rPr/>
        <w:t>La prueba se considera satisfactoria cuando se presenta evidencia documental suficiente de los siguientes requerimientos:</w:t>
      </w:r>
    </w:p>
    <w:p>
      <w:pPr>
        <w:pStyle w:val="Heading3"/>
        <w:rPr/>
      </w:pPr>
      <w:bookmarkStart w:id="27" w:name="_Toc230532615"/>
      <w:r>
        <w:rPr/>
        <w:t>Esquemas de control y ajustes</w:t>
      </w:r>
      <w:bookmarkEnd w:id="27"/>
    </w:p>
    <w:p>
      <w:pPr>
        <w:pStyle w:val="Normal"/>
        <w:rPr/>
      </w:pPr>
      <w:r>
        <w:rPr/>
      </w:r>
    </w:p>
    <w:p>
      <w:pPr>
        <w:pStyle w:val="ListParagraph"/>
        <w:numPr>
          <w:ilvl w:val="0"/>
          <w:numId w:val="13"/>
        </w:numPr>
        <w:rPr/>
      </w:pPr>
      <w:r>
        <w:rPr/>
        <w:t>Esquemas de acción remedial, cuando apliquen.</w:t>
      </w:r>
    </w:p>
    <w:p>
      <w:pPr>
        <w:pStyle w:val="Heading3"/>
        <w:rPr/>
      </w:pPr>
      <w:bookmarkStart w:id="28" w:name="_Toc230532616"/>
      <w:r>
        <w:rPr/>
        <w:t>Esquemas de protección y ajustes</w:t>
      </w:r>
      <w:bookmarkEnd w:id="28"/>
    </w:p>
    <w:p>
      <w:pPr>
        <w:pStyle w:val="Normal"/>
        <w:rPr/>
      </w:pPr>
      <w:r>
        <w:rPr/>
      </w:r>
    </w:p>
    <w:p>
      <w:pPr>
        <w:pStyle w:val="ListParagraph"/>
        <w:numPr>
          <w:ilvl w:val="1"/>
          <w:numId w:val="14"/>
        </w:numPr>
        <w:rPr/>
      </w:pPr>
      <w:r>
        <w:rPr/>
        <w:t>Corto circuito externo e interno.</w:t>
      </w:r>
    </w:p>
    <w:p>
      <w:pPr>
        <w:pStyle w:val="ListParagraph"/>
        <w:numPr>
          <w:ilvl w:val="1"/>
          <w:numId w:val="14"/>
        </w:numPr>
        <w:rPr/>
      </w:pPr>
      <w:r>
        <w:rPr/>
        <w:t>Carga asimétrica o secuencia de fase negativa.</w:t>
      </w:r>
    </w:p>
    <w:p>
      <w:pPr>
        <w:pStyle w:val="ListParagraph"/>
        <w:numPr>
          <w:ilvl w:val="1"/>
          <w:numId w:val="14"/>
        </w:numPr>
        <w:rPr/>
      </w:pPr>
      <w:r>
        <w:rPr/>
        <w:t>Sobrecarga del estator o del rotor.</w:t>
      </w:r>
    </w:p>
    <w:p>
      <w:pPr>
        <w:pStyle w:val="ListParagraph"/>
        <w:numPr>
          <w:ilvl w:val="1"/>
          <w:numId w:val="14"/>
        </w:numPr>
        <w:rPr/>
      </w:pPr>
      <w:r>
        <w:rPr/>
        <w:t>Sobreexcitación o baja excitación.</w:t>
      </w:r>
    </w:p>
    <w:p>
      <w:pPr>
        <w:pStyle w:val="ListParagraph"/>
        <w:numPr>
          <w:ilvl w:val="1"/>
          <w:numId w:val="14"/>
        </w:numPr>
        <w:rPr/>
      </w:pPr>
      <w:r>
        <w:rPr/>
        <w:t>Sobretensión o baja tensión en terminales de la Central Eléctrica.</w:t>
      </w:r>
    </w:p>
    <w:p>
      <w:pPr>
        <w:pStyle w:val="ListParagraph"/>
        <w:numPr>
          <w:ilvl w:val="1"/>
          <w:numId w:val="14"/>
        </w:numPr>
        <w:rPr/>
      </w:pPr>
      <w:r>
        <w:rPr/>
        <w:t>Sobretensión o baja tensión en el Punto de Interconexión.</w:t>
      </w:r>
    </w:p>
    <w:p>
      <w:pPr>
        <w:pStyle w:val="ListParagraph"/>
        <w:numPr>
          <w:ilvl w:val="1"/>
          <w:numId w:val="14"/>
        </w:numPr>
        <w:rPr/>
      </w:pPr>
      <w:r>
        <w:rPr/>
        <w:t>Sobretensión o baja tensión en servicios auxiliares.</w:t>
      </w:r>
    </w:p>
    <w:p>
      <w:pPr>
        <w:pStyle w:val="ListParagraph"/>
        <w:numPr>
          <w:ilvl w:val="1"/>
          <w:numId w:val="14"/>
        </w:numPr>
        <w:rPr/>
      </w:pPr>
      <w:r>
        <w:rPr/>
        <w:t>Oscilaciones de potencia entre áreas.</w:t>
      </w:r>
    </w:p>
    <w:p>
      <w:pPr>
        <w:pStyle w:val="ListParagraph"/>
        <w:numPr>
          <w:ilvl w:val="1"/>
          <w:numId w:val="14"/>
        </w:numPr>
        <w:rPr/>
      </w:pPr>
      <w:r>
        <w:rPr/>
        <w:t>Corriente de energización o inrush.</w:t>
      </w:r>
    </w:p>
    <w:p>
      <w:pPr>
        <w:pStyle w:val="ListParagraph"/>
        <w:numPr>
          <w:ilvl w:val="1"/>
          <w:numId w:val="14"/>
        </w:numPr>
        <w:rPr/>
      </w:pPr>
      <w:r>
        <w:rPr/>
        <w:t>Operación asíncrona.</w:t>
      </w:r>
    </w:p>
    <w:p>
      <w:pPr>
        <w:pStyle w:val="ListParagraph"/>
        <w:numPr>
          <w:ilvl w:val="1"/>
          <w:numId w:val="14"/>
        </w:numPr>
        <w:rPr/>
      </w:pPr>
      <w:r>
        <w:rPr/>
        <w:t>Esfuerzos torsionales inadmisibles o resonancia subsíncrona.</w:t>
      </w:r>
    </w:p>
    <w:p>
      <w:pPr>
        <w:pStyle w:val="ListParagraph"/>
        <w:numPr>
          <w:ilvl w:val="1"/>
          <w:numId w:val="14"/>
        </w:numPr>
        <w:rPr/>
      </w:pPr>
      <w:r>
        <w:rPr/>
        <w:t>Protección de la línea de interconexión entre la Central Eléctrica y la Red Eléctrica.</w:t>
      </w:r>
    </w:p>
    <w:p>
      <w:pPr>
        <w:pStyle w:val="ListParagraph"/>
        <w:numPr>
          <w:ilvl w:val="1"/>
          <w:numId w:val="14"/>
        </w:numPr>
        <w:rPr/>
      </w:pPr>
      <w:r>
        <w:rPr/>
        <w:t>Protección del transformador de Unidad de Central Eléctrica.</w:t>
      </w:r>
    </w:p>
    <w:p>
      <w:pPr>
        <w:pStyle w:val="ListParagraph"/>
        <w:numPr>
          <w:ilvl w:val="1"/>
          <w:numId w:val="14"/>
        </w:numPr>
        <w:rPr/>
      </w:pPr>
      <w:r>
        <w:rPr/>
        <w:t>Protecciones de respaldo y ante falla de equipo de seccionamiento.</w:t>
      </w:r>
    </w:p>
    <w:p>
      <w:pPr>
        <w:pStyle w:val="ListParagraph"/>
        <w:numPr>
          <w:ilvl w:val="1"/>
          <w:numId w:val="14"/>
        </w:numPr>
        <w:rPr/>
      </w:pPr>
      <w:r>
        <w:rPr/>
        <w:t>Sobreflujo magnético, V/Hz.</w:t>
      </w:r>
    </w:p>
    <w:p>
      <w:pPr>
        <w:pStyle w:val="ListParagraph"/>
        <w:numPr>
          <w:ilvl w:val="1"/>
          <w:numId w:val="14"/>
        </w:numPr>
        <w:rPr/>
      </w:pPr>
      <w:r>
        <w:rPr/>
        <w:t>Potencia inversa.</w:t>
      </w:r>
    </w:p>
    <w:p>
      <w:pPr>
        <w:pStyle w:val="ListParagraph"/>
        <w:numPr>
          <w:ilvl w:val="1"/>
          <w:numId w:val="14"/>
        </w:numPr>
        <w:rPr/>
      </w:pPr>
      <w:r>
        <w:rPr/>
        <w:t>Razón de cambio de la frecuencia.</w:t>
      </w:r>
    </w:p>
    <w:p>
      <w:pPr>
        <w:pStyle w:val="ListParagraph"/>
        <w:numPr>
          <w:ilvl w:val="1"/>
          <w:numId w:val="14"/>
        </w:numPr>
        <w:rPr/>
      </w:pPr>
      <w:r>
        <w:rPr/>
        <w:t>Desplazamiento de tensión del neutro.</w:t>
      </w:r>
    </w:p>
    <w:p>
      <w:pPr>
        <w:pStyle w:val="ListParagraph"/>
        <w:numPr>
          <w:ilvl w:val="1"/>
          <w:numId w:val="14"/>
        </w:numPr>
        <w:rPr/>
      </w:pPr>
      <w:r>
        <w:rPr/>
        <w:t>Verificación de sincronismo.</w:t>
      </w:r>
    </w:p>
    <w:p>
      <w:pPr>
        <w:pStyle w:val="ListParagraph"/>
        <w:numPr>
          <w:ilvl w:val="1"/>
          <w:numId w:val="14"/>
        </w:numPr>
        <w:rPr/>
      </w:pPr>
      <w:r>
        <w:rPr/>
        <w:t>Pérdida de campo.</w:t>
      </w:r>
    </w:p>
    <w:p>
      <w:pPr>
        <w:pStyle w:val="Heading3"/>
        <w:rPr/>
      </w:pPr>
      <w:bookmarkStart w:id="29" w:name="_Toc230532617"/>
      <w:r>
        <w:rPr/>
        <w:t>Prioridad de protección y control</w:t>
      </w:r>
      <w:bookmarkEnd w:id="29"/>
    </w:p>
    <w:p>
      <w:pPr>
        <w:pStyle w:val="Normal"/>
        <w:rPr/>
      </w:pPr>
      <w:r>
        <w:rPr/>
      </w:r>
    </w:p>
    <w:p>
      <w:pPr>
        <w:pStyle w:val="ListParagraph"/>
        <w:numPr>
          <w:ilvl w:val="1"/>
          <w:numId w:val="14"/>
        </w:numPr>
        <w:rPr/>
      </w:pPr>
      <w:r>
        <w:rPr/>
        <w:t>Protecciones del sistema y protecciones de la Central Eléctrica.</w:t>
      </w:r>
    </w:p>
    <w:p>
      <w:pPr>
        <w:pStyle w:val="ListParagraph"/>
        <w:numPr>
          <w:ilvl w:val="1"/>
          <w:numId w:val="14"/>
        </w:numPr>
        <w:rPr/>
      </w:pPr>
      <w:r>
        <w:rPr/>
        <w:t>Control de frecuencia mediante ajuste de potencia activa.</w:t>
      </w:r>
    </w:p>
    <w:p>
      <w:pPr>
        <w:pStyle w:val="ListParagraph"/>
        <w:numPr>
          <w:ilvl w:val="1"/>
          <w:numId w:val="14"/>
        </w:numPr>
        <w:rPr/>
      </w:pPr>
      <w:r>
        <w:rPr/>
        <w:t>Restricción de potencia activa.</w:t>
      </w:r>
    </w:p>
    <w:p>
      <w:pPr>
        <w:pStyle w:val="ListParagraph"/>
        <w:numPr>
          <w:ilvl w:val="1"/>
          <w:numId w:val="14"/>
        </w:numPr>
        <w:rPr/>
      </w:pPr>
      <w:r>
        <w:rPr/>
        <w:t>Limitación de rampa de potencia activa.</w:t>
      </w:r>
    </w:p>
    <w:p>
      <w:pPr>
        <w:pStyle w:val="Heading3"/>
        <w:rPr/>
      </w:pPr>
      <w:bookmarkStart w:id="30" w:name="_Toc230532618"/>
      <w:r>
        <w:rPr/>
        <w:t>Intercambio de información</w:t>
      </w:r>
      <w:bookmarkEnd w:id="30"/>
    </w:p>
    <w:p>
      <w:pPr>
        <w:pStyle w:val="Normal"/>
        <w:spacing w:before="160" w:after="80"/>
        <w:rPr/>
      </w:pPr>
      <w:r>
        <w:rPr/>
        <w:t>La Central Eléctrica deberá contar con los medios para intercambiar información en tiempo real o bajo demanda con CENACE, con estampa de tiempo conforme a lo definido durante la validación de requerimientos técnicos.</w:t>
      </w:r>
    </w:p>
    <w:p>
      <w:pPr>
        <w:pStyle w:val="Heading3"/>
        <w:rPr/>
      </w:pPr>
      <w:bookmarkStart w:id="31" w:name="_Toc230532619"/>
      <w:r>
        <w:rPr/>
        <w:t>Instrumentación para Centrales Eléctricas</w:t>
      </w:r>
      <w:bookmarkEnd w:id="31"/>
    </w:p>
    <w:p>
      <w:pPr>
        <w:pStyle w:val="Normal"/>
        <w:spacing w:before="160" w:after="80"/>
        <w:rPr/>
      </w:pPr>
      <w:r>
        <w:rPr/>
        <w:t>La Central Eléctrica deberá contar con instrumentación para registrar, al menos:</w:t>
      </w:r>
    </w:p>
    <w:p>
      <w:pPr>
        <w:pStyle w:val="ListParagraph"/>
        <w:numPr>
          <w:ilvl w:val="1"/>
          <w:numId w:val="14"/>
        </w:numPr>
        <w:rPr/>
      </w:pPr>
      <w:r>
        <w:rPr/>
        <w:t>Tensión.</w:t>
      </w:r>
    </w:p>
    <w:p>
      <w:pPr>
        <w:pStyle w:val="ListParagraph"/>
        <w:numPr>
          <w:ilvl w:val="1"/>
          <w:numId w:val="14"/>
        </w:numPr>
        <w:rPr/>
      </w:pPr>
      <w:r>
        <w:rPr/>
        <w:t>Potencia activa.</w:t>
      </w:r>
    </w:p>
    <w:p>
      <w:pPr>
        <w:pStyle w:val="ListParagraph"/>
        <w:numPr>
          <w:ilvl w:val="1"/>
          <w:numId w:val="14"/>
        </w:numPr>
        <w:rPr/>
      </w:pPr>
      <w:r>
        <w:rPr/>
        <w:t>Potencia reactiva.</w:t>
      </w:r>
    </w:p>
    <w:p>
      <w:pPr>
        <w:pStyle w:val="ListParagraph"/>
        <w:numPr>
          <w:ilvl w:val="1"/>
          <w:numId w:val="14"/>
        </w:numPr>
        <w:rPr/>
      </w:pPr>
      <w:r>
        <w:rPr/>
        <w:t>Frecuencia.</w:t>
      </w:r>
    </w:p>
    <w:p>
      <w:pPr>
        <w:pStyle w:val="Normal"/>
        <w:spacing w:before="160" w:after="80"/>
        <w:rPr/>
      </w:pPr>
      <w:r>
        <w:rPr/>
      </w:r>
    </w:p>
    <w:p>
      <w:pPr>
        <w:pStyle w:val="Heading3"/>
        <w:rPr/>
      </w:pPr>
      <w:bookmarkStart w:id="32" w:name="_Toc230532620"/>
      <w:r>
        <w:rPr/>
        <w:t>Modelos de simulación</w:t>
      </w:r>
      <w:bookmarkEnd w:id="32"/>
    </w:p>
    <w:p>
      <w:pPr>
        <w:pStyle w:val="Normal"/>
        <w:spacing w:before="160" w:after="80"/>
        <w:rPr/>
      </w:pPr>
      <w:r>
        <w:rPr/>
        <w:t>La Central Eléctrica deberá contar con modelos de simulación que representen adecuadamente su comportamiento. La validación específica de dichos modelos se documenta en la prueba correspondiente a Modelos de Simulación.</w:t>
      </w:r>
    </w:p>
    <w:p>
      <w:pPr>
        <w:pStyle w:val="Normal"/>
        <w:spacing w:before="160" w:after="80"/>
        <w:rPr/>
      </w:pPr>
      <w:r>
        <w:rPr/>
      </w:r>
    </w:p>
    <w:p>
      <w:pPr>
        <w:pStyle w:val="Normal"/>
        <w:spacing w:before="160" w:after="80"/>
        <w:rPr/>
      </w:pPr>
      <w:r>
        <w:rPr>
          <w:b/>
          <w:bCs/>
          <w:color w:val="312E81"/>
        </w:rPr>
        <w:t>Resultados de la prueba</w:t>
      </w:r>
    </w:p>
    <w:p>
      <w:pPr>
        <w:pStyle w:val="Normal"/>
        <w:spacing w:before="0" w:after="120"/>
        <w:rPr/>
      </w:pPr>
      <w:r>
        <w:rPr/>
        <w:t>La evidencia de esta prueba corresponderá a la relación documental de los esquemas, ajustes, registros, configuraciones y documentos técnicos aplicables a los requerimientos generales de administración del sistema.</w:t>
      </w:r>
    </w:p>
    <w:p>
      <w:pPr>
        <w:pStyle w:val="Normal"/>
        <w:spacing w:before="0" w:after="120"/>
        <w:rPr/>
      </w:pPr>
      <w:r>
        <w:rPr/>
      </w:r>
    </w:p>
    <w:p>
      <w:pPr>
        <w:pStyle w:val="Normal"/>
        <w:spacing w:before="0" w:after="120"/>
        <w:rPr/>
      </w:pPr>
      <w:r>
        <w:rPr/>
        <w:t>La información se presentará mediante una matriz de cumplimiento que identifique el requerimiento, el documento de soporte, la ubicación de la evidencia y el estatus de revisión.</w:t>
      </w:r>
    </w:p>
    <w:p>
      <w:pPr>
        <w:pStyle w:val="Normal"/>
        <w:rPr/>
      </w:pPr>
      <w:r>
        <w:rPr/>
      </w:r>
      <w:r>
        <w:br w:type="page"/>
      </w:r>
    </w:p>
    <w:p>
      <w:pPr>
        <w:pStyle w:val="Normal"/>
        <w:spacing w:before="0" w:after="0"/>
        <w:rPr/>
      </w:pPr>
      <w:r>
        <w:rPr/>
      </w:r>
    </w:p>
    <w:p>
      <w:pPr>
        <w:pStyle w:val="Normal"/>
        <w:rPr/>
      </w:pPr>
      <w:r>
        <w:rPr/>
        <w:t>3.19. Prueba 42 - Capacidad Instalada Neta, carga máxima, secuencias de arranque y paro, y funcionamiento de sistemas de control, protección y servicios auxiliares</w:t>
      </w:r>
    </w:p>
    <w:p>
      <w:pPr>
        <w:pStyle w:val="Normal"/>
        <w:rPr/>
      </w:pPr>
      <w:r>
        <w:rPr/>
        <w:t>Objetivo</w:t>
      </w:r>
    </w:p>
    <w:p>
      <w:pPr>
        <w:pStyle w:val="Normal"/>
        <w:rPr/>
      </w:pPr>
      <w:r>
        <w:rPr/>
        <w:t>Documentar la evidencia operativa relacionada con la capacidad instalada neta, carga máxima, secuencias de arranque y paro, así como el funcionamiento de los sistemas de control, protección y servicios auxiliares de la Central Eléctrica.</w:t>
      </w:r>
    </w:p>
    <w:p>
      <w:pPr>
        <w:pStyle w:val="Normal"/>
        <w:rPr/>
      </w:pPr>
      <w:r>
        <w:rPr/>
        <w:t>Criterio de aceptación</w:t>
      </w:r>
    </w:p>
    <w:p>
      <w:pPr>
        <w:pStyle w:val="Normal"/>
        <w:rPr/>
      </w:pPr>
      <w:r>
        <w:rPr/>
        <w:t>La evidencia deberá demostrar operación satisfactoria y confiable conforme a los requerimientos aplicables del procedimiento de entrada en operación comercial.</w:t>
      </w:r>
    </w:p>
    <w:p>
      <w:pPr>
        <w:pStyle w:val="Normal"/>
        <w:rPr/>
      </w:pPr>
      <w:r>
        <w:rPr/>
      </w:r>
    </w:p>
    <w:p>
      <w:pPr>
        <w:pStyle w:val="Normal"/>
        <w:rPr/>
      </w:pPr>
      <w:r>
        <w:rPr/>
        <w:t>3.20. Prueba 43 - Operación en automático confiable</w:t>
      </w:r>
    </w:p>
    <w:p>
      <w:pPr>
        <w:pStyle w:val="Normal"/>
        <w:rPr/>
      </w:pPr>
      <w:r>
        <w:rPr/>
        <w:t>Objetivo</w:t>
      </w:r>
    </w:p>
    <w:p>
      <w:pPr>
        <w:pStyle w:val="Normal"/>
        <w:rPr/>
      </w:pPr>
      <w:r>
        <w:rPr/>
        <w:t>Documentar la operación confiable de la Central Eléctrica con los controles de los equipos y de la Central Eléctrica en modo automático.</w:t>
      </w:r>
    </w:p>
    <w:p>
      <w:pPr>
        <w:pStyle w:val="Normal"/>
        <w:rPr/>
      </w:pPr>
      <w:r>
        <w:rPr/>
        <w:t>Criterio de aceptación</w:t>
      </w:r>
    </w:p>
    <w:p>
      <w:pPr>
        <w:pStyle w:val="Normal"/>
        <w:rPr/>
      </w:pPr>
      <w:r>
        <w:rPr/>
        <w:t>La evidencia deberá demostrar operación confiable durante el periodo requerido, considerando las restricciones de falla permisibles y la disponibilidad de registros operativos.</w:t>
      </w:r>
    </w:p>
    <w:p>
      <w:pPr>
        <w:pStyle w:val="Normal"/>
        <w:rPr/>
      </w:pPr>
      <w:r>
        <w:rPr/>
      </w:r>
    </w:p>
    <w:p>
      <w:pPr>
        <w:pStyle w:val="Normal"/>
        <w:rPr/>
      </w:pPr>
      <w:r>
        <w:rPr/>
        <w:t>3.21. Prueba 44 - Verificación de capacidad instalada neta y consumos</w:t>
      </w:r>
    </w:p>
    <w:p>
      <w:pPr>
        <w:pStyle w:val="Normal"/>
        <w:rPr/>
      </w:pPr>
      <w:r>
        <w:rPr/>
        <w:t>Objetivo</w:t>
      </w:r>
    </w:p>
    <w:p>
      <w:pPr>
        <w:pStyle w:val="Normal"/>
        <w:rPr/>
      </w:pPr>
      <w:r>
        <w:rPr/>
        <w:t>Documentar la verificación de capacidad instalada neta y consumos asociados, cuando resulte aplicable al alcance de la Central Eléctrica y del Centro de Carga.</w:t>
      </w:r>
    </w:p>
    <w:p>
      <w:pPr>
        <w:pStyle w:val="Normal"/>
        <w:rPr/>
      </w:pPr>
      <w:r>
        <w:rPr/>
        <w:t>Criterio de aceptación</w:t>
      </w:r>
    </w:p>
    <w:p>
      <w:pPr>
        <w:pStyle w:val="Normal"/>
        <w:rPr/>
      </w:pPr>
      <w:r>
        <w:rPr/>
        <w:t>La evidencia deberá permitir validar la capacidad y los consumos conforme a los datos operativos registrados y a la documentación técnica de soporte.</w:t>
      </w:r>
    </w:p>
    <w:p>
      <w:pPr>
        <w:pStyle w:val="Normal"/>
        <w:rPr/>
      </w:pPr>
      <w:r>
        <w:rPr/>
      </w:r>
    </w:p>
    <w:p>
      <w:pPr>
        <w:pStyle w:val="Normal"/>
        <w:rPr/>
      </w:pPr>
      <w:r>
        <w:rPr/>
        <w:t>3.22. Prueba 45 - Requerimientos de Calidad de la Potencia</w:t>
      </w:r>
    </w:p>
    <w:p>
      <w:pPr>
        <w:pStyle w:val="Normal"/>
        <w:rPr/>
      </w:pPr>
      <w:r>
        <w:rPr/>
        <w:t>Objetivo</w:t>
      </w:r>
    </w:p>
    <w:p>
      <w:pPr>
        <w:pStyle w:val="Normal"/>
        <w:rPr/>
      </w:pPr>
      <w:r>
        <w:rPr/>
        <w:t>Documentar el cumplimiento de los requerimientos de calidad de la potencia mediante registros de medición en el Punto de Interconexión o Punto de Conexión, según corresponda al alcance del proyecto.</w:t>
      </w:r>
    </w:p>
    <w:p>
      <w:pPr>
        <w:pStyle w:val="Normal"/>
        <w:rPr/>
      </w:pPr>
      <w:r>
        <w:rPr/>
        <w:t>Criterio de aceptación</w:t>
      </w:r>
    </w:p>
    <w:p>
      <w:pPr>
        <w:pStyle w:val="Normal"/>
        <w:rPr/>
      </w:pPr>
      <w:r>
        <w:rPr/>
        <w:t>La evidencia deberá incluir mediciones de al menos 10 días consecutivos y el análisis de cumplimiento de los parámetros aplicables.</w:t>
      </w:r>
    </w:p>
    <w:p>
      <w:pPr>
        <w:pStyle w:val="Normal"/>
        <w:rPr/>
      </w:pPr>
      <w:r>
        <w:rPr/>
      </w:r>
    </w:p>
    <w:p>
      <w:pPr>
        <w:pStyle w:val="Normal"/>
        <w:rPr/>
      </w:pPr>
      <w:r>
        <w:rPr/>
        <w:t>3.23. Pruebas por Centro de Carga</w:t>
      </w:r>
    </w:p>
    <w:p>
      <w:pPr>
        <w:pStyle w:val="Normal"/>
        <w:rPr/>
      </w:pPr>
      <w:r>
        <w:rPr/>
        <w:t>Objetivo</w:t>
      </w:r>
    </w:p>
    <w:p>
      <w:pPr>
        <w:pStyle w:val="Normal"/>
        <w:rPr/>
      </w:pPr>
      <w:r>
        <w:rPr/>
        <w:t>Integrar, cuando corresponda, las pruebas y verificaciones aplicables al Centro de Carga asociado, incluyendo calidad de la potencia, factor de potencia, tensión, frecuencia, protecciones, control, intercambio de información y modelos de simulación conforme al Código de Red.</w:t>
      </w:r>
    </w:p>
    <w:p>
      <w:pPr>
        <w:pStyle w:val="Normal"/>
        <w:rPr/>
      </w:pPr>
      <w:r>
        <w:rPr/>
        <w:t>Nota</w:t>
      </w:r>
    </w:p>
    <w:p>
      <w:pPr>
        <w:pStyle w:val="Normal"/>
        <w:rPr/>
      </w:pPr>
      <w:r>
        <w:rPr/>
        <w:t>Este apartado queda reservado para completar la evidencia específica del Centro de Carga con base en la información operativa y documental disponible.</w:t>
      </w:r>
    </w:p>
    <w:p>
      <w:pPr>
        <w:pStyle w:val="Heading1"/>
        <w:rPr/>
      </w:pPr>
      <w:bookmarkStart w:id="33" w:name="_Toc230532621"/>
      <w:r>
        <w:rPr/>
        <w:t>4. Datos de pruebas</w:t>
      </w:r>
      <w:bookmarkEnd w:id="33"/>
    </w:p>
    <w:p>
      <w:pPr>
        <w:pStyle w:val="Normal"/>
        <w:spacing w:before="0" w:after="120"/>
        <w:rPr/>
      </w:pPr>
      <w:r>
        <w:rPr/>
        <w:t>Las mediciones de las pruebas se pueden encontrar en el folder compartido entregado de forma electrónica.</w:t>
      </w:r>
    </w:p>
    <w:p>
      <w:pPr>
        <w:pStyle w:val="Heading1"/>
        <w:rPr/>
      </w:pPr>
      <w:bookmarkStart w:id="34" w:name="_Toc230532622"/>
      <w:r>
        <w:rPr/>
        <w:t>5. Certificados de Calibración de Equipos de Medición</w:t>
      </w:r>
      <w:bookmarkEnd w:id="34"/>
    </w:p>
    <w:p>
      <w:pPr>
        <w:pStyle w:val="Normal"/>
        <w:spacing w:before="0" w:after="120"/>
        <w:rPr/>
      </w:pPr>
      <w:r>
        <w:rPr/>
        <w:t>Los equipos de medición utilizados para las pruebas por Central son los siguientes; en cada nombre listado se entrega el certificado de calibración:</w:t>
      </w:r>
    </w:p>
    <w:p>
      <w:pPr>
        <w:pStyle w:val="ListParagraph"/>
        <w:numPr>
          <w:ilvl w:val="0"/>
          <w:numId w:val="1"/>
        </w:numPr>
        <w:rPr/>
      </w:pPr>
      <w:r>
        <w:rPr/>
        <w:t>HIOKI MR8847A-100</w:t>
      </w:r>
    </w:p>
    <w:p>
      <w:pPr>
        <w:pStyle w:val="ListParagraph"/>
        <w:numPr>
          <w:ilvl w:val="0"/>
          <w:numId w:val="1"/>
        </w:numPr>
        <w:rPr/>
      </w:pPr>
      <w:r>
        <w:rPr/>
        <w:t>HIOKI PW3390-114</w:t>
      </w:r>
    </w:p>
    <w:p>
      <w:pPr>
        <w:pStyle w:val="Heading1"/>
        <w:rPr/>
      </w:pPr>
      <w:bookmarkStart w:id="35" w:name="_Toc230532623"/>
      <w:r>
        <w:rPr/>
        <w:t>6. Referencias</w:t>
      </w:r>
      <w:bookmarkEnd w:id="35"/>
    </w:p>
    <w:p>
      <w:pPr>
        <w:pStyle w:val="ListParagraph"/>
        <w:numPr>
          <w:ilvl w:val="0"/>
          <w:numId w:val="13"/>
        </w:numPr>
        <w:rPr/>
      </w:pPr>
      <w:r>
        <w:rPr/>
        <w:t>Código de Red, Resolución RES/550/2021 de la Comisión Reguladora de Energía. https://dof.gob.mx/2021/CRE/CRE_311221.pdf</w:t>
      </w:r>
    </w:p>
    <w:p>
      <w:pPr>
        <w:pStyle w:val="ListParagraph"/>
        <w:numPr>
          <w:ilvl w:val="0"/>
          <w:numId w:val="13"/>
        </w:numPr>
        <w:rPr/>
      </w:pPr>
      <w:r>
        <w:rPr/>
        <w:t>Manual para la Interconexión de Centrales Eléctricas y Conexión de Centros de Carga. https://www.diputados.gob.mx/LeyesBiblio/regla/n565.pdf</w:t>
      </w:r>
    </w:p>
    <w:p>
      <w:pPr>
        <w:pStyle w:val="ListParagraph"/>
        <w:numPr>
          <w:ilvl w:val="0"/>
          <w:numId w:val="13"/>
        </w:numPr>
        <w:rPr/>
      </w:pPr>
      <w:r>
        <w:rPr/>
        <w:t>Procedimiento de operación para la declaración de entrada en operación comercial de centrales eléctricas y centros de carga.</w:t>
      </w:r>
    </w:p>
    <w:p>
      <w:pPr>
        <w:pStyle w:val="ListParagraph"/>
        <w:numPr>
          <w:ilvl w:val="0"/>
          <w:numId w:val="13"/>
        </w:numPr>
        <w:spacing w:before="0" w:after="120"/>
        <w:rPr/>
      </w:pPr>
      <w:r>
        <w:rPr/>
        <w:t>Norma Mexicana NMX-J-501-ANCE.</w:t>
      </w:r>
    </w:p>
    <w:sectPr>
      <w:type w:val="continuous"/>
      <w:pgSz w:w="12240" w:h="15840"/>
      <w:pgMar w:left="1440" w:right="1440" w:gutter="0" w:header="708" w:top="1434" w:footer="708" w:bottom="1440"/>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s Te" w:date="2026-07-01T21:28:00Z" w:initials="AT">
    <w:p>
      <w:pPr>
        <w:overflowPunct w:val="false"/>
        <w:spacing w:lineRule="auto" w:line="240"/>
        <w:jc w:val="left"/>
        <w:rPr/>
      </w:pPr>
      <w:r>
        <w:annotationRef/>
      </w:r>
      <w:r>
        <w:rPr>
          <w:rFonts w:eastAsia="Segoe UI" w:ascii="Liberation Serif" w:hAnsi="Liberation Serif" w:cs="Tahoma"/>
          <w:sz w:val="24"/>
          <w:szCs w:val="24"/>
          <w:lang w:eastAsia="en-US" w:bidi="en-US" w:val="es-MX"/>
        </w:rPr>
        <w:t>Mejorar la calidad del diagrama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Helvetica Neue Light">
    <w:charset w:val="00"/>
    <w:family w:val="swiss"/>
    <w:pitch w:val="variable"/>
  </w:font>
  <w:font w:name="Montserrat Medium">
    <w:charset w:val="00"/>
    <w:family w:val="swiss"/>
    <w:pitch w:val="variable"/>
  </w:font>
  <w:font w:name="Montserrat Light">
    <w:charset w:val="00"/>
    <w:family w:val="swiss"/>
    <w:pitch w:val="variable"/>
  </w:font>
  <w:font w:name="Liberation Sans">
    <w:altName w:val="Arial"/>
    <w:charset w:val="00"/>
    <w:family w:val="swiss"/>
    <w:pitch w:val="variable"/>
  </w:font>
  <w:font w:name="Aptos Display">
    <w:charset w:val="00"/>
    <w:family w:val="swiss"/>
    <w:pitch w:val="variable"/>
  </w:font>
  <w:font w:name="Aptos">
    <w:charset w:val="00"/>
    <w:family w:val="swiss"/>
    <w:pitch w:val="variable"/>
  </w:font>
  <w:font w:name="Montserrat">
    <w:charset w:val="00"/>
    <w:family w:val="swiss"/>
    <w:pitch w:val="variable"/>
  </w:font>
  <w:font w:name="Helvetica Neue">
    <w:charset w:val="00"/>
    <w:family w:val="swiss"/>
    <w:pitch w:val="variable"/>
  </w:font>
  <w:font w:name="Helvetica Neue Thin">
    <w:charset w:val="00"/>
    <w:family w:val="swiss"/>
    <w:pitch w:val="variable"/>
  </w:font>
  <w:font w:name="Helvetica Neue Medium">
    <w:charset w:val="00"/>
    <w:family w:val="swiss"/>
    <w:pitch w:val="variable"/>
  </w:font>
  <w:font w:name="Helvetica Neue Light">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Malgun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312E81"/>
      </w:pBdr>
      <w:tabs>
        <w:tab w:val="clear" w:pos="708"/>
        <w:tab w:val="right" w:pos="9026" w:leader="none"/>
      </w:tabs>
      <w:rPr/>
    </w:pPr>
    <w:r>
      <w:rPr>
        <w:color w:val="808080"/>
        <w:sz w:val="16"/>
        <w:szCs w:val="16"/>
      </w:rPr>
      <w:t>Reporte Pruebas por Central rev1.0</w:t>
    </w:r>
    <w:r>
      <w:rPr/>
      <w:tab/>
    </w:r>
    <w:r>
      <w:rPr>
        <w:color w:val="808080"/>
        <w:sz w:val="16"/>
        <w:szCs w:val="16"/>
      </w:rPr>
      <w:t xml:space="preserve">Página </w:t>
    </w:r>
    <w:r>
      <w:rPr>
        <w:color w:val="808080"/>
        <w:sz w:val="16"/>
        <w:szCs w:val="16"/>
      </w:rPr>
      <w:fldChar w:fldCharType="begin"/>
    </w:r>
    <w:r>
      <w:rPr>
        <w:sz w:val="16"/>
        <w:szCs w:val="16"/>
        <w:color w:val="808080"/>
      </w:rPr>
      <w:instrText xml:space="preserve"> PAGE </w:instrText>
    </w:r>
    <w:r>
      <w:rPr>
        <w:sz w:val="16"/>
        <w:szCs w:val="16"/>
        <w:color w:val="808080"/>
      </w:rPr>
      <w:fldChar w:fldCharType="separate"/>
    </w:r>
    <w:r>
      <w:rPr>
        <w:sz w:val="16"/>
        <w:szCs w:val="16"/>
        <w:color w:val="808080"/>
      </w:rPr>
      <w:t>51</w:t>
    </w:r>
    <w:r>
      <w:rPr>
        <w:sz w:val="16"/>
        <w:szCs w:val="16"/>
        <w:color w:val="808080"/>
      </w:rPr>
      <w:fldChar w:fldCharType="end"/>
    </w:r>
    <w:r>
      <w:rPr>
        <w:color w:val="808080"/>
        <w:sz w:val="16"/>
        <w:szCs w:val="16"/>
      </w:rPr>
      <w:t xml:space="preserve"> de </w:t>
    </w:r>
    <w:r>
      <w:rPr>
        <w:color w:val="808080"/>
        <w:sz w:val="16"/>
        <w:szCs w:val="16"/>
      </w:rPr>
      <w:fldChar w:fldCharType="begin"/>
    </w:r>
    <w:r>
      <w:rPr>
        <w:sz w:val="16"/>
        <w:szCs w:val="16"/>
        <w:color w:val="808080"/>
      </w:rPr>
      <w:instrText xml:space="preserve"> NUMPAGES </w:instrText>
    </w:r>
    <w:r>
      <w:rPr>
        <w:sz w:val="16"/>
        <w:szCs w:val="16"/>
        <w:color w:val="808080"/>
      </w:rPr>
      <w:fldChar w:fldCharType="separate"/>
    </w:r>
    <w:r>
      <w:rPr>
        <w:sz w:val="16"/>
        <w:szCs w:val="16"/>
        <w:color w:val="808080"/>
      </w:rPr>
      <w:t>51</w:t>
    </w:r>
    <w:r>
      <w:rPr>
        <w:sz w:val="16"/>
        <w:szCs w:val="16"/>
        <w:color w:val="8080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4" w:color="312E81"/>
      </w:pBdr>
      <w:tabs>
        <w:tab w:val="clear" w:pos="708"/>
        <w:tab w:val="right" w:pos="9026" w:leader="none"/>
      </w:tabs>
      <w:rPr/>
    </w:pPr>
    <w:r>
      <w:rPr>
        <w:color w:val="404040"/>
        <w:sz w:val="16"/>
        <w:szCs w:val="16"/>
      </w:rPr>
      <w:t>REPORTE DE PRUEBAS DE CÓDIGO DE RED POR CENTRAL</w:t>
    </w:r>
    <w:r>
      <w:rPr/>
      <w:tab/>
    </w:r>
    <w:r>
      <w:rPr>
        <w:color w:val="312E81"/>
        <w:sz w:val="16"/>
        <w:szCs w:val="16"/>
      </w:rPr>
      <w:t>CNK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4"/>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lowerLetter"/>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sz w:val="22"/>
        <w:i w:val="false"/>
        <w:b w:val="false"/>
        <w:rFonts w:ascii="Malgun Gothic" w:hAnsi="Malgun Gothic" w:eastAsia="Malgun Gothic"/>
        <w:color w:val="28436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7014"/>
    <w:pPr>
      <w:widowControl/>
      <w:bidi w:val="0"/>
      <w:spacing w:lineRule="auto" w:line="360" w:before="0" w:after="0"/>
      <w:jc w:val="both"/>
    </w:pPr>
    <w:rPr>
      <w:rFonts w:ascii="Helvetica Neue Light" w:hAnsi="Helvetica Neue Light" w:eastAsia="Calibri" w:cs="Calibri"/>
      <w:color w:val="auto"/>
      <w:kern w:val="0"/>
      <w:sz w:val="22"/>
      <w:szCs w:val="22"/>
      <w:lang w:val="es-ES" w:eastAsia="es-MX" w:bidi="ar-SA"/>
    </w:rPr>
  </w:style>
  <w:style w:type="paragraph" w:styleId="Heading1">
    <w:name w:val="heading 1"/>
    <w:basedOn w:val="Title"/>
    <w:next w:val="Normal"/>
    <w:uiPriority w:val="9"/>
    <w:qFormat/>
    <w:rsid w:val="00047014"/>
    <w:pPr>
      <w:pBdr>
        <w:bottom w:val="single" w:sz="12" w:space="4" w:color="312E81"/>
      </w:pBdr>
      <w:spacing w:lineRule="auto" w:line="360" w:before="360" w:after="200"/>
      <w:outlineLvl w:val="0"/>
    </w:pPr>
    <w:rPr>
      <w:rFonts w:ascii="Montserrat Medium" w:hAnsi="Montserrat Medium"/>
      <w:color w:val="312E81"/>
      <w:sz w:val="28"/>
      <w:szCs w:val="32"/>
    </w:rPr>
  </w:style>
  <w:style w:type="paragraph" w:styleId="Heading2">
    <w:name w:val="heading 2"/>
    <w:uiPriority w:val="9"/>
    <w:unhideWhenUsed/>
    <w:qFormat/>
    <w:rsid w:val="002b0820"/>
    <w:pPr>
      <w:widowControl/>
      <w:bidi w:val="0"/>
      <w:spacing w:lineRule="auto" w:line="360" w:before="280" w:after="160"/>
      <w:jc w:val="left"/>
      <w:outlineLvl w:val="1"/>
    </w:pPr>
    <w:rPr>
      <w:rFonts w:ascii="Montserrat Light" w:hAnsi="Montserrat Light" w:eastAsia="Calibri" w:cs="Calibri"/>
      <w:b/>
      <w:bCs/>
      <w:color w:val="312E81"/>
      <w:kern w:val="0"/>
      <w:sz w:val="24"/>
      <w:szCs w:val="24"/>
      <w:lang w:val="es-MX" w:eastAsia="es-MX" w:bidi="ar-SA"/>
    </w:rPr>
  </w:style>
  <w:style w:type="paragraph" w:styleId="Heading3">
    <w:name w:val="heading 3"/>
    <w:uiPriority w:val="9"/>
    <w:unhideWhenUsed/>
    <w:qFormat/>
    <w:rsid w:val="00d17dc9"/>
    <w:pPr>
      <w:widowControl/>
      <w:bidi w:val="0"/>
      <w:spacing w:before="0" w:after="0"/>
      <w:jc w:val="left"/>
      <w:outlineLvl w:val="2"/>
    </w:pPr>
    <w:rPr>
      <w:rFonts w:ascii="Helvetica Neue Light" w:hAnsi="Helvetica Neue Light" w:eastAsia="Calibri" w:cs="Calibri"/>
      <w:b/>
      <w:bCs/>
      <w:color w:val="2F2878"/>
      <w:kern w:val="0"/>
      <w:sz w:val="22"/>
      <w:szCs w:val="22"/>
      <w:lang w:val="es-MX" w:eastAsia="es-MX"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2"/>
      <w:szCs w:val="22"/>
      <w:lang w:val="es-MX" w:eastAsia="es-MX"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2"/>
      <w:szCs w:val="22"/>
      <w:lang w:val="es-MX" w:eastAsia="es-MX"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2"/>
      <w:szCs w:val="22"/>
      <w:lang w:val="es-MX" w:eastAsia="es-MX"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967416"/>
    <w:rPr/>
  </w:style>
  <w:style w:type="character" w:styleId="PiedepginaCar" w:customStyle="1">
    <w:name w:val="Pie de página Car"/>
    <w:basedOn w:val="DefaultParagraphFont"/>
    <w:uiPriority w:val="99"/>
    <w:qFormat/>
    <w:rsid w:val="00967416"/>
    <w:rPr/>
  </w:style>
  <w:style w:type="character" w:styleId="SubttuloCar" w:customStyle="1">
    <w:name w:val="Subtítulo Car"/>
    <w:basedOn w:val="DefaultParagraphFont"/>
    <w:uiPriority w:val="11"/>
    <w:qFormat/>
    <w:rsid w:val="00532a0c"/>
    <w:rPr>
      <w:rFonts w:ascii="Helvetica Neue Light" w:hAnsi="Helvetica Neue Light"/>
      <w:sz w:val="20"/>
      <w:szCs w:val="20"/>
    </w:rPr>
  </w:style>
  <w:style w:type="character" w:styleId="s1" w:customStyle="1">
    <w:name w:val="s1"/>
    <w:basedOn w:val="DefaultParagraphFont"/>
    <w:qFormat/>
    <w:rsid w:val="008f702d"/>
    <w:rPr/>
  </w:style>
  <w:style w:type="character" w:styleId="apple-converted-space" w:customStyle="1">
    <w:name w:val="apple-converted-space"/>
    <w:basedOn w:val="DefaultParagraphFont"/>
    <w:qFormat/>
    <w:rsid w:val="008f702d"/>
    <w:rPr/>
  </w:style>
  <w:style w:type="character" w:styleId="PlaceholderText">
    <w:name w:val="Placeholder Text"/>
    <w:basedOn w:val="DefaultParagraphFont"/>
    <w:uiPriority w:val="99"/>
    <w:semiHidden/>
    <w:qFormat/>
    <w:rsid w:val="00c43369"/>
    <w:rPr>
      <w:color w:val="666666"/>
    </w:rPr>
  </w:style>
  <w:style w:type="character" w:styleId="CommentReference">
    <w:name w:val="annotation reference"/>
    <w:basedOn w:val="DefaultParagraphFont"/>
    <w:uiPriority w:val="99"/>
    <w:semiHidden/>
    <w:unhideWhenUsed/>
    <w:qFormat/>
    <w:rsid w:val="00ac5c95"/>
    <w:rPr>
      <w:sz w:val="16"/>
      <w:szCs w:val="16"/>
    </w:rPr>
  </w:style>
  <w:style w:type="character" w:styleId="TextocomentarioCar" w:customStyle="1">
    <w:name w:val="Texto comentario Car"/>
    <w:basedOn w:val="DefaultParagraphFont"/>
    <w:uiPriority w:val="99"/>
    <w:qFormat/>
    <w:rsid w:val="00ac5c95"/>
    <w:rPr>
      <w:rFonts w:ascii="Helvetica Neue Light" w:hAnsi="Helvetica Neue Light"/>
      <w:sz w:val="20"/>
      <w:szCs w:val="20"/>
      <w:lang w:val="es-ES"/>
    </w:rPr>
  </w:style>
  <w:style w:type="character" w:styleId="AsuntodelcomentarioCar" w:customStyle="1">
    <w:name w:val="Asunto del comentario Car"/>
    <w:basedOn w:val="TextocomentarioCar"/>
    <w:link w:val="annotationsubject"/>
    <w:uiPriority w:val="99"/>
    <w:semiHidden/>
    <w:qFormat/>
    <w:rsid w:val="00ac5c95"/>
    <w:rPr>
      <w:rFonts w:ascii="Helvetica Neue Light" w:hAnsi="Helvetica Neue Light"/>
      <w:b/>
      <w:bCs/>
      <w:sz w:val="20"/>
      <w:szCs w:val="20"/>
      <w:lang w:val="es-ES"/>
    </w:rPr>
  </w:style>
  <w:style w:type="character" w:styleId="LineNumber">
    <w:name w:val="line number"/>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s-MX" w:eastAsia="es-MX" w:bidi="ar-SA"/>
    </w:rPr>
  </w:style>
  <w:style w:type="paragraph" w:styleId="Fuerte1" w:customStyle="1">
    <w:name w:val="Fuerte1"/>
    <w:qFormat/>
    <w:pPr>
      <w:widowControl/>
      <w:bidi w:val="0"/>
      <w:spacing w:before="0" w:after="0"/>
      <w:jc w:val="left"/>
    </w:pPr>
    <w:rPr>
      <w:rFonts w:ascii="Calibri" w:hAnsi="Calibri" w:eastAsia="Calibri" w:cs="Calibri"/>
      <w:b/>
      <w:bCs/>
      <w:color w:val="auto"/>
      <w:kern w:val="0"/>
      <w:sz w:val="22"/>
      <w:szCs w:val="22"/>
      <w:lang w:val="es-MX" w:eastAsia="es-MX" w:bidi="ar-SA"/>
    </w:rPr>
  </w:style>
  <w:style w:type="paragraph" w:styleId="ListParagraph">
    <w:name w:val="List Paragraph"/>
    <w:qFormat/>
    <w:rsid w:val="00047014"/>
    <w:pPr>
      <w:widowControl/>
      <w:bidi w:val="0"/>
      <w:spacing w:lineRule="auto" w:line="360" w:before="0" w:after="120"/>
      <w:jc w:val="left"/>
    </w:pPr>
    <w:rPr>
      <w:rFonts w:ascii="Helvetica Neue Light" w:hAnsi="Helvetica Neue Light" w:eastAsia="Calibri" w:cs="Calibri"/>
      <w:color w:val="auto"/>
      <w:kern w:val="0"/>
      <w:sz w:val="20"/>
      <w:szCs w:val="20"/>
      <w:lang w:val="es-MX" w:eastAsia="es-MX" w:bidi="ar-SA"/>
    </w:rPr>
  </w:style>
  <w:style w:type="paragraph" w:styleId="FootnoteText">
    <w:name w:val="footnote text"/>
    <w:link w:val="TextonotapieCar"/>
    <w:uiPriority w:val="99"/>
    <w:semiHidden/>
    <w:unhideWhenUsed/>
    <w:pPr>
      <w:widowControl/>
      <w:bidi w:val="0"/>
      <w:spacing w:before="0" w:after="0"/>
      <w:jc w:val="left"/>
    </w:pPr>
    <w:rPr>
      <w:rFonts w:ascii="Calibri" w:hAnsi="Calibri" w:eastAsia="Calibri" w:cs="Calibri"/>
      <w:color w:val="auto"/>
      <w:kern w:val="0"/>
      <w:sz w:val="20"/>
      <w:szCs w:val="20"/>
      <w:lang w:val="es-MX" w:eastAsia="es-MX" w:bidi="ar-SA"/>
    </w:rPr>
  </w:style>
  <w:style w:type="paragraph" w:styleId="EndnoteText">
    <w:name w:val="endnote text"/>
    <w:link w:val="TextonotaalfinalCar"/>
    <w:uiPriority w:val="99"/>
    <w:semiHidden/>
    <w:unhideWhenUsed/>
    <w:pPr>
      <w:widowControl/>
      <w:bidi w:val="0"/>
      <w:spacing w:before="0" w:after="0"/>
      <w:jc w:val="left"/>
    </w:pPr>
    <w:rPr>
      <w:rFonts w:ascii="Calibri" w:hAnsi="Calibri" w:eastAsia="Calibri" w:cs="Calibri"/>
      <w:color w:val="auto"/>
      <w:kern w:val="0"/>
      <w:sz w:val="20"/>
      <w:szCs w:val="20"/>
      <w:lang w:val="es-MX" w:eastAsia="es-MX"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967416"/>
    <w:pPr>
      <w:tabs>
        <w:tab w:val="clear" w:pos="708"/>
        <w:tab w:val="center" w:pos="4419" w:leader="none"/>
        <w:tab w:val="right" w:pos="8838" w:leader="none"/>
      </w:tabs>
    </w:pPr>
    <w:rPr/>
  </w:style>
  <w:style w:type="paragraph" w:styleId="Footer">
    <w:name w:val="footer"/>
    <w:basedOn w:val="Normal"/>
    <w:link w:val="PiedepginaCar"/>
    <w:uiPriority w:val="99"/>
    <w:unhideWhenUsed/>
    <w:rsid w:val="00967416"/>
    <w:pPr>
      <w:tabs>
        <w:tab w:val="clear" w:pos="708"/>
        <w:tab w:val="center" w:pos="4419" w:leader="none"/>
        <w:tab w:val="right" w:pos="8838" w:leader="none"/>
      </w:tabs>
    </w:pPr>
    <w:rPr/>
  </w:style>
  <w:style w:type="paragraph" w:styleId="IndexHeading">
    <w:name w:val="index heading"/>
    <w:basedOn w:val="Ttulo"/>
    <w:pPr/>
    <w:rPr/>
  </w:style>
  <w:style w:type="paragraph" w:styleId="TOCHeading">
    <w:name w:val="TOC Heading"/>
    <w:basedOn w:val="Heading1"/>
    <w:next w:val="Normal"/>
    <w:uiPriority w:val="39"/>
    <w:unhideWhenUsed/>
    <w:qFormat/>
    <w:rsid w:val="00845c4f"/>
    <w:pPr>
      <w:keepNext w:val="true"/>
      <w:keepLines/>
      <w:pBdr>
        <w:bottom w:val="nil"/>
      </w:pBdr>
      <w:spacing w:lineRule="auto" w:line="276" w:before="480" w:after="0"/>
      <w:outlineLvl w:val="9"/>
    </w:pPr>
    <w:rPr>
      <w:rFonts w:ascii="Aptos Display" w:hAnsi="Aptos Display" w:eastAsia="" w:cs="" w:asciiTheme="majorHAnsi" w:cstheme="majorBidi" w:eastAsiaTheme="majorEastAsia" w:hAnsiTheme="majorHAnsi"/>
      <w:b/>
      <w:bCs/>
      <w:color w:themeColor="accent1" w:themeShade="bf" w:val="0F4761"/>
      <w:szCs w:val="28"/>
    </w:rPr>
  </w:style>
  <w:style w:type="paragraph" w:styleId="TOC1">
    <w:name w:val="toc 1"/>
    <w:basedOn w:val="Normal"/>
    <w:next w:val="Normal"/>
    <w:autoRedefine/>
    <w:uiPriority w:val="39"/>
    <w:unhideWhenUsed/>
    <w:rsid w:val="00845c4f"/>
    <w:pPr>
      <w:spacing w:before="120" w:after="0"/>
      <w:jc w:val="left"/>
    </w:pPr>
    <w:rPr>
      <w:rFonts w:ascii="Aptos" w:hAnsi="Aptos" w:asciiTheme="minorHAnsi" w:hAnsiTheme="minorHAnsi"/>
      <w:b/>
      <w:bCs/>
      <w:i/>
      <w:iCs/>
      <w:sz w:val="24"/>
      <w:szCs w:val="24"/>
    </w:rPr>
  </w:style>
  <w:style w:type="paragraph" w:styleId="TOC2">
    <w:name w:val="toc 2"/>
    <w:basedOn w:val="Normal"/>
    <w:next w:val="Normal"/>
    <w:autoRedefine/>
    <w:uiPriority w:val="39"/>
    <w:unhideWhenUsed/>
    <w:rsid w:val="00845c4f"/>
    <w:pPr>
      <w:spacing w:before="120" w:after="0"/>
      <w:ind w:left="220"/>
      <w:jc w:val="left"/>
    </w:pPr>
    <w:rPr>
      <w:rFonts w:ascii="Aptos" w:hAnsi="Aptos" w:asciiTheme="minorHAnsi" w:hAnsiTheme="minorHAnsi"/>
      <w:b/>
      <w:bCs/>
    </w:rPr>
  </w:style>
  <w:style w:type="paragraph" w:styleId="TOC3">
    <w:name w:val="toc 3"/>
    <w:basedOn w:val="Normal"/>
    <w:next w:val="Normal"/>
    <w:autoRedefine/>
    <w:uiPriority w:val="39"/>
    <w:unhideWhenUsed/>
    <w:rsid w:val="00845c4f"/>
    <w:pPr>
      <w:ind w:left="440"/>
      <w:jc w:val="left"/>
    </w:pPr>
    <w:rPr>
      <w:rFonts w:ascii="Aptos" w:hAnsi="Aptos" w:asciiTheme="minorHAnsi" w:hAnsiTheme="minorHAnsi"/>
      <w:sz w:val="20"/>
      <w:szCs w:val="20"/>
    </w:rPr>
  </w:style>
  <w:style w:type="paragraph" w:styleId="TOC4">
    <w:name w:val="toc 4"/>
    <w:basedOn w:val="Normal"/>
    <w:next w:val="Normal"/>
    <w:autoRedefine/>
    <w:uiPriority w:val="39"/>
    <w:unhideWhenUsed/>
    <w:rsid w:val="00845c4f"/>
    <w:pPr>
      <w:ind w:left="660"/>
      <w:jc w:val="left"/>
    </w:pPr>
    <w:rPr>
      <w:rFonts w:ascii="Aptos" w:hAnsi="Aptos" w:asciiTheme="minorHAnsi" w:hAnsiTheme="minorHAnsi"/>
      <w:sz w:val="20"/>
      <w:szCs w:val="20"/>
    </w:rPr>
  </w:style>
  <w:style w:type="paragraph" w:styleId="TOC5">
    <w:name w:val="toc 5"/>
    <w:basedOn w:val="Normal"/>
    <w:next w:val="Normal"/>
    <w:autoRedefine/>
    <w:uiPriority w:val="39"/>
    <w:unhideWhenUsed/>
    <w:rsid w:val="00845c4f"/>
    <w:pPr>
      <w:ind w:left="880"/>
      <w:jc w:val="left"/>
    </w:pPr>
    <w:rPr>
      <w:rFonts w:ascii="Aptos" w:hAnsi="Aptos" w:asciiTheme="minorHAnsi" w:hAnsiTheme="minorHAnsi"/>
      <w:sz w:val="20"/>
      <w:szCs w:val="20"/>
    </w:rPr>
  </w:style>
  <w:style w:type="paragraph" w:styleId="TOC6">
    <w:name w:val="toc 6"/>
    <w:basedOn w:val="Normal"/>
    <w:next w:val="Normal"/>
    <w:autoRedefine/>
    <w:uiPriority w:val="39"/>
    <w:unhideWhenUsed/>
    <w:rsid w:val="00845c4f"/>
    <w:pPr>
      <w:ind w:left="1100"/>
      <w:jc w:val="left"/>
    </w:pPr>
    <w:rPr>
      <w:rFonts w:ascii="Aptos" w:hAnsi="Aptos" w:asciiTheme="minorHAnsi" w:hAnsiTheme="minorHAnsi"/>
      <w:sz w:val="20"/>
      <w:szCs w:val="20"/>
    </w:rPr>
  </w:style>
  <w:style w:type="paragraph" w:styleId="TOC7">
    <w:name w:val="toc 7"/>
    <w:basedOn w:val="Normal"/>
    <w:next w:val="Normal"/>
    <w:autoRedefine/>
    <w:uiPriority w:val="39"/>
    <w:unhideWhenUsed/>
    <w:rsid w:val="00845c4f"/>
    <w:pPr>
      <w:ind w:left="1320"/>
      <w:jc w:val="left"/>
    </w:pPr>
    <w:rPr>
      <w:rFonts w:ascii="Aptos" w:hAnsi="Aptos" w:asciiTheme="minorHAnsi" w:hAnsiTheme="minorHAnsi"/>
      <w:sz w:val="20"/>
      <w:szCs w:val="20"/>
    </w:rPr>
  </w:style>
  <w:style w:type="paragraph" w:styleId="TOC8">
    <w:name w:val="toc 8"/>
    <w:basedOn w:val="Normal"/>
    <w:next w:val="Normal"/>
    <w:autoRedefine/>
    <w:uiPriority w:val="39"/>
    <w:unhideWhenUsed/>
    <w:rsid w:val="00845c4f"/>
    <w:pPr>
      <w:ind w:left="1540"/>
      <w:jc w:val="left"/>
    </w:pPr>
    <w:rPr>
      <w:rFonts w:ascii="Aptos" w:hAnsi="Aptos" w:asciiTheme="minorHAnsi" w:hAnsiTheme="minorHAnsi"/>
      <w:sz w:val="20"/>
      <w:szCs w:val="20"/>
    </w:rPr>
  </w:style>
  <w:style w:type="paragraph" w:styleId="TOC9">
    <w:name w:val="toc 9"/>
    <w:basedOn w:val="Normal"/>
    <w:next w:val="Normal"/>
    <w:autoRedefine/>
    <w:uiPriority w:val="39"/>
    <w:unhideWhenUsed/>
    <w:rsid w:val="00845c4f"/>
    <w:pPr>
      <w:ind w:left="1760"/>
      <w:jc w:val="left"/>
    </w:pPr>
    <w:rPr>
      <w:rFonts w:ascii="Aptos" w:hAnsi="Aptos" w:asciiTheme="minorHAnsi" w:hAnsiTheme="minorHAnsi"/>
      <w:sz w:val="20"/>
      <w:szCs w:val="20"/>
    </w:rPr>
  </w:style>
  <w:style w:type="paragraph" w:styleId="Subtitle">
    <w:name w:val="Subtitle"/>
    <w:basedOn w:val="Normal"/>
    <w:next w:val="Normal"/>
    <w:link w:val="SubttuloCar"/>
    <w:uiPriority w:val="11"/>
    <w:qFormat/>
    <w:rsid w:val="00532a0c"/>
    <w:pPr>
      <w:spacing w:lineRule="auto" w:line="240" w:before="40" w:after="0"/>
      <w:jc w:val="center"/>
    </w:pPr>
    <w:rPr>
      <w:sz w:val="20"/>
      <w:szCs w:val="20"/>
    </w:rPr>
  </w:style>
  <w:style w:type="paragraph" w:styleId="p1" w:customStyle="1">
    <w:name w:val="p1"/>
    <w:basedOn w:val="Normal"/>
    <w:qFormat/>
    <w:rsid w:val="008f702d"/>
    <w:pPr>
      <w:spacing w:lineRule="auto" w:line="240" w:beforeAutospacing="1" w:afterAutospacing="1"/>
      <w:jc w:val="left"/>
    </w:pPr>
    <w:rPr>
      <w:rFonts w:ascii="Times New Roman" w:hAnsi="Times New Roman" w:eastAsia="Times New Roman" w:cs="Times New Roman"/>
      <w:sz w:val="24"/>
      <w:szCs w:val="24"/>
    </w:rPr>
  </w:style>
  <w:style w:type="paragraph" w:styleId="p2" w:customStyle="1">
    <w:name w:val="p2"/>
    <w:basedOn w:val="Normal"/>
    <w:qFormat/>
    <w:rsid w:val="002322f7"/>
    <w:pPr>
      <w:spacing w:lineRule="auto" w:line="240" w:beforeAutospacing="1" w:afterAutospacing="1"/>
      <w:jc w:val="left"/>
    </w:pPr>
    <w:rPr>
      <w:rFonts w:ascii="Times New Roman" w:hAnsi="Times New Roman" w:eastAsia="Times New Roman" w:cs="Times New Roman"/>
      <w:sz w:val="24"/>
      <w:szCs w:val="24"/>
      <w:lang w:val="es-MX"/>
    </w:rPr>
  </w:style>
  <w:style w:type="paragraph" w:styleId="Revision">
    <w:name w:val="Revision"/>
    <w:uiPriority w:val="99"/>
    <w:semiHidden/>
    <w:qFormat/>
    <w:rsid w:val="008276d8"/>
    <w:pPr>
      <w:widowControl/>
      <w:bidi w:val="0"/>
      <w:spacing w:before="0" w:after="0"/>
      <w:jc w:val="left"/>
    </w:pPr>
    <w:rPr>
      <w:rFonts w:ascii="Helvetica Neue Light" w:hAnsi="Helvetica Neue Light" w:eastAsia="Calibri" w:cs="Calibri"/>
      <w:color w:val="auto"/>
      <w:kern w:val="0"/>
      <w:sz w:val="22"/>
      <w:szCs w:val="22"/>
      <w:lang w:val="es-ES" w:eastAsia="es-MX" w:bidi="ar-SA"/>
    </w:rPr>
  </w:style>
  <w:style w:type="paragraph" w:styleId="CommentText">
    <w:name w:val="annotation text"/>
    <w:basedOn w:val="Normal"/>
    <w:link w:val="TextocomentarioCar"/>
    <w:uiPriority w:val="99"/>
    <w:unhideWhenUsed/>
    <w:rsid w:val="00ac5c95"/>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ac5c95"/>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434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svg"/><Relationship Id="rId11" Type="http://schemas.openxmlformats.org/officeDocument/2006/relationships/image" Target="media/image2.png"/><Relationship Id="rId12" Type="http://schemas.openxmlformats.org/officeDocument/2006/relationships/image" Target="media/image3.svg"/><Relationship Id="rId13" Type="http://schemas.openxmlformats.org/officeDocument/2006/relationships/image" Target="media/image2.png"/><Relationship Id="rId14" Type="http://schemas.openxmlformats.org/officeDocument/2006/relationships/image" Target="media/image3.svg"/><Relationship Id="rId15" Type="http://schemas.openxmlformats.org/officeDocument/2006/relationships/image" Target="media/image2.png"/><Relationship Id="rId16" Type="http://schemas.openxmlformats.org/officeDocument/2006/relationships/image" Target="media/image3.svg"/><Relationship Id="rId17" Type="http://schemas.openxmlformats.org/officeDocument/2006/relationships/image" Target="media/image2.png"/><Relationship Id="rId18" Type="http://schemas.openxmlformats.org/officeDocument/2006/relationships/image" Target="media/image3.svg"/><Relationship Id="rId19" Type="http://schemas.openxmlformats.org/officeDocument/2006/relationships/image" Target="media/image2.png"/><Relationship Id="rId20" Type="http://schemas.openxmlformats.org/officeDocument/2006/relationships/image" Target="media/image3.svg"/><Relationship Id="rId21" Type="http://schemas.openxmlformats.org/officeDocument/2006/relationships/image" Target="media/image2.png"/><Relationship Id="rId22" Type="http://schemas.openxmlformats.org/officeDocument/2006/relationships/image" Target="media/image3.svg"/><Relationship Id="rId23" Type="http://schemas.openxmlformats.org/officeDocument/2006/relationships/image" Target="media/image2.png"/><Relationship Id="rId24" Type="http://schemas.openxmlformats.org/officeDocument/2006/relationships/image" Target="media/image3.svg"/><Relationship Id="rId25" Type="http://schemas.openxmlformats.org/officeDocument/2006/relationships/image" Target="media/image2.png"/><Relationship Id="rId26" Type="http://schemas.openxmlformats.org/officeDocument/2006/relationships/image" Target="media/image3.svg"/><Relationship Id="rId27" Type="http://schemas.openxmlformats.org/officeDocument/2006/relationships/image" Target="media/image2.png"/><Relationship Id="rId28" Type="http://schemas.openxmlformats.org/officeDocument/2006/relationships/image" Target="media/image3.svg"/><Relationship Id="rId29" Type="http://schemas.openxmlformats.org/officeDocument/2006/relationships/image" Target="media/image2.png"/><Relationship Id="rId30" Type="http://schemas.openxmlformats.org/officeDocument/2006/relationships/image" Target="media/image3.svg"/><Relationship Id="rId31" Type="http://schemas.openxmlformats.org/officeDocument/2006/relationships/image" Target="media/image2.png"/><Relationship Id="rId32" Type="http://schemas.openxmlformats.org/officeDocument/2006/relationships/image" Target="media/image3.svg"/><Relationship Id="rId33" Type="http://schemas.openxmlformats.org/officeDocument/2006/relationships/image" Target="media/image2.png"/><Relationship Id="rId34" Type="http://schemas.openxmlformats.org/officeDocument/2006/relationships/image" Target="media/image3.svg"/><Relationship Id="rId35" Type="http://schemas.openxmlformats.org/officeDocument/2006/relationships/image" Target="media/image2.png"/><Relationship Id="rId36" Type="http://schemas.openxmlformats.org/officeDocument/2006/relationships/image" Target="media/image3.svg"/><Relationship Id="rId37" Type="http://schemas.openxmlformats.org/officeDocument/2006/relationships/image" Target="media/image2.png"/><Relationship Id="rId38" Type="http://schemas.openxmlformats.org/officeDocument/2006/relationships/image" Target="media/image3.svg"/><Relationship Id="rId39" Type="http://schemas.openxmlformats.org/officeDocument/2006/relationships/image" Target="media/image2.png"/><Relationship Id="rId40" Type="http://schemas.openxmlformats.org/officeDocument/2006/relationships/image" Target="media/image3.svg"/><Relationship Id="rId41" Type="http://schemas.openxmlformats.org/officeDocument/2006/relationships/image" Target="media/image2.png"/><Relationship Id="rId42" Type="http://schemas.openxmlformats.org/officeDocument/2006/relationships/image" Target="media/image3.svg"/><Relationship Id="rId43" Type="http://schemas.openxmlformats.org/officeDocument/2006/relationships/image" Target="media/image2.png"/><Relationship Id="rId44" Type="http://schemas.openxmlformats.org/officeDocument/2006/relationships/image" Target="media/image3.svg"/><Relationship Id="rId45" Type="http://schemas.openxmlformats.org/officeDocument/2006/relationships/image" Target="media/image2.png"/><Relationship Id="rId46" Type="http://schemas.openxmlformats.org/officeDocument/2006/relationships/image" Target="media/image3.svg"/><Relationship Id="rId47" Type="http://schemas.openxmlformats.org/officeDocument/2006/relationships/image" Target="media/image2.png"/><Relationship Id="rId48" Type="http://schemas.openxmlformats.org/officeDocument/2006/relationships/image" Target="media/image3.svg"/><Relationship Id="rId49" Type="http://schemas.openxmlformats.org/officeDocument/2006/relationships/image" Target="media/image2.png"/><Relationship Id="rId50" Type="http://schemas.openxmlformats.org/officeDocument/2006/relationships/image" Target="media/image3.svg"/><Relationship Id="rId51" Type="http://schemas.openxmlformats.org/officeDocument/2006/relationships/image" Target="media/image2.png"/><Relationship Id="rId52" Type="http://schemas.openxmlformats.org/officeDocument/2006/relationships/image" Target="media/image3.svg"/><Relationship Id="rId53" Type="http://schemas.openxmlformats.org/officeDocument/2006/relationships/image" Target="media/image2.png"/><Relationship Id="rId54" Type="http://schemas.openxmlformats.org/officeDocument/2006/relationships/image" Target="media/image3.svg"/><Relationship Id="rId55" Type="http://schemas.openxmlformats.org/officeDocument/2006/relationships/image" Target="media/image2.png"/><Relationship Id="rId56" Type="http://schemas.openxmlformats.org/officeDocument/2006/relationships/image" Target="media/image3.svg"/><Relationship Id="rId57" Type="http://schemas.openxmlformats.org/officeDocument/2006/relationships/image" Target="media/image2.png"/><Relationship Id="rId58" Type="http://schemas.openxmlformats.org/officeDocument/2006/relationships/image" Target="media/image3.svg"/><Relationship Id="rId59" Type="http://schemas.openxmlformats.org/officeDocument/2006/relationships/image" Target="media/image2.png"/><Relationship Id="rId60" Type="http://schemas.openxmlformats.org/officeDocument/2006/relationships/image" Target="media/image3.svg"/><Relationship Id="rId61" Type="http://schemas.openxmlformats.org/officeDocument/2006/relationships/image" Target="media/image2.png"/><Relationship Id="rId62" Type="http://schemas.openxmlformats.org/officeDocument/2006/relationships/image" Target="media/image3.svg"/><Relationship Id="rId63" Type="http://schemas.openxmlformats.org/officeDocument/2006/relationships/image" Target="media/image2.png"/><Relationship Id="rId64" Type="http://schemas.openxmlformats.org/officeDocument/2006/relationships/image" Target="media/image3.svg"/><Relationship Id="rId65" Type="http://schemas.openxmlformats.org/officeDocument/2006/relationships/image" Target="media/image2.png"/><Relationship Id="rId66" Type="http://schemas.openxmlformats.org/officeDocument/2006/relationships/image" Target="media/image3.svg"/><Relationship Id="rId67" Type="http://schemas.openxmlformats.org/officeDocument/2006/relationships/image" Target="media/image2.png"/><Relationship Id="rId68" Type="http://schemas.openxmlformats.org/officeDocument/2006/relationships/image" Target="media/image3.svg"/><Relationship Id="rId69" Type="http://schemas.openxmlformats.org/officeDocument/2006/relationships/image" Target="media/image2.png"/><Relationship Id="rId70" Type="http://schemas.openxmlformats.org/officeDocument/2006/relationships/image" Target="media/image3.svg"/><Relationship Id="rId71" Type="http://schemas.openxmlformats.org/officeDocument/2006/relationships/image" Target="media/image2.png"/><Relationship Id="rId72" Type="http://schemas.openxmlformats.org/officeDocument/2006/relationships/image" Target="media/image3.svg"/><Relationship Id="rId73" Type="http://schemas.openxmlformats.org/officeDocument/2006/relationships/image" Target="media/image2.png"/><Relationship Id="rId74" Type="http://schemas.openxmlformats.org/officeDocument/2006/relationships/image" Target="media/image3.svg"/><Relationship Id="rId75" Type="http://schemas.openxmlformats.org/officeDocument/2006/relationships/image" Target="media/image2.png"/><Relationship Id="rId76" Type="http://schemas.openxmlformats.org/officeDocument/2006/relationships/image" Target="media/image3.svg"/><Relationship Id="rId77" Type="http://schemas.openxmlformats.org/officeDocument/2006/relationships/image" Target="media/image2.png"/><Relationship Id="rId78" Type="http://schemas.openxmlformats.org/officeDocument/2006/relationships/image" Target="media/image3.svg"/><Relationship Id="rId79" Type="http://schemas.openxmlformats.org/officeDocument/2006/relationships/image" Target="media/image2.png"/><Relationship Id="rId80" Type="http://schemas.openxmlformats.org/officeDocument/2006/relationships/image" Target="media/image3.svg"/><Relationship Id="rId81" Type="http://schemas.openxmlformats.org/officeDocument/2006/relationships/image" Target="media/image2.png"/><Relationship Id="rId82" Type="http://schemas.openxmlformats.org/officeDocument/2006/relationships/image" Target="media/image3.svg"/><Relationship Id="rId83" Type="http://schemas.openxmlformats.org/officeDocument/2006/relationships/image" Target="media/image2.png"/><Relationship Id="rId84" Type="http://schemas.openxmlformats.org/officeDocument/2006/relationships/image" Target="media/image3.svg"/><Relationship Id="rId85" Type="http://schemas.openxmlformats.org/officeDocument/2006/relationships/image" Target="media/image2.png"/><Relationship Id="rId86" Type="http://schemas.openxmlformats.org/officeDocument/2006/relationships/image" Target="media/image3.svg"/><Relationship Id="rId87" Type="http://schemas.openxmlformats.org/officeDocument/2006/relationships/image" Target="media/image2.png"/><Relationship Id="rId88" Type="http://schemas.openxmlformats.org/officeDocument/2006/relationships/image" Target="media/image3.svg"/><Relationship Id="rId89" Type="http://schemas.openxmlformats.org/officeDocument/2006/relationships/image" Target="media/image2.png"/><Relationship Id="rId90" Type="http://schemas.openxmlformats.org/officeDocument/2006/relationships/image" Target="media/image3.svg"/><Relationship Id="rId91" Type="http://schemas.openxmlformats.org/officeDocument/2006/relationships/image" Target="media/image2.png"/><Relationship Id="rId92" Type="http://schemas.openxmlformats.org/officeDocument/2006/relationships/image" Target="media/image3.svg"/><Relationship Id="rId93" Type="http://schemas.openxmlformats.org/officeDocument/2006/relationships/image" Target="media/image2.png"/><Relationship Id="rId94" Type="http://schemas.openxmlformats.org/officeDocument/2006/relationships/image" Target="media/image3.svg"/><Relationship Id="rId95" Type="http://schemas.openxmlformats.org/officeDocument/2006/relationships/image" Target="media/image2.png"/><Relationship Id="rId96" Type="http://schemas.openxmlformats.org/officeDocument/2006/relationships/image" Target="media/image3.svg"/><Relationship Id="rId97" Type="http://schemas.openxmlformats.org/officeDocument/2006/relationships/image" Target="media/image2.png"/><Relationship Id="rId98" Type="http://schemas.openxmlformats.org/officeDocument/2006/relationships/image" Target="media/image3.svg"/><Relationship Id="rId99" Type="http://schemas.openxmlformats.org/officeDocument/2006/relationships/image" Target="media/image2.png"/><Relationship Id="rId100" Type="http://schemas.openxmlformats.org/officeDocument/2006/relationships/image" Target="media/image3.svg"/><Relationship Id="rId101" Type="http://schemas.openxmlformats.org/officeDocument/2006/relationships/comments" Target="comments.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Relationship Id="rId10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26D63-1D76-9644-988A-B1F26C2C0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Application>LibreOffice/25.2.7.2$Windows_X86_64 LibreOffice_project/5cbfd1ab6520636bb5f7b99185aa69bd7456825d</Application>
  <AppVersion>15.0000</AppVersion>
  <Pages>51</Pages>
  <Words>9012</Words>
  <Characters>49525</Characters>
  <CharactersWithSpaces>57618</CharactersWithSpaces>
  <Paragraphs>886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2026-05-09T02:46:00Z</dcterms:created>
  <dc:creator>Reporte Técnico</dc:creator>
  <dc:description>Reporte de Pruebas Código de Red — LABASA</dc:description>
  <dc:language>es-MX</dc:language>
  <cp:lastModifiedBy/>
  <dcterms:modified xsi:type="dcterms:W3CDTF">2026-07-06T16:40:28Z</dcterms:modified>
  <cp:revision>32</cp:revision>
  <dc:subject/>
  <dc:title>Reporte LABASA - Pruebas por Central</dc:title>
</cp:coreProperties>
</file>

<file path=docProps/custom.xml><?xml version="1.0" encoding="utf-8"?>
<Properties xmlns="http://schemas.openxmlformats.org/officeDocument/2006/custom-properties" xmlns:vt="http://schemas.openxmlformats.org/officeDocument/2006/docPropsVTypes"/>
</file>