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png" ContentType="image/png"/>
  <Override PartName="/word/media/image3.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0"/>
        <w:jc w:val="center"/>
        <w:rPr>
          <w:rFonts w:ascii="Montserrat" w:hAnsi="Montserrat"/>
          <w:b/>
          <w:bCs/>
          <w:color w:val="312E5E"/>
          <w:sz w:val="44"/>
          <w:szCs w:val="44"/>
        </w:rPr>
      </w:pPr>
      <w:r>
        <w:rPr>
          <w:rFonts w:ascii="Montserrat" w:hAnsi="Montserrat"/>
          <w:b/>
          <w:bCs/>
          <w:color w:val="312E5E"/>
          <w:sz w:val="44"/>
          <w:szCs w:val="44"/>
        </w:rPr>
      </w:r>
    </w:p>
    <w:p>
      <w:pPr>
        <w:pStyle w:val="Normal"/>
        <w:spacing w:lineRule="auto" w:line="240" w:before="0" w:after="800"/>
        <w:jc w:val="center"/>
        <w:rPr>
          <w:rFonts w:ascii="Montserrat" w:hAnsi="Montserrat"/>
          <w:b/>
          <w:bCs/>
          <w:color w:val="312E5E"/>
          <w:sz w:val="44"/>
          <w:szCs w:val="44"/>
        </w:rPr>
      </w:pPr>
      <w:r>
        <w:rPr>
          <w:rFonts w:ascii="Montserrat" w:hAnsi="Montserrat"/>
          <w:b/>
          <w:bCs/>
          <w:color w:val="312E5E"/>
          <w:sz w:val="44"/>
          <w:szCs w:val="44"/>
        </w:rPr>
        <w:t>PROTOCOLO DE PRUEBAS PARA PUESTA EN SERVICIO DE CENTRALES ELÉCTRICAS SÍNCRONAS</w:t>
      </w:r>
    </w:p>
    <w:p>
      <w:pPr>
        <w:pStyle w:val="Normal"/>
        <w:pBdr>
          <w:bottom w:val="single" w:sz="24" w:space="4" w:color="312E81"/>
        </w:pBdr>
        <w:spacing w:before="0" w:after="120"/>
        <w:jc w:val="center"/>
        <w:rPr>
          <w:color w:val="404040"/>
          <w:sz w:val="24"/>
          <w:szCs w:val="24"/>
        </w:rPr>
      </w:pPr>
      <w:r>
        <w:rPr>
          <w:color w:val="404040"/>
          <w:sz w:val="24"/>
          <w:szCs w:val="24"/>
        </w:rPr>
        <w:t>Central Eléctrica de Generación en Abasto Aislado</w:t>
      </w:r>
    </w:p>
    <w:p>
      <w:pPr>
        <w:pStyle w:val="Normal"/>
        <w:pBdr>
          <w:bottom w:val="single" w:sz="24" w:space="4" w:color="312E81"/>
        </w:pBdr>
        <w:spacing w:before="0" w:after="120"/>
        <w:jc w:val="center"/>
        <w:rPr>
          <w:color w:val="404040"/>
          <w:sz w:val="24"/>
          <w:szCs w:val="24"/>
        </w:rPr>
      </w:pPr>
      <w:r>
        <w:rPr>
          <w:color w:val="404040"/>
          <w:sz w:val="24"/>
          <w:szCs w:val="24"/>
        </w:rPr>
        <w:t>Central Tipo B</w:t>
      </w:r>
    </w:p>
    <w:p>
      <w:pPr>
        <w:pStyle w:val="Normal"/>
        <w:pBdr>
          <w:bottom w:val="single" w:sz="24" w:space="4" w:color="312E81"/>
        </w:pBdr>
        <w:spacing w:before="0" w:after="120"/>
        <w:jc w:val="center"/>
        <w:rPr>
          <w:color w:val="404040"/>
          <w:sz w:val="24"/>
          <w:szCs w:val="24"/>
        </w:rPr>
      </w:pPr>
      <w:r>
        <w:rPr>
          <w:color w:val="404040"/>
          <w:sz w:val="24"/>
          <w:szCs w:val="24"/>
        </w:rPr>
      </w:r>
    </w:p>
    <w:p>
      <w:pPr>
        <w:pStyle w:val="Normal"/>
        <w:pBdr>
          <w:bottom w:val="single" w:sz="24" w:space="4" w:color="312E81"/>
        </w:pBdr>
        <w:spacing w:before="0" w:after="200"/>
        <w:jc w:val="center"/>
        <w:rPr/>
      </w:pPr>
      <w:r>
        <w:rPr/>
      </w:r>
    </w:p>
    <w:p>
      <w:pPr>
        <w:pStyle w:val="Normal"/>
        <w:spacing w:before="600" w:after="0"/>
        <w:jc w:val="center"/>
        <w:rPr>
          <w:rFonts w:ascii="Helvetica Neue" w:hAnsi="Helvetica Neue"/>
          <w:b/>
          <w:bCs/>
          <w:color w:val="312E5E"/>
        </w:rPr>
      </w:pPr>
      <w:r>
        <w:rPr>
          <w:rFonts w:ascii="Helvetica Neue" w:hAnsi="Helvetica Neue"/>
          <w:b/>
          <w:bCs/>
          <w:color w:val="312E5E"/>
          <w:sz w:val="56"/>
          <w:szCs w:val="56"/>
        </w:rPr>
        <w:t>CATERPILLAR</w:t>
      </w:r>
    </w:p>
    <w:p>
      <w:pPr>
        <w:pStyle w:val="Normal"/>
        <w:pBdr>
          <w:bottom w:val="single" w:sz="24" w:space="4" w:color="312E81"/>
        </w:pBdr>
        <w:spacing w:before="0" w:after="400"/>
        <w:jc w:val="center"/>
        <w:rPr/>
      </w:pPr>
      <w:r>
        <w:rPr/>
      </w:r>
    </w:p>
    <w:p>
      <w:pPr>
        <w:pStyle w:val="Normal"/>
        <w:spacing w:before="0" w:after="120"/>
        <w:jc w:val="center"/>
        <w:rPr/>
      </w:pPr>
      <w:r>
        <w:rPr>
          <w:sz w:val="24"/>
          <w:szCs w:val="24"/>
        </w:rPr>
        <w:t>Santa Catarina, Monterrey, México</w:t>
      </w:r>
    </w:p>
    <w:p>
      <w:pPr>
        <w:pStyle w:val="Normal"/>
        <w:spacing w:before="0" w:after="800"/>
        <w:jc w:val="center"/>
        <w:rPr/>
      </w:pPr>
      <w:r>
        <w:rPr>
          <w:b/>
          <w:bCs/>
        </w:rPr>
        <w:t>PRUEBAS DE CÓDIGO DE RED INTERCONEXION A LA RED</w:t>
      </w:r>
    </w:p>
    <w:tbl>
      <w:tblPr>
        <w:tblW w:w="6000" w:type="dxa"/>
        <w:jc w:val="center"/>
        <w:tblInd w:w="0" w:type="dxa"/>
        <w:tblLayout w:type="fixed"/>
        <w:tblCellMar>
          <w:top w:w="200" w:type="dxa"/>
          <w:left w:w="200" w:type="dxa"/>
          <w:bottom w:w="200" w:type="dxa"/>
          <w:right w:w="200" w:type="dxa"/>
        </w:tblCellMar>
        <w:tblLook w:firstRow="0" w:noVBand="0" w:lastRow="0" w:firstColumn="0" w:lastColumn="0" w:noHBand="0" w:val="0000"/>
      </w:tblPr>
      <w:tblGrid>
        <w:gridCol w:w="6000"/>
      </w:tblGrid>
      <w:tr>
        <w:trPr/>
        <w:tc>
          <w:tcPr>
            <w:tcW w:w="6000" w:type="dxa"/>
            <w:tcBorders>
              <w:top w:val="single" w:sz="12" w:space="0" w:color="312E81"/>
              <w:left w:val="single" w:sz="12" w:space="0" w:color="312E81"/>
              <w:bottom w:val="single" w:sz="12" w:space="0" w:color="312E81"/>
              <w:right w:val="single" w:sz="12" w:space="0" w:color="312E81"/>
            </w:tcBorders>
            <w:shd w:color="auto" w:fill="E8E7F3" w:val="clear"/>
          </w:tcPr>
          <w:p>
            <w:pPr>
              <w:pStyle w:val="Normal"/>
              <w:spacing w:before="0" w:after="80"/>
              <w:jc w:val="center"/>
              <w:rPr/>
            </w:pPr>
            <w:r>
              <w:rPr>
                <w:b/>
                <w:bCs/>
                <w:color w:val="312E81"/>
                <w:sz w:val="24"/>
                <w:szCs w:val="24"/>
              </w:rPr>
              <w:t>Pruebas por Unidad</w:t>
            </w:r>
          </w:p>
          <w:p>
            <w:pPr>
              <w:pStyle w:val="Normal"/>
              <w:jc w:val="center"/>
              <w:rPr/>
            </w:pPr>
            <w:r>
              <w:rPr>
                <w:color w:val="404040"/>
              </w:rPr>
              <w:t>En el punto de interconexión</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600" w:before="0" w:after="80"/>
        <w:jc w:val="center"/>
        <w:rPr>
          <w:rFonts w:ascii="Helvetica Neue Thin" w:hAnsi="Helvetica Neue Thin"/>
          <w:b/>
          <w:bCs/>
        </w:rPr>
      </w:pPr>
      <w:r>
        <w:rPr>
          <w:rFonts w:ascii="Helvetica Neue Thin" w:hAnsi="Helvetica Neue Thin"/>
          <w:b/>
          <w:bCs/>
        </w:rPr>
      </w:r>
    </w:p>
    <w:p>
      <w:pPr>
        <w:pStyle w:val="Normal"/>
        <w:spacing w:lineRule="auto" w:line="600" w:before="0" w:after="80"/>
        <w:jc w:val="center"/>
        <w:rPr>
          <w:rFonts w:ascii="Helvetica Neue Thin" w:hAnsi="Helvetica Neue Thin"/>
        </w:rPr>
      </w:pPr>
      <w:r>
        <w:rPr>
          <w:rFonts w:ascii="Helvetica Neue Thin" w:hAnsi="Helvetica Neue Thin"/>
          <w:b/>
          <w:bCs/>
        </w:rPr>
        <w:t>Proyecto:</w:t>
      </w:r>
      <w:r>
        <w:rPr>
          <w:rFonts w:ascii="Helvetica Neue Thin" w:hAnsi="Helvetica Neue Thin"/>
        </w:rPr>
        <w:t xml:space="preserve"> GCECC_CNK_Caterpillar</w:t>
      </w:r>
    </w:p>
    <w:p>
      <w:pPr>
        <w:pStyle w:val="Normal"/>
        <w:spacing w:lineRule="auto" w:line="600" w:before="0" w:after="80"/>
        <w:jc w:val="center"/>
        <w:rPr>
          <w:rFonts w:ascii="Helvetica Neue Thin" w:hAnsi="Helvetica Neue Thin"/>
        </w:rPr>
      </w:pPr>
      <w:r>
        <w:rPr>
          <w:rFonts w:ascii="Helvetica Neue Thin" w:hAnsi="Helvetica Neue Thin"/>
          <w:b/>
          <w:bCs/>
        </w:rPr>
        <w:t>Reporte:</w:t>
      </w:r>
      <w:r>
        <w:rPr>
          <w:rFonts w:ascii="Helvetica Neue Thin" w:hAnsi="Helvetica Neue Thin"/>
        </w:rPr>
        <w:t xml:space="preserve"> Reporte Pruebas por Central rev1.0</w:t>
      </w:r>
    </w:p>
    <w:p>
      <w:pPr>
        <w:pStyle w:val="Normal"/>
        <w:spacing w:lineRule="auto" w:line="600" w:before="0" w:after="80"/>
        <w:jc w:val="center"/>
        <w:rPr>
          <w:rFonts w:ascii="Helvetica Neue Thin" w:hAnsi="Helvetica Neue Thin"/>
        </w:rPr>
      </w:pPr>
      <w:r>
        <w:rPr>
          <w:rFonts w:ascii="Helvetica Neue Thin" w:hAnsi="Helvetica Neue Thin"/>
          <w:b/>
          <w:bCs/>
        </w:rPr>
        <w:t>Fecha de las Pruebas:</w:t>
      </w:r>
      <w:r>
        <w:rPr>
          <w:rFonts w:ascii="Helvetica Neue Thin" w:hAnsi="Helvetica Neue Thin"/>
        </w:rPr>
        <w:t xml:space="preserve"> Mayo–Junio 2026</w:t>
      </w:r>
    </w:p>
    <w:p>
      <w:pPr>
        <w:pStyle w:val="Normal"/>
        <w:spacing w:lineRule="auto" w:line="600" w:before="0" w:after="240"/>
        <w:jc w:val="center"/>
        <w:rPr>
          <w:rFonts w:ascii="Helvetica Neue Thin" w:hAnsi="Helvetica Neue Thin"/>
        </w:rPr>
      </w:pPr>
      <w:r>
        <w:rPr>
          <w:rFonts w:ascii="Helvetica Neue Thin" w:hAnsi="Helvetica Neue Thin"/>
          <w:b/>
          <w:bCs/>
        </w:rPr>
        <w:t>Fecha de Envío del Reporte:</w:t>
      </w:r>
      <w:r>
        <w:rPr>
          <w:rFonts w:ascii="Helvetica Neue Thin" w:hAnsi="Helvetica Neue Thin"/>
        </w:rPr>
        <w:t xml:space="preserve"> Pendiente, 2026</w:t>
      </w:r>
    </w:p>
    <w:p>
      <w:pPr>
        <w:pStyle w:val="Normal"/>
        <w:spacing w:lineRule="auto" w:line="480" w:before="0" w:after="240"/>
        <w:rPr>
          <w:rFonts w:ascii="Helvetica Neue Thin" w:hAnsi="Helvetica Neue Thin"/>
        </w:rPr>
      </w:pPr>
      <w:r>
        <w:rPr>
          <w:rFonts w:ascii="Helvetica Neue Thin" w:hAnsi="Helvetica Neue Thin"/>
        </w:rPr>
      </w:r>
    </w:p>
    <w:p>
      <w:pPr>
        <w:pStyle w:val="Normal"/>
        <w:spacing w:before="200" w:after="100"/>
        <w:rPr>
          <w:rFonts w:ascii="Montserrat" w:hAnsi="Montserrat"/>
          <w:sz w:val="21"/>
          <w:szCs w:val="21"/>
        </w:rPr>
      </w:pPr>
      <w:r>
        <w:rPr>
          <w:rFonts w:ascii="Montserrat" w:hAnsi="Montserrat"/>
          <w:color w:val="312E81"/>
          <w:sz w:val="21"/>
          <w:szCs w:val="21"/>
        </w:rPr>
        <w:t>CONTROL DE REVISIONES</w:t>
      </w:r>
    </w:p>
    <w:tbl>
      <w:tblPr>
        <w:tblW w:w="9000" w:type="dxa"/>
        <w:jc w:val="left"/>
        <w:tblInd w:w="0" w:type="dxa"/>
        <w:tblLayout w:type="fixed"/>
        <w:tblCellMar>
          <w:top w:w="100" w:type="dxa"/>
          <w:left w:w="120" w:type="dxa"/>
          <w:bottom w:w="100" w:type="dxa"/>
          <w:right w:w="120" w:type="dxa"/>
        </w:tblCellMar>
        <w:tblLook w:firstRow="0" w:noVBand="0" w:lastRow="0" w:firstColumn="0" w:lastColumn="0" w:noHBand="0" w:val="0000"/>
      </w:tblPr>
      <w:tblGrid>
        <w:gridCol w:w="1500"/>
        <w:gridCol w:w="2499"/>
        <w:gridCol w:w="3001"/>
        <w:gridCol w:w="1999"/>
      </w:tblGrid>
      <w:tr>
        <w:trPr>
          <w:tblHeader w:val="true"/>
        </w:trPr>
        <w:tc>
          <w:tcPr>
            <w:tcW w:w="1500" w:type="dxa"/>
            <w:tcBorders/>
            <w:shd w:color="auto" w:fill="312E81" w:val="clear"/>
            <w:vAlign w:val="center"/>
          </w:tcPr>
          <w:p>
            <w:pPr>
              <w:pStyle w:val="Normal"/>
              <w:jc w:val="center"/>
              <w:rPr>
                <w:b/>
                <w:bCs/>
                <w:sz w:val="18"/>
                <w:szCs w:val="18"/>
              </w:rPr>
            </w:pPr>
            <w:r>
              <w:rPr>
                <w:b/>
                <w:bCs/>
                <w:color w:val="FFFFFF"/>
                <w:sz w:val="18"/>
                <w:szCs w:val="18"/>
              </w:rPr>
              <w:t>REV</w:t>
            </w:r>
          </w:p>
        </w:tc>
        <w:tc>
          <w:tcPr>
            <w:tcW w:w="2499" w:type="dxa"/>
            <w:tcBorders/>
            <w:shd w:color="auto" w:fill="312E81" w:val="clear"/>
            <w:vAlign w:val="center"/>
          </w:tcPr>
          <w:p>
            <w:pPr>
              <w:pStyle w:val="Normal"/>
              <w:jc w:val="center"/>
              <w:rPr>
                <w:b/>
                <w:bCs/>
                <w:sz w:val="18"/>
                <w:szCs w:val="18"/>
              </w:rPr>
            </w:pPr>
            <w:r>
              <w:rPr>
                <w:b/>
                <w:bCs/>
                <w:color w:val="FFFFFF"/>
                <w:sz w:val="18"/>
                <w:szCs w:val="18"/>
              </w:rPr>
              <w:t>FECHA</w:t>
            </w:r>
          </w:p>
        </w:tc>
        <w:tc>
          <w:tcPr>
            <w:tcW w:w="3001" w:type="dxa"/>
            <w:tcBorders/>
            <w:shd w:color="auto" w:fill="312E81" w:val="clear"/>
            <w:vAlign w:val="center"/>
          </w:tcPr>
          <w:p>
            <w:pPr>
              <w:pStyle w:val="Normal"/>
              <w:jc w:val="center"/>
              <w:rPr>
                <w:b/>
                <w:bCs/>
                <w:sz w:val="18"/>
                <w:szCs w:val="18"/>
              </w:rPr>
            </w:pPr>
            <w:r>
              <w:rPr>
                <w:b/>
                <w:bCs/>
                <w:color w:val="FFFFFF"/>
                <w:sz w:val="18"/>
                <w:szCs w:val="18"/>
              </w:rPr>
              <w:t>MOTIVO</w:t>
            </w:r>
          </w:p>
        </w:tc>
        <w:tc>
          <w:tcPr>
            <w:tcW w:w="1999" w:type="dxa"/>
            <w:tcBorders/>
            <w:shd w:color="auto" w:fill="312E81" w:val="clear"/>
            <w:vAlign w:val="center"/>
          </w:tcPr>
          <w:p>
            <w:pPr>
              <w:pStyle w:val="Normal"/>
              <w:jc w:val="center"/>
              <w:rPr>
                <w:b/>
                <w:bCs/>
                <w:sz w:val="18"/>
                <w:szCs w:val="18"/>
              </w:rPr>
            </w:pPr>
            <w:r>
              <w:rPr>
                <w:b/>
                <w:bCs/>
                <w:color w:val="FFFFFF"/>
                <w:sz w:val="18"/>
                <w:szCs w:val="18"/>
              </w:rPr>
              <w:t>HOJAS REVISADAS</w:t>
            </w:r>
          </w:p>
        </w:tc>
      </w:tr>
      <w:tr>
        <w:trPr/>
        <w:tc>
          <w:tcPr>
            <w:tcW w:w="1500" w:type="dxa"/>
            <w:tcBorders/>
            <w:vAlign w:val="center"/>
          </w:tcPr>
          <w:p>
            <w:pPr>
              <w:pStyle w:val="Normal"/>
              <w:jc w:val="center"/>
              <w:rPr/>
            </w:pPr>
            <w:r>
              <w:rPr/>
              <w:t>1.0</w:t>
            </w:r>
          </w:p>
        </w:tc>
        <w:tc>
          <w:tcPr>
            <w:tcW w:w="2499" w:type="dxa"/>
            <w:tcBorders/>
            <w:vAlign w:val="center"/>
          </w:tcPr>
          <w:p>
            <w:pPr>
              <w:pStyle w:val="Normal"/>
              <w:jc w:val="center"/>
              <w:rPr/>
            </w:pPr>
            <w:r>
              <w:rPr/>
            </w:r>
          </w:p>
        </w:tc>
        <w:tc>
          <w:tcPr>
            <w:tcW w:w="3001" w:type="dxa"/>
            <w:tcBorders/>
            <w:vAlign w:val="center"/>
          </w:tcPr>
          <w:p>
            <w:pPr>
              <w:pStyle w:val="Normal"/>
              <w:jc w:val="center"/>
              <w:rPr/>
            </w:pPr>
            <w:r>
              <w:rPr/>
            </w:r>
          </w:p>
        </w:tc>
        <w:tc>
          <w:tcPr>
            <w:tcW w:w="1999" w:type="dxa"/>
            <w:tcBorders/>
            <w:vAlign w:val="center"/>
          </w:tcPr>
          <w:p>
            <w:pPr>
              <w:pStyle w:val="Normal"/>
              <w:jc w:val="center"/>
              <w:rPr/>
            </w:pPr>
            <w:r>
              <w:rPr/>
            </w:r>
          </w:p>
        </w:tc>
      </w:tr>
      <w:tr>
        <w:trPr/>
        <w:tc>
          <w:tcPr>
            <w:tcW w:w="1500" w:type="dxa"/>
            <w:tcBorders/>
            <w:vAlign w:val="center"/>
          </w:tcPr>
          <w:p>
            <w:pPr>
              <w:pStyle w:val="Normal"/>
              <w:jc w:val="center"/>
              <w:rPr/>
            </w:pPr>
            <w:r>
              <w:rPr/>
            </w:r>
          </w:p>
        </w:tc>
        <w:tc>
          <w:tcPr>
            <w:tcW w:w="2499" w:type="dxa"/>
            <w:tcBorders/>
            <w:vAlign w:val="center"/>
          </w:tcPr>
          <w:p>
            <w:pPr>
              <w:pStyle w:val="Normal"/>
              <w:jc w:val="center"/>
              <w:rPr/>
            </w:pPr>
            <w:r>
              <w:rPr/>
            </w:r>
          </w:p>
        </w:tc>
        <w:tc>
          <w:tcPr>
            <w:tcW w:w="3001" w:type="dxa"/>
            <w:tcBorders/>
            <w:vAlign w:val="center"/>
          </w:tcPr>
          <w:p>
            <w:pPr>
              <w:pStyle w:val="Normal"/>
              <w:jc w:val="center"/>
              <w:rPr/>
            </w:pPr>
            <w:r>
              <w:rPr/>
            </w:r>
          </w:p>
        </w:tc>
        <w:tc>
          <w:tcPr>
            <w:tcW w:w="1999" w:type="dxa"/>
            <w:tcBorders/>
            <w:vAlign w:val="center"/>
          </w:tcPr>
          <w:p>
            <w:pPr>
              <w:pStyle w:val="Normal"/>
              <w:jc w:val="center"/>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rFonts w:ascii="Helvetica Neue Thin" w:hAnsi="Helvetica Neue Thin"/>
              <w:b w:val="false"/>
              <w:bCs w:val="false"/>
              <w:color w:val="312E5E"/>
              <w:sz w:val="20"/>
              <w:szCs w:val="21"/>
            </w:rPr>
          </w:pPr>
          <w:r>
            <w:rPr>
              <w:rFonts w:ascii="Helvetica Neue Thin" w:hAnsi="Helvetica Neue Thin"/>
              <w:b w:val="false"/>
              <w:bCs w:val="false"/>
              <w:color w:val="312E5E"/>
              <w:sz w:val="20"/>
              <w:szCs w:val="21"/>
              <w:lang w:val="es-ES"/>
            </w:rPr>
            <w:t>Tabla de contenido</w:t>
          </w:r>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sz w:val="18"/>
              <w:szCs w:val="18"/>
              <w14:ligatures w14:val="standardContextual"/>
            </w:rPr>
          </w:pPr>
          <w:r>
            <w:fldChar w:fldCharType="begin"/>
          </w:r>
          <w:r>
            <w:rPr>
              <w:webHidden/>
              <w:rStyle w:val="Enlacedelndice"/>
              <w:sz w:val="18"/>
              <w:i w:val="false"/>
              <w:b w:val="false"/>
              <w:szCs w:val="18"/>
              <w:iCs w:val="false"/>
              <w:bCs w:val="false"/>
              <w:rFonts w:ascii="Helvetica Neue Light" w:hAnsi="Helvetica Neue Light"/>
            </w:rPr>
            <w:instrText xml:space="preserve"> TOC \z \o "1-3" \u \h</w:instrText>
          </w:r>
          <w:r>
            <w:rPr>
              <w:webHidden/>
              <w:rStyle w:val="Enlacedelndice"/>
              <w:sz w:val="18"/>
              <w:i w:val="false"/>
              <w:b w:val="false"/>
              <w:szCs w:val="18"/>
              <w:iCs w:val="false"/>
              <w:bCs w:val="false"/>
              <w:rFonts w:ascii="Helvetica Neue Light" w:hAnsi="Helvetica Neue Light"/>
            </w:rPr>
            <w:fldChar w:fldCharType="separate"/>
          </w:r>
          <w:hyperlink w:anchor="_Toc229922531">
            <w:r>
              <w:rPr>
                <w:webHidden/>
                <w:rStyle w:val="Enlacedelndice"/>
                <w:rFonts w:ascii="Helvetica Neue Light" w:hAnsi="Helvetica Neue Light"/>
                <w:b w:val="false"/>
                <w:bCs w:val="false"/>
                <w:i w:val="false"/>
                <w:iCs w:val="false"/>
                <w:sz w:val="18"/>
                <w:szCs w:val="18"/>
              </w:rPr>
              <w:t>1. Definiciones y Abreviaciones</w:t>
            </w:r>
            <w:r>
              <w:rPr>
                <w:webHidden/>
              </w:rPr>
              <w:fldChar w:fldCharType="begin"/>
            </w:r>
            <w:r>
              <w:rPr>
                <w:webHidden/>
              </w:rPr>
              <w:instrText xml:space="preserve">PAGEREF _Toc229922531 \h</w:instrText>
            </w:r>
            <w:r>
              <w:rPr>
                <w:webHidden/>
              </w:rPr>
              <w:fldChar w:fldCharType="separate"/>
            </w:r>
            <w:r>
              <w:rPr>
                <w:rStyle w:val="Enlacedelndice"/>
                <w:rFonts w:ascii="Helvetica Neue Light" w:hAnsi="Helvetica Neue Light"/>
                <w:b w:val="false"/>
                <w:bCs w:val="false"/>
                <w:i w:val="false"/>
                <w:iCs w:val="false"/>
                <w:vanish w:val="false"/>
                <w:sz w:val="18"/>
                <w:szCs w:val="18"/>
              </w:rPr>
              <w:tab/>
              <w:t>4</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sz w:val="18"/>
              <w:szCs w:val="18"/>
              <w14:ligatures w14:val="standardContextual"/>
            </w:rPr>
          </w:pPr>
          <w:hyperlink w:anchor="_Toc229922532">
            <w:r>
              <w:rPr>
                <w:webHidden/>
                <w:rStyle w:val="Enlacedelndice"/>
                <w:rFonts w:ascii="Helvetica Neue Light" w:hAnsi="Helvetica Neue Light"/>
                <w:b w:val="false"/>
                <w:bCs w:val="false"/>
                <w:i w:val="false"/>
                <w:iCs w:val="false"/>
                <w:sz w:val="18"/>
                <w:szCs w:val="18"/>
              </w:rPr>
              <w:t>2. Introducción</w:t>
            </w:r>
            <w:r>
              <w:rPr>
                <w:webHidden/>
              </w:rPr>
              <w:fldChar w:fldCharType="begin"/>
            </w:r>
            <w:r>
              <w:rPr>
                <w:webHidden/>
              </w:rPr>
              <w:instrText xml:space="preserve">PAGEREF _Toc229922532 \h</w:instrText>
            </w:r>
            <w:r>
              <w:rPr>
                <w:webHidden/>
              </w:rPr>
              <w:fldChar w:fldCharType="separate"/>
            </w:r>
            <w:r>
              <w:rPr>
                <w:rStyle w:val="Enlacedelndice"/>
                <w:rFonts w:ascii="Helvetica Neue Light" w:hAnsi="Helvetica Neue Light"/>
                <w:b w:val="false"/>
                <w:bCs w:val="false"/>
                <w:i w:val="false"/>
                <w:iCs w:val="false"/>
                <w:vanish w:val="false"/>
                <w:sz w:val="18"/>
                <w:szCs w:val="18"/>
              </w:rPr>
              <w:tab/>
              <w:t>7</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sz w:val="18"/>
              <w:szCs w:val="18"/>
              <w14:ligatures w14:val="standardContextual"/>
            </w:rPr>
          </w:pPr>
          <w:hyperlink w:anchor="_Toc229922533">
            <w:r>
              <w:rPr>
                <w:webHidden/>
                <w:rStyle w:val="Enlacedelndice"/>
                <w:rFonts w:ascii="Helvetica Neue Light" w:hAnsi="Helvetica Neue Light"/>
                <w:b w:val="false"/>
                <w:bCs w:val="false"/>
                <w:i w:val="false"/>
                <w:iCs w:val="false"/>
                <w:sz w:val="18"/>
                <w:szCs w:val="18"/>
              </w:rPr>
              <w:t>3. Pruebas aplicables por unidad</w:t>
            </w:r>
            <w:r>
              <w:rPr>
                <w:webHidden/>
              </w:rPr>
              <w:fldChar w:fldCharType="begin"/>
            </w:r>
            <w:r>
              <w:rPr>
                <w:webHidden/>
              </w:rPr>
              <w:instrText xml:space="preserve">PAGEREF _Toc229922533 \h</w:instrText>
            </w:r>
            <w:r>
              <w:rPr>
                <w:webHidden/>
              </w:rPr>
              <w:fldChar w:fldCharType="separate"/>
            </w:r>
            <w:r>
              <w:rPr>
                <w:rStyle w:val="Enlacedelndice"/>
                <w:rFonts w:ascii="Helvetica Neue Light" w:hAnsi="Helvetica Neue Light"/>
                <w:b w:val="false"/>
                <w:bCs w:val="false"/>
                <w:i w:val="false"/>
                <w:iCs w:val="false"/>
                <w:vanish w:val="false"/>
                <w:sz w:val="18"/>
                <w:szCs w:val="18"/>
              </w:rPr>
              <w:tab/>
              <w:t>9</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sz w:val="18"/>
              <w:szCs w:val="18"/>
              <w14:ligatures w14:val="standardContextual"/>
            </w:rPr>
          </w:pPr>
          <w:hyperlink w:anchor="_Toc229922534">
            <w:r>
              <w:rPr>
                <w:webHidden/>
                <w:rStyle w:val="Enlacedelndice"/>
                <w:rFonts w:ascii="Helvetica Neue Light" w:hAnsi="Helvetica Neue Light"/>
                <w:b w:val="false"/>
                <w:bCs w:val="false"/>
                <w:i w:val="false"/>
                <w:iCs w:val="false"/>
                <w:sz w:val="18"/>
                <w:szCs w:val="18"/>
              </w:rPr>
              <w:t>4. Pruebas Por Unidad</w:t>
            </w:r>
            <w:r>
              <w:rPr>
                <w:webHidden/>
              </w:rPr>
              <w:fldChar w:fldCharType="begin"/>
            </w:r>
            <w:r>
              <w:rPr>
                <w:webHidden/>
              </w:rPr>
              <w:instrText xml:space="preserve">PAGEREF _Toc229922534 \h</w:instrText>
            </w:r>
            <w:r>
              <w:rPr>
                <w:webHidden/>
              </w:rPr>
              <w:fldChar w:fldCharType="separate"/>
            </w:r>
            <w:r>
              <w:rPr>
                <w:rStyle w:val="Enlacedelndice"/>
                <w:rFonts w:ascii="Helvetica Neue Light" w:hAnsi="Helvetica Neue Light"/>
                <w:b w:val="false"/>
                <w:bCs w:val="false"/>
                <w:i w:val="false"/>
                <w:iCs w:val="false"/>
                <w:vanish w:val="false"/>
                <w:sz w:val="18"/>
                <w:szCs w:val="18"/>
              </w:rPr>
              <w:tab/>
              <w:t>10</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35">
            <w:r>
              <w:rPr>
                <w:webHidden/>
                <w:rStyle w:val="Enlacedelndice"/>
                <w:rFonts w:ascii="Helvetica Neue Light" w:hAnsi="Helvetica Neue Light"/>
                <w:b w:val="false"/>
                <w:bCs w:val="false"/>
                <w:sz w:val="16"/>
                <w:szCs w:val="16"/>
              </w:rPr>
              <w:t>Sistema de Control de Tensión, Pruebas en Vacio</w:t>
            </w:r>
            <w:r>
              <w:rPr>
                <w:webHidden/>
              </w:rPr>
              <w:fldChar w:fldCharType="begin"/>
            </w:r>
            <w:r>
              <w:rPr>
                <w:webHidden/>
              </w:rPr>
              <w:instrText xml:space="preserve">PAGEREF _Toc229922535 \h</w:instrText>
            </w:r>
            <w:r>
              <w:rPr>
                <w:webHidden/>
              </w:rPr>
              <w:fldChar w:fldCharType="separate"/>
            </w:r>
            <w:r>
              <w:rPr>
                <w:rStyle w:val="Enlacedelndice"/>
                <w:rFonts w:ascii="Helvetica Neue Light" w:hAnsi="Helvetica Neue Light"/>
                <w:b w:val="false"/>
                <w:bCs w:val="false"/>
                <w:vanish w:val="false"/>
                <w:sz w:val="16"/>
                <w:szCs w:val="16"/>
              </w:rPr>
              <w:tab/>
              <w:t>10</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36">
            <w:r>
              <w:rPr>
                <w:webHidden/>
                <w:rStyle w:val="Enlacedelndice"/>
                <w:rFonts w:ascii="Helvetica Neue Light" w:hAnsi="Helvetica Neue Light"/>
                <w:b w:val="false"/>
                <w:bCs w:val="false"/>
                <w:sz w:val="16"/>
                <w:szCs w:val="16"/>
              </w:rPr>
              <w:t>4.1. Rango Operativo de Tensión</w:t>
            </w:r>
            <w:r>
              <w:rPr>
                <w:webHidden/>
              </w:rPr>
              <w:fldChar w:fldCharType="begin"/>
            </w:r>
            <w:r>
              <w:rPr>
                <w:webHidden/>
              </w:rPr>
              <w:instrText xml:space="preserve">PAGEREF _Toc229922536 \h</w:instrText>
            </w:r>
            <w:r>
              <w:rPr>
                <w:webHidden/>
              </w:rPr>
              <w:fldChar w:fldCharType="separate"/>
            </w:r>
            <w:r>
              <w:rPr>
                <w:rStyle w:val="Enlacedelndice"/>
                <w:rFonts w:ascii="Helvetica Neue Light" w:hAnsi="Helvetica Neue Light"/>
                <w:b w:val="false"/>
                <w:bCs w:val="false"/>
                <w:vanish w:val="false"/>
                <w:sz w:val="16"/>
                <w:szCs w:val="16"/>
              </w:rPr>
              <w:tab/>
              <w:t>10</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37">
            <w:r>
              <w:rPr>
                <w:webHidden/>
                <w:rStyle w:val="Enlacedelndice"/>
                <w:rFonts w:ascii="Helvetica Neue Light" w:hAnsi="Helvetica Neue Light"/>
                <w:b w:val="false"/>
                <w:bCs w:val="false"/>
                <w:sz w:val="16"/>
                <w:szCs w:val="16"/>
              </w:rPr>
              <w:t>4.2.1. Escalón de Tensión 5%</w:t>
            </w:r>
            <w:r>
              <w:rPr>
                <w:webHidden/>
              </w:rPr>
              <w:fldChar w:fldCharType="begin"/>
            </w:r>
            <w:r>
              <w:rPr>
                <w:webHidden/>
              </w:rPr>
              <w:instrText xml:space="preserve">PAGEREF _Toc229922537 \h</w:instrText>
            </w:r>
            <w:r>
              <w:rPr>
                <w:webHidden/>
              </w:rPr>
              <w:fldChar w:fldCharType="separate"/>
            </w:r>
            <w:r>
              <w:rPr>
                <w:rStyle w:val="Enlacedelndice"/>
                <w:rFonts w:ascii="Helvetica Neue Light" w:hAnsi="Helvetica Neue Light"/>
                <w:b w:val="false"/>
                <w:bCs w:val="false"/>
                <w:vanish w:val="false"/>
                <w:sz w:val="16"/>
                <w:szCs w:val="16"/>
              </w:rPr>
              <w:tab/>
              <w:t>12</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38">
            <w:r>
              <w:rPr>
                <w:webHidden/>
                <w:rStyle w:val="Enlacedelndice"/>
                <w:rFonts w:ascii="Helvetica Neue Light" w:hAnsi="Helvetica Neue Light"/>
                <w:b w:val="false"/>
                <w:bCs w:val="false"/>
                <w:sz w:val="16"/>
                <w:szCs w:val="16"/>
              </w:rPr>
              <w:t>4.2.2. Escalón de Tensión 10%</w:t>
            </w:r>
            <w:r>
              <w:rPr>
                <w:webHidden/>
              </w:rPr>
              <w:fldChar w:fldCharType="begin"/>
            </w:r>
            <w:r>
              <w:rPr>
                <w:webHidden/>
              </w:rPr>
              <w:instrText xml:space="preserve">PAGEREF _Toc229922538 \h</w:instrText>
            </w:r>
            <w:r>
              <w:rPr>
                <w:webHidden/>
              </w:rPr>
              <w:fldChar w:fldCharType="separate"/>
            </w:r>
            <w:r>
              <w:rPr>
                <w:rStyle w:val="Enlacedelndice"/>
                <w:rFonts w:ascii="Helvetica Neue Light" w:hAnsi="Helvetica Neue Light"/>
                <w:b w:val="false"/>
                <w:bCs w:val="false"/>
                <w:vanish w:val="false"/>
                <w:sz w:val="16"/>
                <w:szCs w:val="16"/>
              </w:rPr>
              <w:tab/>
              <w:t>14</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39">
            <w:r>
              <w:rPr>
                <w:webHidden/>
                <w:rStyle w:val="Enlacedelndice"/>
                <w:rFonts w:ascii="Helvetica Neue Light" w:hAnsi="Helvetica Neue Light"/>
                <w:b w:val="false"/>
                <w:bCs w:val="false"/>
                <w:sz w:val="16"/>
                <w:szCs w:val="16"/>
              </w:rPr>
              <w:t>4.3. Limitador V/Hz</w:t>
            </w:r>
            <w:r>
              <w:rPr>
                <w:webHidden/>
              </w:rPr>
              <w:fldChar w:fldCharType="begin"/>
            </w:r>
            <w:r>
              <w:rPr>
                <w:webHidden/>
              </w:rPr>
              <w:instrText xml:space="preserve">PAGEREF _Toc229922539 \h</w:instrText>
            </w:r>
            <w:r>
              <w:rPr>
                <w:webHidden/>
              </w:rPr>
              <w:fldChar w:fldCharType="separate"/>
            </w:r>
            <w:r>
              <w:rPr>
                <w:rStyle w:val="Enlacedelndice"/>
                <w:rFonts w:ascii="Helvetica Neue Light" w:hAnsi="Helvetica Neue Light"/>
                <w:b w:val="false"/>
                <w:bCs w:val="false"/>
                <w:vanish w:val="false"/>
                <w:sz w:val="16"/>
                <w:szCs w:val="16"/>
              </w:rPr>
              <w:tab/>
              <w:t>16</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0">
            <w:r>
              <w:rPr>
                <w:webHidden/>
                <w:rStyle w:val="Enlacedelndice"/>
                <w:rFonts w:ascii="Helvetica Neue Light" w:hAnsi="Helvetica Neue Light"/>
                <w:b w:val="false"/>
                <w:bCs w:val="false"/>
                <w:sz w:val="16"/>
                <w:szCs w:val="16"/>
              </w:rPr>
              <w:t>4.4.1. Secuencia Excitación y Desexcitación Auto</w:t>
            </w:r>
            <w:r>
              <w:rPr>
                <w:webHidden/>
              </w:rPr>
              <w:fldChar w:fldCharType="begin"/>
            </w:r>
            <w:r>
              <w:rPr>
                <w:webHidden/>
              </w:rPr>
              <w:instrText xml:space="preserve">PAGEREF _Toc229922540 \h</w:instrText>
            </w:r>
            <w:r>
              <w:rPr>
                <w:webHidden/>
              </w:rPr>
              <w:fldChar w:fldCharType="separate"/>
            </w:r>
            <w:r>
              <w:rPr>
                <w:rStyle w:val="Enlacedelndice"/>
                <w:rFonts w:ascii="Helvetica Neue Light" w:hAnsi="Helvetica Neue Light"/>
                <w:b w:val="false"/>
                <w:bCs w:val="false"/>
                <w:vanish w:val="false"/>
                <w:sz w:val="16"/>
                <w:szCs w:val="16"/>
              </w:rPr>
              <w:tab/>
              <w:t>19</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1">
            <w:r>
              <w:rPr>
                <w:webHidden/>
                <w:rStyle w:val="Enlacedelndice"/>
                <w:rFonts w:ascii="Helvetica Neue Light" w:hAnsi="Helvetica Neue Light"/>
                <w:b w:val="false"/>
                <w:bCs w:val="false"/>
                <w:sz w:val="16"/>
                <w:szCs w:val="16"/>
              </w:rPr>
              <w:t>4.4.2. Secuencia Desexcitación con Paro de Emergencia</w:t>
            </w:r>
            <w:r>
              <w:rPr>
                <w:webHidden/>
              </w:rPr>
              <w:fldChar w:fldCharType="begin"/>
            </w:r>
            <w:r>
              <w:rPr>
                <w:webHidden/>
              </w:rPr>
              <w:instrText xml:space="preserve">PAGEREF _Toc229922541 \h</w:instrText>
            </w:r>
            <w:r>
              <w:rPr>
                <w:webHidden/>
              </w:rPr>
              <w:fldChar w:fldCharType="separate"/>
            </w:r>
            <w:r>
              <w:rPr>
                <w:rStyle w:val="Enlacedelndice"/>
                <w:rFonts w:ascii="Helvetica Neue Light" w:hAnsi="Helvetica Neue Light"/>
                <w:b w:val="false"/>
                <w:bCs w:val="false"/>
                <w:vanish w:val="false"/>
                <w:sz w:val="16"/>
                <w:szCs w:val="16"/>
              </w:rPr>
              <w:tab/>
              <w:t>21</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2">
            <w:r>
              <w:rPr>
                <w:webHidden/>
                <w:rStyle w:val="Enlacedelndice"/>
                <w:rFonts w:ascii="Helvetica Neue Light" w:hAnsi="Helvetica Neue Light"/>
                <w:b w:val="false"/>
                <w:bCs w:val="false"/>
                <w:sz w:val="16"/>
                <w:szCs w:val="16"/>
              </w:rPr>
              <w:t>4.5. Seguidor Auto entre Canales y UCE's</w:t>
            </w:r>
            <w:r>
              <w:rPr>
                <w:webHidden/>
              </w:rPr>
              <w:fldChar w:fldCharType="begin"/>
            </w:r>
            <w:r>
              <w:rPr>
                <w:webHidden/>
              </w:rPr>
              <w:instrText xml:space="preserve">PAGEREF _Toc229922542 \h</w:instrText>
            </w:r>
            <w:r>
              <w:rPr>
                <w:webHidden/>
              </w:rPr>
              <w:fldChar w:fldCharType="separate"/>
            </w:r>
            <w:r>
              <w:rPr>
                <w:rStyle w:val="Enlacedelndice"/>
                <w:rFonts w:ascii="Helvetica Neue Light" w:hAnsi="Helvetica Neue Light"/>
                <w:b w:val="false"/>
                <w:bCs w:val="false"/>
                <w:vanish w:val="false"/>
                <w:sz w:val="16"/>
                <w:szCs w:val="16"/>
              </w:rPr>
              <w:tab/>
              <w:t>23</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3">
            <w:r>
              <w:rPr>
                <w:webHidden/>
                <w:rStyle w:val="Enlacedelndice"/>
                <w:rFonts w:ascii="Helvetica Neue Light" w:hAnsi="Helvetica Neue Light"/>
                <w:b w:val="false"/>
                <w:bCs w:val="false"/>
                <w:sz w:val="16"/>
                <w:szCs w:val="16"/>
              </w:rPr>
              <w:t>4.6. PSS — No aplica</w:t>
            </w:r>
            <w:r>
              <w:rPr>
                <w:webHidden/>
              </w:rPr>
              <w:fldChar w:fldCharType="begin"/>
            </w:r>
            <w:r>
              <w:rPr>
                <w:webHidden/>
              </w:rPr>
              <w:instrText xml:space="preserve">PAGEREF _Toc229922543 \h</w:instrText>
            </w:r>
            <w:r>
              <w:rPr>
                <w:webHidden/>
              </w:rPr>
              <w:fldChar w:fldCharType="separate"/>
            </w:r>
            <w:r>
              <w:rPr>
                <w:rStyle w:val="Enlacedelndice"/>
                <w:rFonts w:ascii="Helvetica Neue Light" w:hAnsi="Helvetica Neue Light"/>
                <w:b w:val="false"/>
                <w:bCs w:val="false"/>
                <w:vanish w:val="false"/>
                <w:sz w:val="16"/>
                <w:szCs w:val="16"/>
              </w:rPr>
              <w:tab/>
              <w:t>25</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4">
            <w:r>
              <w:rPr>
                <w:webHidden/>
                <w:rStyle w:val="Enlacedelndice"/>
                <w:rFonts w:ascii="Helvetica Neue Light" w:hAnsi="Helvetica Neue Light"/>
                <w:b w:val="false"/>
                <w:bCs w:val="false"/>
                <w:sz w:val="16"/>
                <w:szCs w:val="16"/>
              </w:rPr>
              <w:t>4.7. Limitador de Mínima Excitación (MEL) — No aplica</w:t>
            </w:r>
            <w:r>
              <w:rPr>
                <w:webHidden/>
              </w:rPr>
              <w:fldChar w:fldCharType="begin"/>
            </w:r>
            <w:r>
              <w:rPr>
                <w:webHidden/>
              </w:rPr>
              <w:instrText xml:space="preserve">PAGEREF _Toc229922544 \h</w:instrText>
            </w:r>
            <w:r>
              <w:rPr>
                <w:webHidden/>
              </w:rPr>
              <w:fldChar w:fldCharType="separate"/>
            </w:r>
            <w:r>
              <w:rPr>
                <w:rStyle w:val="Enlacedelndice"/>
                <w:rFonts w:ascii="Helvetica Neue Light" w:hAnsi="Helvetica Neue Light"/>
                <w:b w:val="false"/>
                <w:bCs w:val="false"/>
                <w:vanish w:val="false"/>
                <w:sz w:val="16"/>
                <w:szCs w:val="16"/>
              </w:rPr>
              <w:tab/>
              <w:t>25</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5">
            <w:r>
              <w:rPr>
                <w:webHidden/>
                <w:rStyle w:val="Enlacedelndice"/>
                <w:rFonts w:ascii="Helvetica Neue Light" w:hAnsi="Helvetica Neue Light"/>
                <w:b w:val="false"/>
                <w:bCs w:val="false"/>
                <w:sz w:val="16"/>
                <w:szCs w:val="16"/>
              </w:rPr>
              <w:t>4.8. Limitador de Máxima Excitación (OEL) — No aplica</w:t>
            </w:r>
            <w:r>
              <w:rPr>
                <w:webHidden/>
              </w:rPr>
              <w:fldChar w:fldCharType="begin"/>
            </w:r>
            <w:r>
              <w:rPr>
                <w:webHidden/>
              </w:rPr>
              <w:instrText xml:space="preserve">PAGEREF _Toc229922545 \h</w:instrText>
            </w:r>
            <w:r>
              <w:rPr>
                <w:webHidden/>
              </w:rPr>
              <w:fldChar w:fldCharType="separate"/>
            </w:r>
            <w:r>
              <w:rPr>
                <w:rStyle w:val="Enlacedelndice"/>
                <w:rFonts w:ascii="Helvetica Neue Light" w:hAnsi="Helvetica Neue Light"/>
                <w:b w:val="false"/>
                <w:bCs w:val="false"/>
                <w:vanish w:val="false"/>
                <w:sz w:val="16"/>
                <w:szCs w:val="16"/>
              </w:rPr>
              <w:tab/>
              <w:t>26</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6">
            <w:r>
              <w:rPr>
                <w:webHidden/>
                <w:rStyle w:val="Enlacedelndice"/>
                <w:rFonts w:ascii="Helvetica Neue Light" w:hAnsi="Helvetica Neue Light"/>
                <w:b w:val="false"/>
                <w:bCs w:val="false"/>
                <w:sz w:val="16"/>
                <w:szCs w:val="16"/>
              </w:rPr>
              <w:t>Sistema de Control de Tensión, Pruebas con Carga</w:t>
            </w:r>
            <w:r>
              <w:rPr>
                <w:webHidden/>
              </w:rPr>
              <w:fldChar w:fldCharType="begin"/>
            </w:r>
            <w:r>
              <w:rPr>
                <w:webHidden/>
              </w:rPr>
              <w:instrText xml:space="preserve">PAGEREF _Toc229922546 \h</w:instrText>
            </w:r>
            <w:r>
              <w:rPr>
                <w:webHidden/>
              </w:rPr>
              <w:fldChar w:fldCharType="separate"/>
            </w:r>
            <w:r>
              <w:rPr>
                <w:rStyle w:val="Enlacedelndice"/>
                <w:rFonts w:ascii="Helvetica Neue Light" w:hAnsi="Helvetica Neue Light"/>
                <w:b w:val="false"/>
                <w:bCs w:val="false"/>
                <w:vanish w:val="false"/>
                <w:sz w:val="16"/>
                <w:szCs w:val="16"/>
              </w:rPr>
              <w:tab/>
              <w:t>26</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7">
            <w:r>
              <w:rPr>
                <w:webHidden/>
                <w:rStyle w:val="Enlacedelndice"/>
                <w:rFonts w:ascii="Helvetica Neue Light" w:hAnsi="Helvetica Neue Light"/>
                <w:b w:val="false"/>
                <w:bCs w:val="false"/>
                <w:sz w:val="16"/>
                <w:szCs w:val="16"/>
              </w:rPr>
              <w:t>4.9. Compensador de Reactivos</w:t>
            </w:r>
            <w:r>
              <w:rPr>
                <w:webHidden/>
              </w:rPr>
              <w:fldChar w:fldCharType="begin"/>
            </w:r>
            <w:r>
              <w:rPr>
                <w:webHidden/>
              </w:rPr>
              <w:instrText xml:space="preserve">PAGEREF _Toc229922547 \h</w:instrText>
            </w:r>
            <w:r>
              <w:rPr>
                <w:webHidden/>
              </w:rPr>
              <w:fldChar w:fldCharType="separate"/>
            </w:r>
            <w:r>
              <w:rPr>
                <w:rStyle w:val="Enlacedelndice"/>
                <w:rFonts w:ascii="Helvetica Neue Light" w:hAnsi="Helvetica Neue Light"/>
                <w:b w:val="false"/>
                <w:bCs w:val="false"/>
                <w:vanish w:val="false"/>
                <w:sz w:val="16"/>
                <w:szCs w:val="16"/>
              </w:rPr>
              <w:tab/>
              <w:t>26</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8">
            <w:r>
              <w:rPr>
                <w:webHidden/>
                <w:rStyle w:val="Enlacedelndice"/>
                <w:rFonts w:ascii="Helvetica Neue Light" w:hAnsi="Helvetica Neue Light"/>
                <w:b w:val="false"/>
                <w:bCs w:val="false"/>
                <w:sz w:val="16"/>
                <w:szCs w:val="16"/>
              </w:rPr>
              <w:t>Sistema de Control de Velocidad en Vacio</w:t>
            </w:r>
            <w:r>
              <w:rPr>
                <w:webHidden/>
              </w:rPr>
              <w:fldChar w:fldCharType="begin"/>
            </w:r>
            <w:r>
              <w:rPr>
                <w:webHidden/>
              </w:rPr>
              <w:instrText xml:space="preserve">PAGEREF _Toc229922548 \h</w:instrText>
            </w:r>
            <w:r>
              <w:rPr>
                <w:webHidden/>
              </w:rPr>
              <w:fldChar w:fldCharType="separate"/>
            </w:r>
            <w:r>
              <w:rPr>
                <w:rStyle w:val="Enlacedelndice"/>
                <w:rFonts w:ascii="Helvetica Neue Light" w:hAnsi="Helvetica Neue Light"/>
                <w:b w:val="false"/>
                <w:bCs w:val="false"/>
                <w:vanish w:val="false"/>
                <w:sz w:val="16"/>
                <w:szCs w:val="16"/>
              </w:rPr>
              <w:tab/>
              <w:t>28</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49">
            <w:r>
              <w:rPr>
                <w:webHidden/>
                <w:rStyle w:val="Enlacedelndice"/>
                <w:rFonts w:ascii="Helvetica Neue Light" w:hAnsi="Helvetica Neue Light"/>
                <w:b w:val="false"/>
                <w:bCs w:val="false"/>
                <w:sz w:val="16"/>
                <w:szCs w:val="16"/>
              </w:rPr>
              <w:t>4.10. Apertura y Cierre de Elementos Finales de Control</w:t>
            </w:r>
            <w:r>
              <w:rPr>
                <w:webHidden/>
              </w:rPr>
              <w:fldChar w:fldCharType="begin"/>
            </w:r>
            <w:r>
              <w:rPr>
                <w:webHidden/>
              </w:rPr>
              <w:instrText xml:space="preserve">PAGEREF _Toc229922549 \h</w:instrText>
            </w:r>
            <w:r>
              <w:rPr>
                <w:webHidden/>
              </w:rPr>
              <w:fldChar w:fldCharType="separate"/>
            </w:r>
            <w:r>
              <w:rPr>
                <w:rStyle w:val="Enlacedelndice"/>
                <w:rFonts w:ascii="Helvetica Neue Light" w:hAnsi="Helvetica Neue Light"/>
                <w:b w:val="false"/>
                <w:bCs w:val="false"/>
                <w:vanish w:val="false"/>
                <w:sz w:val="16"/>
                <w:szCs w:val="16"/>
              </w:rPr>
              <w:tab/>
              <w:t>28</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50">
            <w:r>
              <w:rPr>
                <w:webHidden/>
                <w:rStyle w:val="Enlacedelndice"/>
                <w:rFonts w:ascii="Helvetica Neue Light" w:hAnsi="Helvetica Neue Light"/>
                <w:b w:val="false"/>
                <w:bCs w:val="false"/>
                <w:sz w:val="16"/>
                <w:szCs w:val="16"/>
              </w:rPr>
              <w:t>4.11. Secuencia de Arranque</w:t>
            </w:r>
            <w:r>
              <w:rPr>
                <w:webHidden/>
              </w:rPr>
              <w:fldChar w:fldCharType="begin"/>
            </w:r>
            <w:r>
              <w:rPr>
                <w:webHidden/>
              </w:rPr>
              <w:instrText xml:space="preserve">PAGEREF _Toc229922550 \h</w:instrText>
            </w:r>
            <w:r>
              <w:rPr>
                <w:webHidden/>
              </w:rPr>
              <w:fldChar w:fldCharType="separate"/>
            </w:r>
            <w:r>
              <w:rPr>
                <w:rStyle w:val="Enlacedelndice"/>
                <w:rFonts w:ascii="Helvetica Neue Light" w:hAnsi="Helvetica Neue Light"/>
                <w:b w:val="false"/>
                <w:bCs w:val="false"/>
                <w:vanish w:val="false"/>
                <w:sz w:val="16"/>
                <w:szCs w:val="16"/>
              </w:rPr>
              <w:tab/>
              <w:t>29</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51">
            <w:r>
              <w:rPr>
                <w:webHidden/>
                <w:rStyle w:val="Enlacedelndice"/>
                <w:rFonts w:ascii="Helvetica Neue Light" w:hAnsi="Helvetica Neue Light"/>
                <w:b w:val="false"/>
                <w:bCs w:val="false"/>
                <w:sz w:val="16"/>
                <w:szCs w:val="16"/>
              </w:rPr>
              <w:t>Sistema de Control de Velocidad con Carga</w:t>
            </w:r>
            <w:r>
              <w:rPr>
                <w:webHidden/>
              </w:rPr>
              <w:fldChar w:fldCharType="begin"/>
            </w:r>
            <w:r>
              <w:rPr>
                <w:webHidden/>
              </w:rPr>
              <w:instrText xml:space="preserve">PAGEREF _Toc229922551 \h</w:instrText>
            </w:r>
            <w:r>
              <w:rPr>
                <w:webHidden/>
              </w:rPr>
              <w:fldChar w:fldCharType="separate"/>
            </w:r>
            <w:r>
              <w:rPr>
                <w:rStyle w:val="Enlacedelndice"/>
                <w:rFonts w:ascii="Helvetica Neue Light" w:hAnsi="Helvetica Neue Light"/>
                <w:b w:val="false"/>
                <w:bCs w:val="false"/>
                <w:vanish w:val="false"/>
                <w:sz w:val="16"/>
                <w:szCs w:val="16"/>
              </w:rPr>
              <w:tab/>
              <w:t>31</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52">
            <w:r>
              <w:rPr>
                <w:webHidden/>
                <w:rStyle w:val="Enlacedelndice"/>
                <w:rFonts w:ascii="Helvetica Neue Light" w:hAnsi="Helvetica Neue Light"/>
                <w:b w:val="false"/>
                <w:bCs w:val="false"/>
                <w:sz w:val="16"/>
                <w:szCs w:val="16"/>
              </w:rPr>
              <w:t>4.12. Variador de Velocidad</w:t>
            </w:r>
            <w:r>
              <w:rPr>
                <w:webHidden/>
              </w:rPr>
              <w:fldChar w:fldCharType="begin"/>
            </w:r>
            <w:r>
              <w:rPr>
                <w:webHidden/>
              </w:rPr>
              <w:instrText xml:space="preserve">PAGEREF _Toc229922552 \h</w:instrText>
            </w:r>
            <w:r>
              <w:rPr>
                <w:webHidden/>
              </w:rPr>
              <w:fldChar w:fldCharType="separate"/>
            </w:r>
            <w:r>
              <w:rPr>
                <w:rStyle w:val="Enlacedelndice"/>
                <w:rFonts w:ascii="Helvetica Neue Light" w:hAnsi="Helvetica Neue Light"/>
                <w:b w:val="false"/>
                <w:bCs w:val="false"/>
                <w:vanish w:val="false"/>
                <w:sz w:val="16"/>
                <w:szCs w:val="16"/>
              </w:rPr>
              <w:tab/>
              <w:t>31</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53">
            <w:r>
              <w:rPr>
                <w:webHidden/>
                <w:rStyle w:val="Enlacedelndice"/>
                <w:rFonts w:ascii="Helvetica Neue Light" w:hAnsi="Helvetica Neue Light"/>
                <w:b w:val="false"/>
                <w:bCs w:val="false"/>
                <w:sz w:val="16"/>
                <w:szCs w:val="16"/>
              </w:rPr>
              <w:t>4.16. Escalones de Velocidad</w:t>
            </w:r>
            <w:r>
              <w:rPr>
                <w:webHidden/>
              </w:rPr>
              <w:fldChar w:fldCharType="begin"/>
            </w:r>
            <w:r>
              <w:rPr>
                <w:webHidden/>
              </w:rPr>
              <w:instrText xml:space="preserve">PAGEREF _Toc229922553 \h</w:instrText>
            </w:r>
            <w:r>
              <w:rPr>
                <w:webHidden/>
              </w:rPr>
              <w:fldChar w:fldCharType="separate"/>
            </w:r>
            <w:r>
              <w:rPr>
                <w:rStyle w:val="Enlacedelndice"/>
                <w:rFonts w:ascii="Helvetica Neue Light" w:hAnsi="Helvetica Neue Light"/>
                <w:b w:val="false"/>
                <w:bCs w:val="false"/>
                <w:vanish w:val="false"/>
                <w:sz w:val="16"/>
                <w:szCs w:val="16"/>
              </w:rPr>
              <w:tab/>
              <w:t>32</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54">
            <w:r>
              <w:rPr>
                <w:webHidden/>
                <w:rStyle w:val="Enlacedelndice"/>
                <w:rFonts w:ascii="Helvetica Neue Light" w:hAnsi="Helvetica Neue Light"/>
                <w:b w:val="false"/>
                <w:bCs w:val="false"/>
                <w:sz w:val="16"/>
                <w:szCs w:val="16"/>
              </w:rPr>
              <w:t>4.17. Protección por Sobre Velocidad</w:t>
            </w:r>
            <w:r>
              <w:rPr>
                <w:webHidden/>
              </w:rPr>
              <w:fldChar w:fldCharType="begin"/>
            </w:r>
            <w:r>
              <w:rPr>
                <w:webHidden/>
              </w:rPr>
              <w:instrText xml:space="preserve">PAGEREF _Toc229922554 \h</w:instrText>
            </w:r>
            <w:r>
              <w:rPr>
                <w:webHidden/>
              </w:rPr>
              <w:fldChar w:fldCharType="separate"/>
            </w:r>
            <w:r>
              <w:rPr>
                <w:rStyle w:val="Enlacedelndice"/>
                <w:rFonts w:ascii="Helvetica Neue Light" w:hAnsi="Helvetica Neue Light"/>
                <w:b w:val="false"/>
                <w:bCs w:val="false"/>
                <w:vanish w:val="false"/>
                <w:sz w:val="16"/>
                <w:szCs w:val="16"/>
              </w:rPr>
              <w:tab/>
              <w:t>34</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55">
            <w:r>
              <w:rPr>
                <w:webHidden/>
                <w:rStyle w:val="Enlacedelndice"/>
                <w:rFonts w:ascii="Helvetica Neue Light" w:hAnsi="Helvetica Neue Light"/>
                <w:b w:val="false"/>
                <w:bCs w:val="false"/>
                <w:sz w:val="16"/>
                <w:szCs w:val="16"/>
              </w:rPr>
              <w:t>4.18. Variador de Carga</w:t>
            </w:r>
            <w:r>
              <w:rPr>
                <w:webHidden/>
              </w:rPr>
              <w:fldChar w:fldCharType="begin"/>
            </w:r>
            <w:r>
              <w:rPr>
                <w:webHidden/>
              </w:rPr>
              <w:instrText xml:space="preserve">PAGEREF _Toc229922555 \h</w:instrText>
            </w:r>
            <w:r>
              <w:rPr>
                <w:webHidden/>
              </w:rPr>
              <w:fldChar w:fldCharType="separate"/>
            </w:r>
            <w:r>
              <w:rPr>
                <w:rStyle w:val="Enlacedelndice"/>
                <w:rFonts w:ascii="Helvetica Neue Light" w:hAnsi="Helvetica Neue Light"/>
                <w:b w:val="false"/>
                <w:bCs w:val="false"/>
                <w:vanish w:val="false"/>
                <w:sz w:val="16"/>
                <w:szCs w:val="16"/>
              </w:rPr>
              <w:tab/>
              <w:t>35</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56">
            <w:r>
              <w:rPr>
                <w:webHidden/>
                <w:rStyle w:val="Enlacedelndice"/>
                <w:rFonts w:ascii="Helvetica Neue Light" w:hAnsi="Helvetica Neue Light"/>
                <w:b w:val="false"/>
                <w:bCs w:val="false"/>
                <w:sz w:val="16"/>
                <w:szCs w:val="16"/>
              </w:rPr>
              <w:t>4.19. Limitador de Carga</w:t>
            </w:r>
            <w:r>
              <w:rPr>
                <w:webHidden/>
              </w:rPr>
              <w:fldChar w:fldCharType="begin"/>
            </w:r>
            <w:r>
              <w:rPr>
                <w:webHidden/>
              </w:rPr>
              <w:instrText xml:space="preserve">PAGEREF _Toc229922556 \h</w:instrText>
            </w:r>
            <w:r>
              <w:rPr>
                <w:webHidden/>
              </w:rPr>
              <w:fldChar w:fldCharType="separate"/>
            </w:r>
            <w:r>
              <w:rPr>
                <w:rStyle w:val="Enlacedelndice"/>
                <w:rFonts w:ascii="Helvetica Neue Light" w:hAnsi="Helvetica Neue Light"/>
                <w:b w:val="false"/>
                <w:bCs w:val="false"/>
                <w:vanish w:val="false"/>
                <w:sz w:val="16"/>
                <w:szCs w:val="16"/>
              </w:rPr>
              <w:tab/>
              <w:t>37</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18"/>
              <w:szCs w:val="18"/>
              <w14:ligatures w14:val="standardContextual"/>
            </w:rPr>
          </w:pPr>
          <w:hyperlink w:anchor="_Toc229922557">
            <w:r>
              <w:rPr>
                <w:webHidden/>
                <w:rStyle w:val="Enlacedelndice"/>
                <w:rFonts w:ascii="Helvetica Neue Light" w:hAnsi="Helvetica Neue Light"/>
                <w:b w:val="false"/>
                <w:bCs w:val="false"/>
                <w:sz w:val="16"/>
                <w:szCs w:val="16"/>
              </w:rPr>
              <w:t>4.20. Estatismo</w:t>
            </w:r>
            <w:r>
              <w:rPr>
                <w:webHidden/>
              </w:rPr>
              <w:fldChar w:fldCharType="begin"/>
            </w:r>
            <w:r>
              <w:rPr>
                <w:webHidden/>
              </w:rPr>
              <w:instrText xml:space="preserve">PAGEREF _Toc229922557 \h</w:instrText>
            </w:r>
            <w:r>
              <w:rPr>
                <w:webHidden/>
              </w:rPr>
              <w:fldChar w:fldCharType="separate"/>
            </w:r>
            <w:r>
              <w:rPr>
                <w:rStyle w:val="Enlacedelndice"/>
                <w:rFonts w:ascii="Helvetica Neue Light" w:hAnsi="Helvetica Neue Light"/>
                <w:b w:val="false"/>
                <w:bCs w:val="false"/>
                <w:vanish w:val="false"/>
                <w:sz w:val="16"/>
                <w:szCs w:val="16"/>
              </w:rPr>
              <w:tab/>
              <w:t>39</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sz w:val="18"/>
              <w:szCs w:val="18"/>
              <w14:ligatures w14:val="standardContextual"/>
            </w:rPr>
          </w:pPr>
          <w:hyperlink w:anchor="_Toc229922558">
            <w:r>
              <w:rPr>
                <w:webHidden/>
                <w:rStyle w:val="Enlacedelndice"/>
                <w:rFonts w:ascii="Helvetica Neue Light" w:hAnsi="Helvetica Neue Light"/>
                <w:b w:val="false"/>
                <w:bCs w:val="false"/>
                <w:i w:val="false"/>
                <w:iCs w:val="false"/>
                <w:sz w:val="18"/>
                <w:szCs w:val="18"/>
              </w:rPr>
              <w:t>5. Datos de pruebas</w:t>
            </w:r>
            <w:r>
              <w:rPr>
                <w:webHidden/>
              </w:rPr>
              <w:fldChar w:fldCharType="begin"/>
            </w:r>
            <w:r>
              <w:rPr>
                <w:webHidden/>
              </w:rPr>
              <w:instrText xml:space="preserve">PAGEREF _Toc229922558 \h</w:instrText>
            </w:r>
            <w:r>
              <w:rPr>
                <w:webHidden/>
              </w:rPr>
              <w:fldChar w:fldCharType="separate"/>
            </w:r>
            <w:r>
              <w:rPr>
                <w:rStyle w:val="Enlacedelndice"/>
                <w:rFonts w:ascii="Helvetica Neue Light" w:hAnsi="Helvetica Neue Light"/>
                <w:b w:val="false"/>
                <w:bCs w:val="false"/>
                <w:i w:val="false"/>
                <w:iCs w:val="false"/>
                <w:vanish w:val="false"/>
                <w:sz w:val="18"/>
                <w:szCs w:val="18"/>
              </w:rPr>
              <w:tab/>
              <w:t>42</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sz w:val="18"/>
              <w:szCs w:val="18"/>
              <w14:ligatures w14:val="standardContextual"/>
            </w:rPr>
          </w:pPr>
          <w:hyperlink w:anchor="_Toc229922559">
            <w:r>
              <w:rPr>
                <w:webHidden/>
                <w:rStyle w:val="Enlacedelndice"/>
                <w:rFonts w:ascii="Helvetica Neue Light" w:hAnsi="Helvetica Neue Light"/>
                <w:b w:val="false"/>
                <w:bCs w:val="false"/>
                <w:i w:val="false"/>
                <w:iCs w:val="false"/>
                <w:sz w:val="18"/>
                <w:szCs w:val="18"/>
              </w:rPr>
              <w:t>6. Certificados de Calibración de Equipos de Medición</w:t>
            </w:r>
            <w:r>
              <w:rPr>
                <w:webHidden/>
              </w:rPr>
              <w:fldChar w:fldCharType="begin"/>
            </w:r>
            <w:r>
              <w:rPr>
                <w:webHidden/>
              </w:rPr>
              <w:instrText xml:space="preserve">PAGEREF _Toc229922559 \h</w:instrText>
            </w:r>
            <w:r>
              <w:rPr>
                <w:webHidden/>
              </w:rPr>
              <w:fldChar w:fldCharType="separate"/>
            </w:r>
            <w:r>
              <w:rPr>
                <w:rStyle w:val="Enlacedelndice"/>
                <w:rFonts w:ascii="Helvetica Neue Light" w:hAnsi="Helvetica Neue Light"/>
                <w:b w:val="false"/>
                <w:bCs w:val="false"/>
                <w:i w:val="false"/>
                <w:iCs w:val="false"/>
                <w:vanish w:val="false"/>
                <w:sz w:val="18"/>
                <w:szCs w:val="18"/>
              </w:rPr>
              <w:tab/>
              <w:t>42</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sz w:val="18"/>
              <w:szCs w:val="18"/>
              <w14:ligatures w14:val="standardContextual"/>
            </w:rPr>
          </w:pPr>
          <w:hyperlink w:anchor="_Toc229922560">
            <w:r>
              <w:rPr>
                <w:webHidden/>
                <w:rStyle w:val="Enlacedelndice"/>
                <w:rFonts w:ascii="Helvetica Neue Light" w:hAnsi="Helvetica Neue Light"/>
                <w:b w:val="false"/>
                <w:bCs w:val="false"/>
                <w:i w:val="false"/>
                <w:iCs w:val="false"/>
                <w:sz w:val="18"/>
                <w:szCs w:val="18"/>
              </w:rPr>
              <w:t>7. Referencias</w:t>
            </w:r>
            <w:r>
              <w:rPr>
                <w:webHidden/>
              </w:rPr>
              <w:fldChar w:fldCharType="begin"/>
            </w:r>
            <w:r>
              <w:rPr>
                <w:webHidden/>
              </w:rPr>
              <w:instrText xml:space="preserve">PAGEREF _Toc229922560 \h</w:instrText>
            </w:r>
            <w:r>
              <w:rPr>
                <w:webHidden/>
              </w:rPr>
              <w:fldChar w:fldCharType="separate"/>
            </w:r>
            <w:r>
              <w:rPr>
                <w:rStyle w:val="Enlacedelndice"/>
                <w:rFonts w:ascii="Helvetica Neue Light" w:hAnsi="Helvetica Neue Light"/>
                <w:b w:val="false"/>
                <w:bCs w:val="false"/>
                <w:i w:val="false"/>
                <w:iCs w:val="false"/>
                <w:vanish w:val="false"/>
                <w:sz w:val="18"/>
                <w:szCs w:val="18"/>
              </w:rPr>
              <w:tab/>
              <w:t>42</w:t>
            </w:r>
            <w:r>
              <w:rPr>
                <w:webHidden/>
              </w:rPr>
              <w:fldChar w:fldCharType="end"/>
            </w:r>
          </w:hyperlink>
        </w:p>
        <w:p>
          <w:pPr>
            <w:pStyle w:val="Normal"/>
            <w:rPr/>
          </w:pPr>
          <w:r>
            <w:rPr/>
          </w:r>
          <w:r>
            <w:rPr/>
            <w:fldChar w:fldCharType="end"/>
          </w:r>
        </w:p>
      </w:sdtContent>
    </w:sdt>
    <w:p>
      <w:pPr>
        <w:pStyle w:val="Heading1"/>
        <w:rPr/>
      </w:pPr>
      <w:bookmarkStart w:id="0" w:name="_Toc229922531"/>
      <w:r>
        <w:rPr/>
        <w:t>1. Definiciones y Abreviaciones</w:t>
      </w:r>
      <w:bookmarkEnd w:id="0"/>
    </w:p>
    <w:p>
      <w:pPr>
        <w:pStyle w:val="Normal"/>
        <w:spacing w:before="160" w:after="80"/>
        <w:rPr/>
      </w:pPr>
      <w:r>
        <w:rPr>
          <w:rFonts w:eastAsia="Montserrat Medium" w:cs="Montserrat Medium" w:ascii="Montserrat Medium" w:hAnsi="Montserrat Medium"/>
          <w:color w:val="312E81"/>
        </w:rPr>
        <w:t>Tabla 1.1: Definiciones</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34" w:footer="708" w:bottom="1440"/>
          <w:pgNumType w:fmt="decimal"/>
          <w:formProt w:val="false"/>
          <w:titlePg/>
          <w:textDirection w:val="lrTb"/>
          <w:docGrid w:type="default" w:linePitch="600" w:charSpace="36864"/>
        </w:sectPr>
      </w:pPr>
    </w:p>
    <w:tbl>
      <w:tblPr>
        <w:tblW w:w="4248"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129"/>
        <w:gridCol w:w="3118"/>
      </w:tblGrid>
      <w:tr>
        <w:trPr>
          <w:tblHeader w:val="true"/>
        </w:trPr>
        <w:tc>
          <w:tcPr>
            <w:tcW w:w="1129"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pPr>
            <w:r>
              <w:rPr>
                <w:b/>
                <w:bCs/>
                <w:color w:val="FFFFFF"/>
                <w:sz w:val="20"/>
                <w:szCs w:val="20"/>
              </w:rPr>
              <w:t>Término</w:t>
            </w:r>
          </w:p>
        </w:tc>
        <w:tc>
          <w:tcPr>
            <w:tcW w:w="3118"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pPr>
            <w:r>
              <w:rPr>
                <w:b/>
                <w:bCs/>
                <w:color w:val="FFFFFF"/>
                <w:sz w:val="20"/>
                <w:szCs w:val="20"/>
              </w:rPr>
              <w:t>Definición</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Voltaje</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Un</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Voltaje Nominal</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Potencia Activa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Q</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Potencia Reactiva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S</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Potencia Aparente</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Sn</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Potencia Aparente Nominal</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Velocidad del rotor</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Pnom</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Potencia Activa nominal</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Pmax</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Potencia Activa Máxima declarada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f</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Frecuencia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tr</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Tiempo de respuesta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ts</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Tiempo de estabilización</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SP</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Sobrepaso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Vg</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Voltaje de generador</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Ig</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Corriente de generador</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Vf</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Voltaje de campo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If</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Corriente de campo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Vgsp</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Consigna de voltaje de generador (setpoint)</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ε</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Constante de amortiguamiento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Vaux</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Voltaje de auxiliares</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Vbus</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Voltaje en el bus de alta tensión</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%CRc</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Constante de regulación del compensador de reactivos calculado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%CRd</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Constante de regulación del compensador de reactivos programado en el regulador de tensión</w:t>
            </w:r>
          </w:p>
        </w:tc>
      </w:tr>
    </w:tbl>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160" w:after="80"/>
        <w:rPr/>
      </w:pPr>
      <w:r>
        <w:rPr>
          <w:rFonts w:eastAsia="Montserrat Medium" w:cs="Montserrat Medium" w:ascii="Montserrat Medium" w:hAnsi="Montserrat Medium"/>
          <w:color w:val="312E81"/>
        </w:rPr>
        <w:t>Tabla 1.2: Abreviaciones</w:t>
      </w:r>
    </w:p>
    <w:tbl>
      <w:tblPr>
        <w:tblW w:w="900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270"/>
        <w:gridCol w:w="7729"/>
      </w:tblGrid>
      <w:tr>
        <w:trPr>
          <w:tblHeader w:val="true"/>
        </w:trPr>
        <w:tc>
          <w:tcPr>
            <w:tcW w:w="127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pPr>
            <w:r>
              <w:rPr>
                <w:b/>
                <w:bCs/>
                <w:color w:val="FFFFFF"/>
                <w:sz w:val="20"/>
                <w:szCs w:val="20"/>
              </w:rPr>
              <w:t>Abreviación</w:t>
            </w:r>
          </w:p>
        </w:tc>
        <w:tc>
          <w:tcPr>
            <w:tcW w:w="7729"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pPr>
            <w:r>
              <w:rPr>
                <w:b/>
                <w:bCs/>
                <w:color w:val="FFFFFF"/>
                <w:sz w:val="20"/>
                <w:szCs w:val="20"/>
              </w:rPr>
              <w:t>Término completo / Descripción</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LIE</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Ley de la Industria Eléctrica</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CENACE</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Centro Nacional de Control de Energía</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CRE</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Comisión Reguladora de Energía</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SIN</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Sistema Interconectado Nacional</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PSS</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Sistema estabilizador de potencia</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POD</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Amortiguador de Oscilaciones de Potencia</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AFS</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Amortiguamiento Fuera de Servicio = (p3f - p0f) / (p1f - p0f)</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AES</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Amortiguamiento En Servicio = (p3d - p0d) / (p1d - p0d)</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MEL</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Limitador de mínima excitación</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OEL</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Limitador de máxima excitación</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AVR</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Regulador Automático de Voltaje</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AGC</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Controlador Automático de Generación</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F.P.</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Factor de Potencia</w:t>
            </w:r>
          </w:p>
        </w:tc>
      </w:tr>
      <w:tr>
        <w:trPr/>
        <w:tc>
          <w:tcPr>
            <w:tcW w:w="1270"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UCE</w:t>
            </w:r>
          </w:p>
        </w:tc>
        <w:tc>
          <w:tcPr>
            <w:tcW w:w="77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pPr>
            <w:r>
              <w:rPr>
                <w:color w:val="404040"/>
                <w:sz w:val="20"/>
                <w:szCs w:val="20"/>
              </w:rPr>
              <w:t>Unidad de Control de Excitación</w:t>
            </w:r>
          </w:p>
        </w:tc>
      </w:tr>
    </w:tbl>
    <w:p>
      <w:pPr>
        <w:pStyle w:val="Normal"/>
        <w:rPr/>
      </w:pPr>
      <w:r>
        <w:rPr/>
      </w:r>
      <w:r>
        <w:br w:type="page"/>
      </w:r>
    </w:p>
    <w:p>
      <w:pPr>
        <w:pStyle w:val="Heading1"/>
        <w:spacing w:before="0" w:after="200"/>
        <w:rPr/>
      </w:pPr>
      <w:bookmarkStart w:id="1" w:name="_Toc229922532"/>
      <w:r>
        <w:rPr/>
        <w:t>2. Introducción</w:t>
      </w:r>
      <w:bookmarkEnd w:id="1"/>
    </w:p>
    <w:p>
      <w:pPr>
        <w:pStyle w:val="Normal"/>
        <w:rPr>
          <w:sz w:val="21"/>
          <w:szCs w:val="21"/>
        </w:rPr>
      </w:pPr>
      <w:r>
        <w:rPr>
          <w:sz w:val="21"/>
          <w:szCs w:val="21"/>
        </w:rPr>
        <w:t>La Resolución No. 02/2019, emitida por el Centro Nacional de Control de Energía (CENACE), establece el Procedimiento de Operación para la Declaración de Entrada en Operación Comercial de Centrales Eléctricas y Centros de Carga. Dentro de dicho procedimiento se incluye el Anexo 5: “Listado de Pruebas por Tipo de Central Eléctrica”, en el cual se definen las pruebas que forman parte de los requisitos de entrada en operación comercial para los distintos tipos de central, incluyendo las Centrales Eléctricas tipo B.  </w:t>
      </w:r>
    </w:p>
    <w:p>
      <w:pPr>
        <w:pStyle w:val="Normal"/>
        <w:rPr>
          <w:sz w:val="21"/>
          <w:szCs w:val="21"/>
        </w:rPr>
      </w:pPr>
      <w:r>
        <w:rPr>
          <w:sz w:val="21"/>
          <w:szCs w:val="21"/>
        </w:rPr>
      </w:r>
    </w:p>
    <w:p>
      <w:pPr>
        <w:pStyle w:val="Normal"/>
        <w:rPr>
          <w:sz w:val="21"/>
          <w:szCs w:val="21"/>
        </w:rPr>
      </w:pPr>
      <w:r>
        <w:rPr>
          <w:sz w:val="21"/>
          <w:szCs w:val="21"/>
        </w:rPr>
        <w:t xml:space="preserve">El listado de pruebas comprende evaluaciones por unidad de generación, pruebas por Central Eléctrica, pruebas preoperativas y operativas, pruebas de operación y pruebas de desempeño. En este documento se desarrollan únicamente las </w:t>
      </w:r>
      <w:r>
        <w:rPr>
          <w:b/>
          <w:bCs/>
          <w:sz w:val="21"/>
          <w:szCs w:val="21"/>
        </w:rPr>
        <w:t>Pruebas de Comportamiento por Unidad</w:t>
      </w:r>
      <w:r>
        <w:rPr>
          <w:sz w:val="21"/>
          <w:szCs w:val="21"/>
        </w:rPr>
        <w:t>, aplicables a la Unidad 01 de la Central Eléctrica en modalidad de Abasto Aislado CNK con inyección de energía a la RGD.</w:t>
      </w:r>
    </w:p>
    <w:p>
      <w:pPr>
        <w:pStyle w:val="Normal"/>
        <w:rPr>
          <w:sz w:val="21"/>
          <w:szCs w:val="21"/>
        </w:rPr>
      </w:pPr>
      <w:r>
        <w:rPr>
          <w:sz w:val="21"/>
          <w:szCs w:val="21"/>
        </w:rPr>
      </w:r>
    </w:p>
    <w:p>
      <w:pPr>
        <w:pStyle w:val="Normal"/>
        <w:rPr>
          <w:sz w:val="21"/>
          <w:szCs w:val="21"/>
        </w:rPr>
      </w:pPr>
      <w:r>
        <w:rPr>
          <w:sz w:val="21"/>
          <w:szCs w:val="21"/>
        </w:rPr>
        <w:t>Estas pruebas tienen como finalidad verificar el desempeño individual de la unidad generadora y de sus sistemas principales de control, regulación y protección, particularmente los asociados a tensión, excitación, velocidad, carga, estatismo, arranque, rechazo de carga y secuencias operativas.</w:t>
      </w:r>
    </w:p>
    <w:p>
      <w:pPr>
        <w:pStyle w:val="Normal"/>
        <w:rPr>
          <w:sz w:val="21"/>
          <w:szCs w:val="21"/>
        </w:rPr>
      </w:pPr>
      <w:r>
        <w:rPr>
          <w:sz w:val="21"/>
          <w:szCs w:val="21"/>
        </w:rPr>
      </w:r>
    </w:p>
    <w:p>
      <w:pPr>
        <w:pStyle w:val="Normal"/>
        <w:rPr>
          <w:sz w:val="21"/>
          <w:szCs w:val="21"/>
        </w:rPr>
      </w:pPr>
      <w:r>
        <w:rPr>
          <w:sz w:val="21"/>
          <w:szCs w:val="21"/>
        </w:rPr>
        <w:t>La metodología utilizada para la ejecución de las pruebas se apegó al procedimiento específico desarrollado para la Central Eléctrica. Dicho procedimiento tiene como base los siguientes documentos:</w:t>
      </w:r>
    </w:p>
    <w:p>
      <w:pPr>
        <w:pStyle w:val="Normal"/>
        <w:rPr>
          <w:sz w:val="21"/>
          <w:szCs w:val="21"/>
        </w:rPr>
      </w:pPr>
      <w:r>
        <w:rPr>
          <w:sz w:val="21"/>
          <w:szCs w:val="21"/>
        </w:rPr>
      </w:r>
    </w:p>
    <w:p>
      <w:pPr>
        <w:pStyle w:val="ListParagraph"/>
        <w:numPr>
          <w:ilvl w:val="0"/>
          <w:numId w:val="1"/>
        </w:numPr>
        <w:rPr/>
      </w:pPr>
      <w:r>
        <w:rPr>
          <w:b/>
          <w:bCs/>
        </w:rPr>
        <w:t>Código de Red 2.0</w:t>
      </w:r>
      <w:r>
        <w:rPr/>
        <w:t xml:space="preserve">, publicado el 31 de diciembre de 2021 mediante la </w:t>
      </w:r>
      <w:r>
        <w:rPr>
          <w:b/>
          <w:bCs/>
        </w:rPr>
        <w:t>Resolución Núm. RES/550/2021</w:t>
      </w:r>
      <w:r>
        <w:rPr/>
        <w:t>.</w:t>
      </w:r>
    </w:p>
    <w:p>
      <w:pPr>
        <w:pStyle w:val="ListParagraph"/>
        <w:numPr>
          <w:ilvl w:val="0"/>
          <w:numId w:val="1"/>
        </w:numPr>
        <w:rPr/>
      </w:pPr>
      <w:r>
        <w:rPr>
          <w:b/>
          <w:bCs/>
        </w:rPr>
        <w:t>Norma Mexicana NMX-J-501-ANCE</w:t>
      </w:r>
      <w:r>
        <w:rPr/>
        <w:t xml:space="preserve">, </w:t>
      </w:r>
      <w:r>
        <w:rPr>
          <w:i/>
          <w:iCs/>
        </w:rPr>
        <w:t>Sistemas de control de centrales generadoras – Sistemas de excitación estáticos controlados por tiristores para generador síncrono – Especificaciones y pruebas</w:t>
      </w:r>
      <w:r>
        <w:rPr/>
        <w:t>.</w:t>
      </w:r>
    </w:p>
    <w:p>
      <w:pPr>
        <w:pStyle w:val="ListParagraph"/>
        <w:numPr>
          <w:ilvl w:val="0"/>
          <w:numId w:val="1"/>
        </w:numPr>
        <w:rPr/>
      </w:pPr>
      <w:r>
        <w:rPr>
          <w:b/>
          <w:bCs/>
        </w:rPr>
        <w:t>Procedimiento de Operación para la Declaración de Entrada en Operación Comercial de Centrales Eléctricas y Centros de Carga</w:t>
      </w:r>
      <w:r>
        <w:rPr/>
        <w:t xml:space="preserve">, conforme a la </w:t>
      </w:r>
      <w:r>
        <w:rPr>
          <w:b/>
          <w:bCs/>
        </w:rPr>
        <w:t>Resolución 02/2019</w:t>
      </w:r>
      <w:r>
        <w:rPr/>
        <w:t>.</w:t>
      </w:r>
    </w:p>
    <w:p>
      <w:pPr>
        <w:pStyle w:val="Normal"/>
        <w:spacing w:before="160" w:after="80"/>
        <w:rPr/>
      </w:pPr>
      <w:r>
        <w:rPr>
          <w:rFonts w:eastAsia="Montserrat Medium" w:cs="Montserrat Medium" w:ascii="Montserrat Medium" w:hAnsi="Montserrat Medium"/>
          <w:color w:val="312E81"/>
        </w:rPr>
        <w:t>Diagrama Unifilar</w:t>
      </w:r>
    </w:p>
    <w:p>
      <w:pPr>
        <w:pStyle w:val="Normal"/>
        <w:spacing w:before="0" w:after="120"/>
        <w:rPr>
          <w:sz w:val="21"/>
          <w:szCs w:val="21"/>
        </w:rPr>
      </w:pPr>
      <w:r>
        <w:rPr>
          <w:sz w:val="21"/>
          <w:szCs w:val="21"/>
        </w:rPr>
        <w:t xml:space="preserve">El proyecto se ubica en Carretera a Villa de García km 4.5, C.P. 66350, en el municipio de Santa Catarina, Estado de Nuevo León. El sistema se encuentra conformado por una </w:t>
      </w:r>
      <w:r>
        <w:rPr>
          <w:b/>
          <w:bCs/>
          <w:sz w:val="21"/>
          <w:szCs w:val="21"/>
        </w:rPr>
        <w:t>Central Eléctrica integrada por 4 Unidades de Generación con una capacidad de 1.475 MW cada una</w:t>
      </w:r>
      <w:r>
        <w:rPr>
          <w:sz w:val="21"/>
          <w:szCs w:val="21"/>
        </w:rPr>
        <w:t xml:space="preserve">, respaldadas por el Permiso de Generación de Energía Eléctrica No. E/1529/GEN/2015, para una </w:t>
      </w:r>
      <w:r>
        <w:rPr>
          <w:b/>
          <w:bCs/>
          <w:sz w:val="21"/>
          <w:szCs w:val="21"/>
        </w:rPr>
        <w:t>capacidad instalada total de 5.88 MW.</w:t>
      </w:r>
      <w:r>
        <w:rPr>
          <w:sz w:val="21"/>
          <w:szCs w:val="21"/>
        </w:rPr>
        <w:t xml:space="preserve"> Asimismo, se cuenta con un </w:t>
      </w:r>
      <w:r>
        <w:rPr>
          <w:b/>
          <w:bCs/>
          <w:sz w:val="21"/>
          <w:szCs w:val="21"/>
        </w:rPr>
        <w:t>Centro de Carga con una Demanda Contratada de 9 MW</w:t>
      </w:r>
      <w:r>
        <w:rPr>
          <w:sz w:val="21"/>
          <w:szCs w:val="21"/>
        </w:rPr>
        <w:t>; adicionalmente, se contempla la actualización de la Demanda Contratada, cuya fecha de entrada en operación comercial correspondiente se encuentra en proceso de confirmación.</w:t>
      </w:r>
    </w:p>
    <w:p>
      <w:pPr>
        <w:pStyle w:val="Normal"/>
        <w:rPr>
          <w:sz w:val="21"/>
          <w:szCs w:val="21"/>
        </w:rPr>
      </w:pPr>
      <w:r>
        <w:rPr>
          <w:sz w:val="21"/>
          <w:szCs w:val="21"/>
        </w:rPr>
      </w:r>
    </w:p>
    <w:p>
      <w:pPr>
        <w:pStyle w:val="Normal"/>
        <w:spacing w:before="0" w:after="120"/>
        <w:rPr>
          <w:sz w:val="21"/>
          <w:szCs w:val="21"/>
        </w:rPr>
      </w:pPr>
      <w:r>
        <w:rPr>
          <w:sz w:val="21"/>
          <w:szCs w:val="21"/>
        </w:rPr>
        <w:t>En la siguiente figura se muestra el diagrama unifilar simplificado con la topología antes mencionada.</w:t>
      </w:r>
    </w:p>
    <w:p>
      <w:pPr>
        <w:pStyle w:val="Normal"/>
        <w:jc w:val="center"/>
        <w:rPr/>
      </w:pPr>
      <w:r>
        <w:rPr/>
        <w:drawing>
          <wp:inline distT="0" distB="0" distL="0" distR="0">
            <wp:extent cx="5783580" cy="6275705"/>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8"/>
                    <a:srcRect l="33809" t="21146" r="34542" b="17813"/>
                    <a:stretch>
                      <a:fillRect/>
                    </a:stretch>
                  </pic:blipFill>
                  <pic:spPr bwMode="auto">
                    <a:xfrm>
                      <a:off x="0" y="0"/>
                      <a:ext cx="5783580" cy="6275705"/>
                    </a:xfrm>
                    <a:prstGeom prst="rect">
                      <a:avLst/>
                    </a:prstGeom>
                    <a:noFill/>
                  </pic:spPr>
                </pic:pic>
              </a:graphicData>
            </a:graphic>
          </wp:inline>
        </w:drawing>
      </w:r>
    </w:p>
    <w:p>
      <w:pPr>
        <w:pStyle w:val="Normal"/>
        <w:jc w:val="center"/>
        <w:rPr>
          <w:sz w:val="20"/>
          <w:szCs w:val="20"/>
        </w:rPr>
      </w:pPr>
      <w:r>
        <w:rPr>
          <w:sz w:val="20"/>
          <w:szCs w:val="20"/>
        </w:rPr>
        <w:t>Figura 1.1 Diagrama Unifilar</w:t>
      </w:r>
    </w:p>
    <w:p>
      <w:pPr>
        <w:pStyle w:val="Heading1"/>
        <w:rPr/>
      </w:pPr>
      <w:bookmarkStart w:id="2" w:name="_Toc229922533"/>
      <w:r>
        <w:rPr/>
        <w:t>3. Pruebas aplicables por unidad</w:t>
      </w:r>
      <w:bookmarkEnd w:id="2"/>
    </w:p>
    <w:p>
      <w:pPr>
        <w:pStyle w:val="Normal"/>
        <w:rPr/>
      </w:pPr>
      <w:r>
        <w:rPr/>
        <w:t>A continuación, se lista la aplicabilidad de las pruebas, el principio, las condiciones de la prueba, el procedimiento, las señales e instrumentación requerida, el criterio de aceptación y los resultados de cada una de las pruebas por unidad.</w:t>
      </w:r>
      <w:r>
        <w:br w:type="page"/>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140"/>
        <w:gridCol w:w="2256"/>
        <w:gridCol w:w="4536"/>
        <w:gridCol w:w="1427"/>
      </w:tblGrid>
      <w:tr>
        <w:trPr>
          <w:tblHeader w:val="true"/>
          <w:trHeight w:val="855" w:hRule="atLeast"/>
        </w:trPr>
        <w:tc>
          <w:tcPr>
            <w:tcW w:w="9359" w:type="dxa"/>
            <w:gridSpan w:val="4"/>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pageBreakBefore/>
              <w:jc w:val="center"/>
              <w:rPr>
                <w:b/>
                <w:bCs/>
              </w:rPr>
            </w:pPr>
            <w:r>
              <w:rPr>
                <w:b/>
                <w:bCs/>
              </w:rPr>
              <w:t>PRUEBAS DE CENTRALES ELÉCTRICAS SINCRONAS</w:t>
            </w:r>
          </w:p>
        </w:tc>
      </w:tr>
      <w:tr>
        <w:trPr>
          <w:trHeight w:val="397" w:hRule="atLeast"/>
        </w:trPr>
        <w:tc>
          <w:tcPr>
            <w:tcW w:w="1140" w:type="dxa"/>
            <w:tcBorders>
              <w:left w:val="single" w:sz="4" w:space="0" w:color="BFBFBF"/>
              <w:bottom w:val="single" w:sz="4" w:space="0" w:color="BFBFBF"/>
              <w:right w:val="single" w:sz="4" w:space="0" w:color="BFBFBF"/>
            </w:tcBorders>
            <w:shd w:color="auto" w:fill="312E81" w:val="clear"/>
            <w:vAlign w:val="center"/>
          </w:tcPr>
          <w:p>
            <w:pPr>
              <w:pStyle w:val="Normal"/>
              <w:jc w:val="center"/>
              <w:rPr>
                <w:b/>
                <w:bCs/>
                <w:sz w:val="20"/>
                <w:szCs w:val="20"/>
              </w:rPr>
            </w:pPr>
            <w:commentRangeStart w:id="0"/>
            <w:r>
              <w:rPr>
                <w:b/>
                <w:bCs/>
                <w:color w:val="FFFFFF"/>
                <w:sz w:val="20"/>
                <w:szCs w:val="20"/>
              </w:rPr>
              <w:t>Prueba</w:t>
            </w:r>
          </w:p>
        </w:tc>
        <w:tc>
          <w:tcPr>
            <w:tcW w:w="2256" w:type="dxa"/>
            <w:tcBorders>
              <w:left w:val="single" w:sz="4" w:space="0" w:color="BFBFBF"/>
              <w:bottom w:val="single" w:sz="4" w:space="0" w:color="BFBFBF"/>
              <w:right w:val="single" w:sz="4" w:space="0" w:color="BFBFBF"/>
            </w:tcBorders>
            <w:shd w:color="auto" w:fill="312E81" w:val="clear"/>
            <w:vAlign w:val="center"/>
          </w:tcPr>
          <w:p>
            <w:pPr>
              <w:pStyle w:val="Normal"/>
              <w:jc w:val="center"/>
              <w:rPr>
                <w:b/>
                <w:bCs/>
                <w:sz w:val="20"/>
                <w:szCs w:val="20"/>
              </w:rPr>
            </w:pPr>
            <w:r>
              <w:rPr>
                <w:b/>
                <w:bCs/>
                <w:color w:val="FFFFFF"/>
                <w:sz w:val="20"/>
                <w:szCs w:val="20"/>
              </w:rPr>
              <w:t>Descripción</w:t>
            </w:r>
          </w:p>
        </w:tc>
        <w:tc>
          <w:tcPr>
            <w:tcW w:w="4536" w:type="dxa"/>
            <w:tcBorders>
              <w:left w:val="single" w:sz="4" w:space="0" w:color="BFBFBF"/>
              <w:bottom w:val="single" w:sz="4" w:space="0" w:color="BFBFBF"/>
              <w:right w:val="single" w:sz="4" w:space="0" w:color="BFBFBF"/>
            </w:tcBorders>
            <w:shd w:color="auto" w:fill="312E81" w:val="clear"/>
            <w:vAlign w:val="center"/>
          </w:tcPr>
          <w:p>
            <w:pPr>
              <w:pStyle w:val="Normal"/>
              <w:jc w:val="center"/>
              <w:rPr>
                <w:b/>
                <w:bCs/>
                <w:sz w:val="20"/>
                <w:szCs w:val="20"/>
              </w:rPr>
            </w:pPr>
            <w:r>
              <w:rPr>
                <w:b/>
                <w:bCs/>
                <w:color w:val="FFFFFF"/>
                <w:sz w:val="20"/>
                <w:szCs w:val="20"/>
              </w:rPr>
              <w:t>Criterio de aceptación</w:t>
            </w:r>
          </w:p>
        </w:tc>
        <w:tc>
          <w:tcPr>
            <w:tcW w:w="1427" w:type="dxa"/>
            <w:tcBorders>
              <w:left w:val="single" w:sz="4" w:space="0" w:color="BFBFBF"/>
              <w:bottom w:val="single" w:sz="4" w:space="0" w:color="BFBFBF"/>
              <w:right w:val="single" w:sz="4" w:space="0" w:color="BFBFBF"/>
            </w:tcBorders>
            <w:shd w:color="auto" w:fill="312E81" w:val="clear"/>
            <w:vAlign w:val="center"/>
          </w:tcPr>
          <w:p>
            <w:pPr>
              <w:pStyle w:val="Normal"/>
              <w:jc w:val="center"/>
              <w:rPr>
                <w:b/>
                <w:bCs/>
                <w:sz w:val="20"/>
                <w:szCs w:val="20"/>
              </w:rPr>
            </w:pPr>
            <w:r>
              <w:rPr>
                <w:b/>
                <w:bCs/>
                <w:sz w:val="20"/>
                <w:szCs w:val="20"/>
              </w:rPr>
              <w:t>Aplica</w:t>
            </w:r>
            <w:commentRangeEnd w:id="0"/>
            <w:r>
              <w:commentReference w:id="0"/>
            </w:r>
            <w:r>
              <w:rPr>
                <w:b/>
                <w:bCs/>
                <w:sz w:val="20"/>
                <w:szCs w:val="20"/>
              </w:rPr>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1E293B"/>
                <w:sz w:val="14"/>
              </w:rPr>
            </w:pPr>
            <w:r>
              <w:rPr>
                <w:rFonts w:ascii="Helvetica Neue" w:hAnsi="Helvetica Neue"/>
                <w:b/>
                <w:color w:val="1E293B"/>
                <w:sz w:val="14"/>
              </w:rPr>
              <w:t>1</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Rango Operativo de Tensión</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Debe controlar</w:t>
              <w:br/>
              <w:t>90% &lt; V &lt; 110%</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2662"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1E293B"/>
                <w:sz w:val="14"/>
              </w:rPr>
            </w:pPr>
            <w:r>
              <w:rPr>
                <w:rFonts w:ascii="Helvetica Neue" w:hAnsi="Helvetica Neue"/>
                <w:b/>
                <w:color w:val="1E293B"/>
                <w:sz w:val="14"/>
              </w:rPr>
              <w:t>2</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Escalón de Tensión</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tr &lt; 0.25 s</w:t>
              <w:br/>
              <w:t>0.7s &lt; ts &lt; 1.0s</w:t>
              <w:br/>
              <w:t>SP &lt; 15%</w:t>
              <w:br/>
              <w:t>Tipo estático</w:t>
              <w:br/>
            </w:r>
          </w:p>
          <w:p>
            <w:pPr>
              <w:pStyle w:val="Contenidodelatabla"/>
              <w:ind w:hanging="0" w:left="0" w:right="0"/>
              <w:jc w:val="center"/>
              <w:rPr>
                <w:rFonts w:ascii="Helvetica Neue" w:hAnsi="Helvetica Neue"/>
                <w:color w:val="1E293B"/>
                <w:sz w:val="14"/>
              </w:rPr>
            </w:pPr>
            <w:r>
              <w:rPr>
                <w:rFonts w:ascii="Helvetica Neue" w:hAnsi="Helvetica Neue"/>
                <w:color w:val="1E293B"/>
                <w:sz w:val="14"/>
              </w:rPr>
              <w:t>tr &lt; 0.5 s</w:t>
              <w:br/>
              <w:t>Ts &lt; 2.0s</w:t>
              <w:br/>
              <w:t>SP &lt; 15%</w:t>
              <w:br/>
              <w:t>Tipo Brushless</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1E293B"/>
                <w:sz w:val="14"/>
              </w:rPr>
            </w:pPr>
            <w:r>
              <w:rPr>
                <w:rFonts w:ascii="Helvetica Neue" w:hAnsi="Helvetica Neue"/>
                <w:b/>
                <w:color w:val="1E293B"/>
                <w:sz w:val="14"/>
              </w:rPr>
              <w:t>3</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Limitador V/Hz</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1.07 – 1.12 p. u</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1E293B"/>
                <w:sz w:val="14"/>
              </w:rPr>
            </w:pPr>
            <w:r>
              <w:rPr>
                <w:rFonts w:ascii="Helvetica Neue" w:hAnsi="Helvetica Neue"/>
                <w:b/>
                <w:color w:val="1E293B"/>
                <w:sz w:val="14"/>
              </w:rPr>
              <w:t>4</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Secuencia Exc-Desexc. (auto y manual)</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Verificar secuencia</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1E293B"/>
                <w:sz w:val="14"/>
              </w:rPr>
            </w:pPr>
            <w:r>
              <w:rPr>
                <w:rFonts w:ascii="Helvetica Neue" w:hAnsi="Helvetica Neue"/>
                <w:b/>
                <w:color w:val="1E293B"/>
                <w:sz w:val="14"/>
              </w:rPr>
              <w:t>5</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Seguidor auto.</w:t>
              <w:br/>
              <w:t>Entre canales y UCE´s</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Contenidodelatabla"/>
              <w:jc w:val="center"/>
              <w:rPr>
                <w:rFonts w:ascii="Helvetica Neue" w:hAnsi="Helvetica Neue"/>
                <w:color w:val="1E293B"/>
                <w:sz w:val="14"/>
              </w:rPr>
            </w:pPr>
            <w:r>
              <w:rPr>
                <w:rFonts w:ascii="Helvetica Neue" w:hAnsi="Helvetica Neue"/>
                <w:color w:val="1E293B"/>
                <w:sz w:val="14"/>
              </w:rPr>
              <w:t>Error al transferir &lt; 1 %</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Calibri Light" w:hAnsi="Calibri Light"/>
                <w:b/>
                <w:color w:val="861141"/>
                <w:sz w:val="21"/>
                <w:szCs w:val="21"/>
              </w:rPr>
            </w:pPr>
            <w:r>
              <w:rPr>
                <w:rFonts w:ascii="Calibri Light" w:hAnsi="Calibri Light"/>
                <w:b/>
                <w:color w:val="861141"/>
                <w:sz w:val="21"/>
                <w:szCs w:val="21"/>
              </w:rPr>
              <w:t>6</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Calibri Light" w:hAnsi="Calibri Light"/>
                <w:b/>
                <w:color w:val="861141"/>
                <w:sz w:val="21"/>
                <w:szCs w:val="21"/>
              </w:rPr>
            </w:pPr>
            <w:r>
              <w:rPr>
                <w:rFonts w:ascii="Calibri Light" w:hAnsi="Calibri Light"/>
                <w:b/>
                <w:color w:val="861141"/>
                <w:sz w:val="21"/>
                <w:szCs w:val="21"/>
              </w:rPr>
              <w:t>PSS</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rFonts w:ascii="Calibri Light" w:hAnsi="Calibri Light"/>
                <w:color w:val="861141"/>
                <w:sz w:val="21"/>
                <w:szCs w:val="21"/>
              </w:rPr>
            </w:pPr>
            <w:r>
              <w:rPr>
                <w:rFonts w:ascii="Calibri Light" w:hAnsi="Calibri Light"/>
                <w:b/>
                <w:bCs/>
                <w:color w:val="861141"/>
                <w:sz w:val="21"/>
                <w:szCs w:val="21"/>
              </w:rPr>
              <w:t>Amortiguar oscilaciones locales al menos al 30%</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rFonts w:ascii="Calibri Light" w:hAnsi="Calibri Light"/>
                <w:color w:val="861141"/>
                <w:sz w:val="21"/>
                <w:szCs w:val="21"/>
              </w:rPr>
            </w:pPr>
            <w:r>
              <w:rPr>
                <w:rFonts w:ascii="Calibri Light" w:hAnsi="Calibri Light"/>
                <w:b/>
                <w:bCs/>
                <w:color w:val="861141"/>
                <w:sz w:val="21"/>
                <w:szCs w:val="21"/>
              </w:rPr>
              <w:t>No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Calibri Light" w:hAnsi="Calibri Light"/>
                <w:b/>
                <w:color w:val="861141"/>
                <w:sz w:val="21"/>
                <w:szCs w:val="21"/>
              </w:rPr>
            </w:pPr>
            <w:r>
              <w:rPr>
                <w:rFonts w:ascii="Calibri Light" w:hAnsi="Calibri Light"/>
                <w:b/>
                <w:color w:val="861141"/>
                <w:sz w:val="21"/>
                <w:szCs w:val="21"/>
              </w:rPr>
              <w:t>7</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Calibri Light" w:hAnsi="Calibri Light"/>
                <w:b/>
                <w:color w:val="861141"/>
                <w:sz w:val="21"/>
                <w:szCs w:val="21"/>
              </w:rPr>
            </w:pPr>
            <w:r>
              <w:rPr>
                <w:rFonts w:ascii="Calibri Light" w:hAnsi="Calibri Light"/>
                <w:b/>
                <w:color w:val="861141"/>
                <w:sz w:val="21"/>
                <w:szCs w:val="21"/>
              </w:rPr>
              <w:t>Limitador de mínima excitación (MEL)</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rFonts w:ascii="Calibri Light" w:hAnsi="Calibri Light"/>
                <w:color w:val="861141"/>
                <w:sz w:val="21"/>
                <w:szCs w:val="21"/>
              </w:rPr>
            </w:pPr>
            <w:r>
              <w:rPr>
                <w:rFonts w:ascii="Calibri Light" w:hAnsi="Calibri Light"/>
                <w:b/>
                <w:bCs/>
                <w:color w:val="861141"/>
                <w:sz w:val="21"/>
                <w:szCs w:val="21"/>
              </w:rPr>
              <w:t>5% de la potencia base arriba del límite</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rFonts w:ascii="Calibri Light" w:hAnsi="Calibri Light"/>
                <w:color w:val="861141"/>
                <w:sz w:val="21"/>
                <w:szCs w:val="21"/>
              </w:rPr>
            </w:pPr>
            <w:r>
              <w:rPr>
                <w:rFonts w:ascii="Calibri Light" w:hAnsi="Calibri Light"/>
                <w:b/>
                <w:bCs/>
                <w:color w:val="861141"/>
                <w:sz w:val="21"/>
                <w:szCs w:val="21"/>
              </w:rPr>
              <w:t>No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Calibri Light" w:hAnsi="Calibri Light"/>
                <w:b/>
                <w:color w:val="861141"/>
                <w:sz w:val="21"/>
                <w:szCs w:val="21"/>
              </w:rPr>
            </w:pPr>
            <w:r>
              <w:rPr>
                <w:rFonts w:ascii="Calibri Light" w:hAnsi="Calibri Light"/>
                <w:b/>
                <w:color w:val="861141"/>
                <w:sz w:val="21"/>
                <w:szCs w:val="21"/>
              </w:rPr>
              <w:t>8</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Calibri Light" w:hAnsi="Calibri Light"/>
                <w:b/>
                <w:color w:val="861141"/>
                <w:sz w:val="21"/>
                <w:szCs w:val="21"/>
              </w:rPr>
            </w:pPr>
            <w:r>
              <w:rPr>
                <w:rFonts w:ascii="Calibri Light" w:hAnsi="Calibri Light"/>
                <w:b/>
                <w:color w:val="861141"/>
                <w:sz w:val="21"/>
                <w:szCs w:val="21"/>
              </w:rPr>
              <w:t>Limitador de máxima excitación (OEL)</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rFonts w:ascii="Calibri Light" w:hAnsi="Calibri Light"/>
                <w:color w:val="861141"/>
                <w:sz w:val="21"/>
                <w:szCs w:val="21"/>
              </w:rPr>
            </w:pPr>
            <w:r>
              <w:rPr>
                <w:rFonts w:ascii="Calibri Light" w:hAnsi="Calibri Light"/>
                <w:b/>
                <w:bCs/>
                <w:color w:val="861141"/>
                <w:sz w:val="21"/>
                <w:szCs w:val="21"/>
              </w:rPr>
              <w:t>Entre 0.95 y 1.05 p.u. de corriente nominal de campo</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rFonts w:ascii="Calibri Light" w:hAnsi="Calibri Light"/>
                <w:color w:val="861141"/>
                <w:sz w:val="21"/>
                <w:szCs w:val="21"/>
              </w:rPr>
            </w:pPr>
            <w:r>
              <w:rPr>
                <w:rFonts w:ascii="Calibri Light" w:hAnsi="Calibri Light"/>
                <w:b/>
                <w:bCs/>
                <w:color w:val="861141"/>
                <w:sz w:val="21"/>
                <w:szCs w:val="21"/>
              </w:rPr>
              <w:t>No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1E293B"/>
                <w:sz w:val="14"/>
              </w:rPr>
            </w:pPr>
            <w:r>
              <w:rPr>
                <w:rFonts w:ascii="Helvetica Neue" w:hAnsi="Helvetica Neue"/>
                <w:b/>
                <w:color w:val="1E293B"/>
                <w:sz w:val="14"/>
              </w:rPr>
              <w:t>9</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Compensador de MVAr</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±1 del valor de ajuste (</w:t>
            </w:r>
            <w:r>
              <w:rPr>
                <w:color w:val="404040"/>
                <w:sz w:val="18"/>
                <w:szCs w:val="18"/>
              </w:rPr>
              <w:t>+</w:t>
            </w:r>
            <w:r>
              <w:rPr>
                <w:color w:val="404040"/>
                <w:sz w:val="18"/>
                <w:szCs w:val="18"/>
              </w:rPr>
              <w:t>12%)</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b/>
                <w:bCs/>
              </w:rPr>
            </w:pPr>
            <w:r>
              <w:rPr>
                <w:b/>
                <w:bCs/>
                <w:color w:val="404040"/>
                <w:sz w:val="18"/>
                <w:szCs w:val="18"/>
              </w:rPr>
              <w:t>10</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Apertura y cierre de elementos finales de control</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Verificar carrera y medir tiempos</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b/>
                <w:bCs/>
              </w:rPr>
            </w:pPr>
            <w:r>
              <w:rPr>
                <w:b/>
                <w:bCs/>
                <w:color w:val="404040"/>
                <w:sz w:val="18"/>
                <w:szCs w:val="18"/>
              </w:rPr>
              <w:t>11</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Secuencia de arranque</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Verificar secuencia y medir tiempos</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b/>
                <w:bCs/>
              </w:rPr>
            </w:pPr>
            <w:r>
              <w:rPr>
                <w:b/>
                <w:bCs/>
                <w:color w:val="404040"/>
                <w:sz w:val="18"/>
                <w:szCs w:val="18"/>
              </w:rPr>
              <w:t>12</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Variador de velocidad</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Controlar de 57 Hz a 63 Hz</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b/>
                <w:bCs/>
              </w:rPr>
            </w:pPr>
            <w:r>
              <w:rPr>
                <w:b/>
                <w:bCs/>
                <w:color w:val="404040"/>
                <w:sz w:val="18"/>
                <w:szCs w:val="18"/>
              </w:rPr>
              <w:t>13</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Escalones de velocidad</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Respuesta estable a escalones</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b/>
                <w:bCs/>
              </w:rPr>
            </w:pPr>
            <w:r>
              <w:rPr>
                <w:b/>
                <w:bCs/>
                <w:color w:val="404040"/>
                <w:sz w:val="18"/>
                <w:szCs w:val="18"/>
              </w:rPr>
              <w:t>14</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Protección por sobre velocidad</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Disparo correcto por sobre velocidad</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b/>
                <w:bCs/>
              </w:rPr>
            </w:pPr>
            <w:r>
              <w:rPr>
                <w:b/>
                <w:bCs/>
                <w:color w:val="404040"/>
                <w:sz w:val="18"/>
                <w:szCs w:val="18"/>
              </w:rPr>
              <w:t>15</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Variador de carga</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Controlar potencia activa</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b/>
                <w:bCs/>
              </w:rPr>
            </w:pPr>
            <w:r>
              <w:rPr>
                <w:b/>
                <w:bCs/>
                <w:color w:val="404040"/>
                <w:sz w:val="18"/>
                <w:szCs w:val="18"/>
              </w:rPr>
              <w:t>16</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Limitador de carga</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Limitar potencia activa a consigna</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b/>
                <w:bCs/>
              </w:rPr>
            </w:pPr>
            <w:r>
              <w:rPr>
                <w:b/>
                <w:bCs/>
                <w:color w:val="404040"/>
                <w:sz w:val="18"/>
                <w:szCs w:val="18"/>
              </w:rPr>
              <w:t>17</w:t>
            </w:r>
          </w:p>
        </w:tc>
        <w:tc>
          <w:tcPr>
            <w:tcW w:w="225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Estatismo</w:t>
            </w:r>
          </w:p>
        </w:tc>
        <w:tc>
          <w:tcPr>
            <w:tcW w:w="4536"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color w:val="404040"/>
                <w:sz w:val="18"/>
                <w:szCs w:val="18"/>
              </w:rPr>
              <w:t>Estatismo del 5% ± tolerancia</w:t>
            </w:r>
          </w:p>
        </w:tc>
        <w:tc>
          <w:tcPr>
            <w:tcW w:w="1427"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Si aplica</w:t>
            </w:r>
          </w:p>
        </w:tc>
      </w:tr>
      <w:tr>
        <w:trPr>
          <w:trHeight w:val="340" w:hRule="atLeast"/>
        </w:trPr>
        <w:tc>
          <w:tcPr>
            <w:tcW w:w="1140"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bCs/>
                <w:color w:val="1E293B"/>
                <w:sz w:val="14"/>
              </w:rPr>
            </w:pPr>
            <w:r>
              <w:rPr>
                <w:rFonts w:ascii="Helvetica Neue" w:hAnsi="Helvetica Neue"/>
                <w:b/>
                <w:bCs/>
                <w:color w:val="1E293B"/>
                <w:sz w:val="14"/>
              </w:rPr>
              <w:t>18</w:t>
            </w:r>
          </w:p>
        </w:tc>
        <w:tc>
          <w:tcPr>
            <w:tcW w:w="2256"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Escalones de potencia (10% de Pnom)</w:t>
            </w:r>
          </w:p>
        </w:tc>
        <w:tc>
          <w:tcPr>
            <w:tcW w:w="4536"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SP&lt;30%</w:t>
              <w:br/>
              <w:t>Ts&lt; 30s</w:t>
            </w:r>
          </w:p>
        </w:tc>
        <w:tc>
          <w:tcPr>
            <w:tcW w:w="1427"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SI</w:t>
            </w:r>
          </w:p>
        </w:tc>
      </w:tr>
      <w:tr>
        <w:trPr>
          <w:trHeight w:val="340" w:hRule="atLeast"/>
        </w:trPr>
        <w:tc>
          <w:tcPr>
            <w:tcW w:w="1140"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bCs/>
                <w:color w:val="1E293B"/>
                <w:sz w:val="14"/>
              </w:rPr>
            </w:pPr>
            <w:r>
              <w:rPr>
                <w:rFonts w:ascii="Helvetica Neue" w:hAnsi="Helvetica Neue"/>
                <w:b/>
                <w:bCs/>
                <w:color w:val="1E293B"/>
                <w:sz w:val="14"/>
              </w:rPr>
              <w:t>19</w:t>
            </w:r>
          </w:p>
        </w:tc>
        <w:tc>
          <w:tcPr>
            <w:tcW w:w="2256"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Rechazo de Carga</w:t>
            </w:r>
          </w:p>
        </w:tc>
        <w:tc>
          <w:tcPr>
            <w:tcW w:w="4536"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Ts &lt; 90s</w:t>
              <w:br/>
              <w:t>Quedar excitada y a velocidad nominal</w:t>
            </w:r>
          </w:p>
        </w:tc>
        <w:tc>
          <w:tcPr>
            <w:tcW w:w="1427"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color w:val="1E293B"/>
                <w:sz w:val="14"/>
              </w:rPr>
            </w:pPr>
            <w:r>
              <w:rPr>
                <w:rFonts w:ascii="Helvetica Neue" w:hAnsi="Helvetica Neue"/>
                <w:color w:val="1E293B"/>
                <w:sz w:val="14"/>
              </w:rPr>
              <w:t>SI</w:t>
            </w:r>
          </w:p>
        </w:tc>
      </w:tr>
      <w:tr>
        <w:trPr>
          <w:trHeight w:val="340" w:hRule="atLeast"/>
        </w:trPr>
        <w:tc>
          <w:tcPr>
            <w:tcW w:w="1140"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BF0041"/>
                <w:sz w:val="14"/>
              </w:rPr>
            </w:pPr>
            <w:r>
              <w:rPr>
                <w:rFonts w:ascii="Helvetica Neue" w:hAnsi="Helvetica Neue"/>
                <w:b/>
                <w:color w:val="BF0041"/>
                <w:sz w:val="14"/>
              </w:rPr>
              <w:t>20</w:t>
            </w:r>
          </w:p>
        </w:tc>
        <w:tc>
          <w:tcPr>
            <w:tcW w:w="2256"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BF0041"/>
                <w:sz w:val="14"/>
              </w:rPr>
            </w:pPr>
            <w:r>
              <w:rPr>
                <w:rFonts w:ascii="Helvetica Neue" w:hAnsi="Helvetica Neue"/>
                <w:b/>
                <w:color w:val="BF0041"/>
                <w:sz w:val="14"/>
              </w:rPr>
              <w:t>Operación en isla</w:t>
            </w:r>
          </w:p>
        </w:tc>
        <w:tc>
          <w:tcPr>
            <w:tcW w:w="4536" w:type="dxa"/>
            <w:tcBorders>
              <w:left w:val="single" w:sz="4" w:space="0" w:color="BFBFBF"/>
              <w:bottom w:val="single" w:sz="4" w:space="0" w:color="BFBFBF"/>
              <w:right w:val="single" w:sz="4" w:space="0" w:color="BFBFBF"/>
            </w:tcBorders>
            <w:vAlign w:val="center"/>
          </w:tcPr>
          <w:p>
            <w:pPr>
              <w:pStyle w:val="Contenidodelatabla"/>
              <w:ind w:hanging="0" w:left="0" w:right="0"/>
              <w:jc w:val="center"/>
              <w:rPr>
                <w:rFonts w:ascii="Helvetica Neue" w:hAnsi="Helvetica Neue"/>
                <w:b/>
                <w:color w:val="BF0041"/>
                <w:sz w:val="14"/>
              </w:rPr>
            </w:pPr>
            <w:r>
              <w:rPr>
                <w:rFonts w:ascii="Helvetica Neue" w:hAnsi="Helvetica Neue"/>
                <w:b/>
                <w:color w:val="BF0041"/>
                <w:sz w:val="14"/>
              </w:rPr>
              <w:t>Autoabastecida, cambia a modo isócrono</w:t>
            </w:r>
          </w:p>
        </w:tc>
        <w:tc>
          <w:tcPr>
            <w:tcW w:w="1427" w:type="dxa"/>
            <w:tcBorders>
              <w:left w:val="single" w:sz="4" w:space="0" w:color="BFBFBF"/>
              <w:bottom w:val="single" w:sz="4" w:space="0" w:color="BFBFBF"/>
              <w:right w:val="single" w:sz="4" w:space="0" w:color="BFBFBF"/>
            </w:tcBorders>
            <w:vAlign w:val="center"/>
          </w:tcPr>
          <w:p>
            <w:pPr>
              <w:pStyle w:val="Contenidodelatabla"/>
              <w:jc w:val="center"/>
              <w:rPr>
                <w:rFonts w:ascii="Helvetica Neue" w:hAnsi="Helvetica Neue"/>
                <w:b/>
                <w:color w:val="BF0041"/>
                <w:sz w:val="14"/>
              </w:rPr>
            </w:pPr>
            <w:r>
              <w:rPr>
                <w:rFonts w:ascii="Helvetica Neue" w:hAnsi="Helvetica Neue"/>
                <w:b/>
                <w:color w:val="BF0041"/>
                <w:sz w:val="14"/>
              </w:rPr>
              <w:t>No Aplica</w:t>
            </w:r>
          </w:p>
        </w:tc>
      </w:tr>
    </w:tbl>
    <w:p>
      <w:pPr>
        <w:pStyle w:val="Subtitle"/>
        <w:rPr/>
      </w:pPr>
      <w:r>
        <w:rPr/>
        <w:t>Tabla 1.3 Pruebas aplicables según tipo de central</w:t>
      </w:r>
    </w:p>
    <w:p>
      <w:pPr>
        <w:pStyle w:val="Heading1"/>
        <w:rPr/>
      </w:pPr>
      <w:r>
        <w:rPr/>
        <w:t>4. Pruebas Por Unidad</w:t>
      </w:r>
    </w:p>
    <w:p>
      <w:pPr>
        <w:pStyle w:val="Heading2"/>
        <w:jc w:val="center"/>
        <w:rPr/>
      </w:pPr>
      <w:bookmarkStart w:id="3" w:name="_Toc229922535"/>
      <w:r>
        <w:rPr/>
        <w:t>Sistema de Control de Tensión, Pruebas en Vacio</w:t>
      </w:r>
      <w:bookmarkEnd w:id="3"/>
    </w:p>
    <w:p>
      <w:pPr>
        <w:pStyle w:val="Heading2"/>
        <w:rPr/>
      </w:pPr>
      <w:bookmarkStart w:id="4" w:name="_Toc229922536"/>
      <w:r>
        <w:rPr/>
        <w:t>4.1. Rango Operativo de Tensión</w:t>
      </w:r>
      <w:bookmarkEnd w:id="4"/>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64" wp14:anchorId="1C6C3E49">
                      <wp:simplePos x="0" y="0"/>
                      <wp:positionH relativeFrom="column">
                        <wp:posOffset>74295</wp:posOffset>
                      </wp:positionH>
                      <wp:positionV relativeFrom="paragraph">
                        <wp:posOffset>79375</wp:posOffset>
                      </wp:positionV>
                      <wp:extent cx="708660" cy="635"/>
                      <wp:effectExtent l="0" t="10160" r="0" b="9525"/>
                      <wp:wrapNone/>
                      <wp:docPr id="2"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1C6C3E4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65" wp14:anchorId="73D05DF0">
                      <wp:simplePos x="0" y="0"/>
                      <wp:positionH relativeFrom="column">
                        <wp:posOffset>0</wp:posOffset>
                      </wp:positionH>
                      <wp:positionV relativeFrom="paragraph">
                        <wp:posOffset>71120</wp:posOffset>
                      </wp:positionV>
                      <wp:extent cx="708660" cy="0"/>
                      <wp:effectExtent l="635" t="10160" r="635" b="10160"/>
                      <wp:wrapNone/>
                      <wp:docPr id="3"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73D05DF0">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66" wp14:anchorId="18DD26EF">
                      <wp:simplePos x="0" y="0"/>
                      <wp:positionH relativeFrom="column">
                        <wp:posOffset>0</wp:posOffset>
                      </wp:positionH>
                      <wp:positionV relativeFrom="paragraph">
                        <wp:posOffset>65405</wp:posOffset>
                      </wp:positionV>
                      <wp:extent cx="708660" cy="635"/>
                      <wp:effectExtent l="635" t="9525" r="635" b="9525"/>
                      <wp:wrapNone/>
                      <wp:docPr id="4"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18DD26EF">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5" name="Gráfico 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1" descr="Badge Tick1 con relleno sólido"/>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6" name="Imagen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descr="Badge Tick1 con relleno sólido"/>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7" name="Imagen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Badge Tick1 con relleno sólido"/>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8" name="Imagen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descr="Badge Tick1 con relleno sólido"/>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que la </w:t>
      </w:r>
      <w:r>
        <w:rPr>
          <w:rStyle w:val="s1"/>
          <w:rFonts w:ascii="Helvetica Neue Light" w:hAnsi="Helvetica Neue Light"/>
          <w:b/>
          <w:bCs/>
          <w:sz w:val="22"/>
          <w:szCs w:val="22"/>
        </w:rPr>
        <w:t>Unidad de Generación</w:t>
      </w:r>
      <w:r>
        <w:rPr>
          <w:rFonts w:ascii="Helvetica Neue Light" w:hAnsi="Helvetica Neue Light"/>
          <w:b/>
          <w:bCs/>
          <w:sz w:val="22"/>
          <w:szCs w:val="22"/>
        </w:rPr>
        <w:t xml:space="preserve"> </w:t>
      </w:r>
      <w:r>
        <w:rPr>
          <w:rFonts w:ascii="Helvetica Neue Light" w:hAnsi="Helvetica Neue Light"/>
          <w:sz w:val="22"/>
          <w:szCs w:val="22"/>
        </w:rPr>
        <w:t xml:space="preserve">mantenga el voltaje en terminales del generador dentro del rango operativo permitido, mediante la actuación del </w:t>
      </w:r>
      <w:r>
        <w:rPr>
          <w:rStyle w:val="s1"/>
          <w:rFonts w:ascii="Helvetica Neue Light" w:hAnsi="Helvetica Neue Light"/>
          <w:b/>
          <w:bCs/>
          <w:sz w:val="22"/>
          <w:szCs w:val="22"/>
        </w:rPr>
        <w:t>Regulador Automático de Tensión (AVR/RAT)</w:t>
      </w:r>
      <w:r>
        <w:rPr>
          <w:rFonts w:ascii="Helvetica Neue Light" w:hAnsi="Helvetica Neue Light"/>
          <w:sz w:val="22"/>
          <w:szCs w:val="22"/>
        </w:rPr>
        <w:t>.</w:t>
      </w:r>
    </w:p>
    <w:p>
      <w:pPr>
        <w:pStyle w:val="p1"/>
        <w:spacing w:lineRule="auto" w:line="360" w:before="280" w:after="280"/>
        <w:jc w:val="both"/>
        <w:rPr>
          <w:rFonts w:ascii="Helvetica Neue Light" w:hAnsi="Helvetica Neue Light"/>
          <w:b/>
          <w:bCs/>
          <w:sz w:val="22"/>
          <w:szCs w:val="22"/>
        </w:rPr>
      </w:pPr>
      <w:r>
        <w:rPr>
          <w:rFonts w:ascii="Helvetica Neue Light" w:hAnsi="Helvetica Neue Light"/>
          <w:sz w:val="22"/>
          <w:szCs w:val="22"/>
        </w:rPr>
        <w:t xml:space="preserve">El criterio de evaluación se toma del </w:t>
      </w:r>
      <w:r>
        <w:rPr>
          <w:rStyle w:val="s1"/>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b/>
          <w:bCs/>
          <w:sz w:val="22"/>
          <w:szCs w:val="22"/>
        </w:rPr>
        <w:t>,</w:t>
      </w:r>
      <w:r>
        <w:rPr>
          <w:rFonts w:ascii="Helvetica Neue Light" w:hAnsi="Helvetica Neue Light"/>
          <w:sz w:val="22"/>
          <w:szCs w:val="22"/>
          <w:u w:val="single"/>
        </w:rPr>
        <w:t xml:space="preserve"> </w:t>
      </w:r>
      <w:r>
        <w:rPr>
          <w:rFonts w:ascii="Helvetica Neue Light" w:hAnsi="Helvetica Neue Light"/>
          <w:sz w:val="22"/>
          <w:szCs w:val="22"/>
        </w:rPr>
        <w:t xml:space="preserve">en el apartado de pruebas por unidad para </w:t>
      </w:r>
      <w:r>
        <w:rPr>
          <w:rStyle w:val="s1"/>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prueba de </w:t>
      </w:r>
      <w:r>
        <w:rPr>
          <w:rStyle w:val="s1"/>
          <w:rFonts w:ascii="Helvetica Neue Light" w:hAnsi="Helvetica Neue Light"/>
          <w:b/>
          <w:bCs/>
          <w:sz w:val="22"/>
          <w:szCs w:val="22"/>
        </w:rPr>
        <w:t>Rango Operativo de Tensión</w:t>
      </w:r>
      <w:r>
        <w:rPr>
          <w:rFonts w:ascii="Helvetica Neue Light" w:hAnsi="Helvetica Neue Light"/>
          <w:sz w:val="22"/>
          <w:szCs w:val="22"/>
        </w:rPr>
        <w:t xml:space="preserve"> con el criterio de control dentro del rango </w:t>
      </w:r>
      <w:r>
        <w:rPr>
          <w:rStyle w:val="s1"/>
          <w:rFonts w:ascii="Helvetica Neue Light" w:hAnsi="Helvetica Neue Light"/>
          <w:b/>
          <w:bCs/>
          <w:sz w:val="22"/>
          <w:szCs w:val="22"/>
        </w:rPr>
        <w:t>90% &lt; V &lt; 110%</w:t>
      </w:r>
      <w:r>
        <w:rPr>
          <w:rFonts w:ascii="Helvetica Neue Light" w:hAnsi="Helvetica Neue Light"/>
          <w:b/>
          <w:bCs/>
          <w:sz w:val="22"/>
          <w:szCs w:val="22"/>
        </w:rPr>
        <w:t xml:space="preserve">. </w:t>
      </w:r>
      <w:r>
        <w:rPr>
          <w:rStyle w:val="apple-converted-space"/>
          <w:rFonts w:ascii="Helvetica Neue Light" w:hAnsi="Helvetica Neue Light"/>
          <w:b/>
          <w:bCs/>
          <w:sz w:val="22"/>
          <w:szCs w:val="22"/>
        </w:rPr>
        <w:t> </w:t>
      </w:r>
    </w:p>
    <w:p>
      <w:pPr>
        <w:pStyle w:val="p1"/>
        <w:spacing w:lineRule="auto" w:line="360" w:before="280" w:after="280"/>
        <w:jc w:val="both"/>
        <w:rPr>
          <w:rFonts w:ascii="Helvetica Neue" w:hAnsi="Helvetica Neue"/>
        </w:rPr>
      </w:pPr>
      <w:r>
        <w:rPr>
          <w:rFonts w:ascii="Helvetica Neue Light" w:hAnsi="Helvetica Neue Light"/>
          <w:sz w:val="22"/>
          <w:szCs w:val="22"/>
        </w:rPr>
        <w:t xml:space="preserve">Asimismo, la prueba se sustenta dentro del </w:t>
      </w:r>
      <w:r>
        <w:rPr>
          <w:rStyle w:val="s1"/>
          <w:rFonts w:ascii="Helvetica Neue Light" w:hAnsi="Helvetica Neue Light"/>
          <w:b/>
          <w:bCs/>
          <w:sz w:val="22"/>
          <w:szCs w:val="22"/>
        </w:rPr>
        <w:t>Código de Red 2.0</w:t>
      </w:r>
      <w:r>
        <w:rPr>
          <w:rFonts w:ascii="Helvetica Neue Light" w:hAnsi="Helvetica Neue Light"/>
          <w:sz w:val="22"/>
          <w:szCs w:val="22"/>
        </w:rPr>
        <w:t xml:space="preserve">, particularmente con el </w:t>
      </w:r>
      <w:r>
        <w:rPr>
          <w:rStyle w:val="s1"/>
          <w:rFonts w:ascii="Helvetica Neue Light" w:hAnsi="Helvetica Neue Light"/>
          <w:b/>
          <w:bCs/>
          <w:sz w:val="22"/>
          <w:szCs w:val="22"/>
        </w:rPr>
        <w:t>Manual Regulatorio de Requerimientos Técnicos para la Interconexión de Centrales Eléctricas al Sistema Eléctrico Nacional</w:t>
      </w:r>
      <w:r>
        <w:rPr>
          <w:rFonts w:ascii="Helvetica Neue Light" w:hAnsi="Helvetica Neue Light"/>
          <w:b/>
          <w:bCs/>
          <w:sz w:val="22"/>
          <w:szCs w:val="22"/>
        </w:rPr>
        <w:t xml:space="preserve">, </w:t>
      </w:r>
      <w:r>
        <w:rPr>
          <w:rStyle w:val="s1"/>
          <w:rFonts w:ascii="Helvetica Neue Light" w:hAnsi="Helvetica Neue Light"/>
          <w:b/>
          <w:bCs/>
          <w:sz w:val="22"/>
          <w:szCs w:val="22"/>
        </w:rPr>
        <w:t>Capítulo 3</w:t>
      </w:r>
      <w:r>
        <w:rPr>
          <w:rFonts w:ascii="Helvetica Neue Light" w:hAnsi="Helvetica Neue Light"/>
          <w:sz w:val="22"/>
          <w:szCs w:val="22"/>
        </w:rPr>
        <w:t xml:space="preserve">, relativo a los requerimientos de interconexión ante variaciones de tensión, y con la </w:t>
      </w:r>
      <w:r>
        <w:rPr>
          <w:rStyle w:val="s1"/>
          <w:rFonts w:ascii="Helvetica Neue Light" w:hAnsi="Helvetica Neue Light"/>
          <w:b/>
          <w:bCs/>
          <w:sz w:val="22"/>
          <w:szCs w:val="22"/>
        </w:rPr>
        <w:t>Sección 3.2.2</w:t>
      </w:r>
      <w:r>
        <w:rPr>
          <w:rFonts w:ascii="Helvetica Neue Light" w:hAnsi="Helvetica Neue Light"/>
          <w:sz w:val="22"/>
          <w:szCs w:val="22"/>
        </w:rPr>
        <w:t>, correspondiente al sistema de control de tensión para Centrales Eléctricas Síncronas tipo B.</w:t>
      </w:r>
      <w:r>
        <w:rPr>
          <w:rStyle w:val="apple-converted-space"/>
          <w:rFonts w:ascii="Helvetica Neue" w:hAnsi="Helvetica Neue"/>
        </w:rPr>
        <w:t> </w:t>
      </w:r>
    </w:p>
    <w:p>
      <w:pPr>
        <w:pStyle w:val="Normal"/>
        <w:spacing w:before="160" w:after="80"/>
        <w:rPr/>
      </w:pPr>
      <w:r>
        <w:rPr>
          <w:b/>
          <w:bCs/>
          <w:color w:val="312E81"/>
        </w:rPr>
        <w:t>Condiciones y desarrollo de la prueba</w:t>
      </w:r>
    </w:p>
    <w:p>
      <w:pPr>
        <w:pStyle w:val="ListParagraph"/>
        <w:numPr>
          <w:ilvl w:val="0"/>
          <w:numId w:val="4"/>
        </w:numPr>
        <w:rPr/>
      </w:pPr>
      <w:r>
        <w:rPr/>
        <w:t xml:space="preserve">Verificar que la unidad se encuentre en operación estable, con el sistema de excitación habilitado y el </w:t>
      </w:r>
      <w:r>
        <w:rPr>
          <w:b/>
          <w:bCs/>
        </w:rPr>
        <w:t>AVR en modo automático</w:t>
      </w:r>
      <w:r>
        <w:rPr/>
        <w:t>.</w:t>
      </w:r>
    </w:p>
    <w:p>
      <w:pPr>
        <w:pStyle w:val="ListParagraph"/>
        <w:numPr>
          <w:ilvl w:val="0"/>
          <w:numId w:val="4"/>
        </w:numPr>
        <w:rPr/>
      </w:pPr>
      <w:r>
        <w:rPr/>
        <w:t>Ajustar la consigna de voltaje conforme a las condiciones operativas definidas para la prueba.</w:t>
      </w:r>
    </w:p>
    <w:p>
      <w:pPr>
        <w:pStyle w:val="ListParagraph"/>
        <w:numPr>
          <w:ilvl w:val="0"/>
          <w:numId w:val="4"/>
        </w:numPr>
        <w:rPr/>
      </w:pPr>
      <w:r>
        <w:rPr/>
        <w:t>Registrar la condición inicial de operación de la unidad, incluyendo voltaje en terminales del generador, potencia activa y frecuencia.</w:t>
      </w:r>
    </w:p>
    <w:p>
      <w:pPr>
        <w:pStyle w:val="ListParagraph"/>
        <w:numPr>
          <w:ilvl w:val="0"/>
          <w:numId w:val="4"/>
        </w:numPr>
        <w:rPr/>
      </w:pPr>
      <w:r>
        <w:rPr/>
        <w:t>Modificar la consigna del AVR para comprobar la capacidad de control del voltaje en terminales del generador dentro del rango permitido.</w:t>
      </w:r>
    </w:p>
    <w:p>
      <w:pPr>
        <w:pStyle w:val="ListParagraph"/>
        <w:numPr>
          <w:ilvl w:val="0"/>
          <w:numId w:val="4"/>
        </w:numPr>
        <w:rPr/>
      </w:pPr>
      <w:r>
        <w:rPr/>
        <w:t>Ejecutar la prueba en condición de vacío y, cuando aplique, en diferentes puntos de carga.</w:t>
      </w:r>
    </w:p>
    <w:p>
      <w:pPr>
        <w:pStyle w:val="ListParagraph"/>
        <w:numPr>
          <w:ilvl w:val="0"/>
          <w:numId w:val="4"/>
        </w:numPr>
        <w:rPr/>
      </w:pPr>
      <w:r>
        <w:rPr/>
        <w:t>Registrar al menos tres condiciones representativas de operación, cuando la prueba se realice con carga.</w:t>
      </w:r>
    </w:p>
    <w:p>
      <w:pPr>
        <w:pStyle w:val="ListParagraph"/>
        <w:numPr>
          <w:ilvl w:val="0"/>
          <w:numId w:val="4"/>
        </w:numPr>
        <w:rPr/>
      </w:pPr>
      <w:r>
        <w:rPr/>
        <w:t>Verificar que la respuesta del generador sea estable durante cada punto evaluado, sin pérdida de control del AVR, sin oscilaciones anormales y sin actuación indebida de protecciones.</w:t>
      </w:r>
    </w:p>
    <w:p>
      <w:pPr>
        <w:pStyle w:val="ListParagraph"/>
        <w:numPr>
          <w:ilvl w:val="0"/>
          <w:numId w:val="4"/>
        </w:numPr>
        <w:rPr/>
      </w:pPr>
      <w:r>
        <w:rPr/>
        <w:t>Confirmar que el voltaje en terminales del generador permanezca dentro del rango operativo requerido durante toda la prueba.</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lineRule="auto" w:line="240"/>
        <w:rPr/>
      </w:pPr>
      <w:r>
        <w:rPr/>
        <w:t>Voltaje de generador (Vg)</w:t>
      </w:r>
    </w:p>
    <w:p>
      <w:pPr>
        <w:pStyle w:val="ListParagraph"/>
        <w:numPr>
          <w:ilvl w:val="0"/>
          <w:numId w:val="2"/>
        </w:numPr>
        <w:spacing w:lineRule="auto" w:line="240"/>
        <w:rPr/>
      </w:pPr>
      <w:r>
        <w:rPr/>
        <w:t>Potencia activa (P)</w:t>
      </w:r>
    </w:p>
    <w:p>
      <w:pPr>
        <w:pStyle w:val="ListParagraph"/>
        <w:numPr>
          <w:ilvl w:val="0"/>
          <w:numId w:val="0"/>
        </w:numPr>
        <w:spacing w:lineRule="auto" w:line="240"/>
        <w:ind w:hanging="0" w:left="720"/>
        <w:rPr/>
      </w:pPr>
      <w:r>
        <w:rPr/>
      </w:r>
    </w:p>
    <w:p>
      <w:pPr>
        <w:pStyle w:val="ListParagraph"/>
        <w:numPr>
          <w:ilvl w:val="0"/>
          <w:numId w:val="2"/>
        </w:numPr>
        <w:spacing w:lineRule="auto" w:line="240"/>
        <w:rPr/>
      </w:pPr>
      <w:r>
        <w:rPr/>
        <w:t>Frecuencia (f)</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bookmarkStart w:id="5" w:name="OLE_LINK2"/>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bookmarkEnd w:id="5"/>
    </w:p>
    <w:p>
      <w:pPr>
        <w:pStyle w:val="Normal"/>
        <w:spacing w:before="160" w:after="80"/>
        <w:rPr/>
      </w:pPr>
      <w:r>
        <w:rPr>
          <w:b/>
          <w:bCs/>
          <w:color w:val="312E81"/>
        </w:rPr>
        <w:t>Criterio de aceptación</w:t>
      </w:r>
    </w:p>
    <w:p>
      <w:pPr>
        <w:pStyle w:val="Normal"/>
        <w:spacing w:before="160" w:after="80"/>
        <w:rPr/>
      </w:pPr>
      <w:r>
        <w:rPr/>
        <w:t>La prueba se considera satisfactoria cuando el voltaje en terminales del generador permanece dentro del siguiente rango:</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0.90</m:t>
          </m:r>
          <m:r>
            <w:rPr>
              <w:rFonts w:ascii="Cambria Math" w:hAnsi="Cambria Math"/>
            </w:rPr>
            <m:t xml:space="preserve">≤</m:t>
          </m:r>
          <m:sSub>
            <m:e>
              <m:r>
                <w:rPr>
                  <w:rFonts w:ascii="Cambria Math" w:hAnsi="Cambria Math"/>
                </w:rPr>
                <m:t xml:space="preserve">V</m:t>
              </m:r>
            </m:e>
            <m:sub>
              <m:r>
                <w:rPr>
                  <w:rFonts w:ascii="Cambria Math" w:hAnsi="Cambria Math"/>
                </w:rPr>
                <m:t xml:space="preserve">g</m:t>
              </m:r>
            </m:sub>
          </m:sSub>
          <m:r>
            <w:rPr>
              <w:rFonts w:ascii="Cambria Math" w:hAnsi="Cambria Math"/>
            </w:rPr>
            <m:t xml:space="preserve">≤</m:t>
          </m:r>
          <m:r>
            <w:rPr>
              <w:rFonts w:ascii="Cambria Math" w:hAnsi="Cambria Math"/>
            </w:rPr>
            <m:t xml:space="preserve">1.10</m:t>
          </m:r>
          <m:r>
            <w:rPr>
              <w:rFonts w:ascii="Cambria Math" w:hAnsi="Cambria Math"/>
            </w:rPr>
            <m:t xml:space="preserve">pu</m:t>
          </m:r>
        </m:oMath>
      </m:oMathPara>
    </w:p>
    <w:p>
      <w:pPr>
        <w:pStyle w:val="Normal"/>
        <w:spacing w:before="160" w:after="80"/>
        <w:rPr/>
      </w:pPr>
      <w:r>
        <w:rPr>
          <w:b/>
          <w:bCs/>
          <w:color w:val="312E81"/>
        </w:rPr>
        <w:t>Resultados de la prueba</w:t>
      </w:r>
    </w:p>
    <w:p>
      <w:pPr>
        <w:pStyle w:val="Normal"/>
        <w:spacing w:before="0" w:after="120"/>
        <w:rPr/>
      </w:pPr>
      <w:r>
        <w:rPr/>
        <w:t>Los resultados de la prueba deberán registrarse una vez ejecutada la medición en campo, documentando los valores obtenidos de voltaje en terminales del generador, potencia activa, frecuencia y, en caso de estar disponible, la consigna aplicada al AVR.</w:t>
      </w:r>
    </w:p>
    <w:p>
      <w:pPr>
        <w:pStyle w:val="Normal"/>
        <w:spacing w:before="0" w:after="120"/>
        <w:rPr/>
      </w:pPr>
      <w:r>
        <w:rPr/>
        <w:t>La información registrada deberá permitir verificar que la unidad mantiene el voltaje en terminales dentro del rango permitido de 0.90 a 1.10 pu, sin pérdida de control del AVR, sin oscilaciones anormales y sin actuación indebida de protecciones.</w:t>
      </w:r>
    </w:p>
    <w:p>
      <w:pPr>
        <w:pStyle w:val="Normal"/>
        <w:spacing w:before="0" w:after="120"/>
        <w:rPr/>
      </w:pPr>
      <w:r>
        <w:rPr/>
        <w:t>Una vez concluida la prueba, los resultados se integrarán en formato tabular y gráfico para sustentar la evaluación del cumplimiento.</w:t>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3376" w:hRule="atLeast"/>
        </w:trPr>
        <w:tc>
          <w:tcPr>
            <w:tcW w:w="9000" w:type="dxa"/>
            <w:tcBorders/>
            <w:shd w:color="auto" w:fill="D9D9D9" w:val="clear"/>
            <w:vAlign w:val="center"/>
          </w:tcPr>
          <w:p>
            <w:pPr>
              <w:pStyle w:val="Normal"/>
              <w:jc w:val="center"/>
              <w:rPr/>
            </w:pPr>
            <w:r>
              <w:rPr>
                <w:b/>
                <w:bCs/>
                <w:color w:val="404040"/>
              </w:rPr>
              <w:t>Gráfica: Desempeño del control de tensión —CNK</w:t>
            </w:r>
          </w:p>
          <w:p>
            <w:pPr>
              <w:pStyle w:val="Normal"/>
              <w:jc w:val="center"/>
              <w:rPr/>
            </w:pPr>
            <w:r>
              <w:rPr>
                <w:i/>
                <w:iCs/>
                <w:color w:val="808080"/>
                <w:sz w:val="18"/>
                <w:szCs w:val="18"/>
              </w:rPr>
              <w:t>[Espacio reservado para gráfica / captura]</w:t>
            </w:r>
          </w:p>
        </w:tc>
      </w:tr>
    </w:tbl>
    <w:p>
      <w:pPr>
        <w:pStyle w:val="Normal"/>
        <w:spacing w:before="0" w:after="80"/>
        <w:jc w:val="center"/>
        <w:rPr/>
      </w:pPr>
      <w:r>
        <w:rPr>
          <w:sz w:val="20"/>
          <w:szCs w:val="20"/>
        </w:rPr>
        <w:t xml:space="preserve">Figura 1.2 </w:t>
      </w:r>
      <w:r>
        <w:rPr>
          <w:color w:val="404040"/>
        </w:rPr>
        <w:t>Desempeño del control de tensión</w:t>
      </w:r>
    </w:p>
    <w:p>
      <w:pPr>
        <w:pStyle w:val="Heading2"/>
        <w:rPr/>
      </w:pPr>
      <w:bookmarkStart w:id="6" w:name="_Toc229922537"/>
      <w:r>
        <w:rPr/>
        <w:t>4.2.1. Escalón de Tensión 5%</w:t>
      </w:r>
      <w:bookmarkEnd w:id="6"/>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67" wp14:anchorId="6F914549">
                      <wp:simplePos x="0" y="0"/>
                      <wp:positionH relativeFrom="column">
                        <wp:posOffset>74295</wp:posOffset>
                      </wp:positionH>
                      <wp:positionV relativeFrom="paragraph">
                        <wp:posOffset>79375</wp:posOffset>
                      </wp:positionV>
                      <wp:extent cx="708660" cy="635"/>
                      <wp:effectExtent l="0" t="10160" r="0" b="9525"/>
                      <wp:wrapNone/>
                      <wp:docPr id="9"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6F91454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68" wp14:anchorId="505357CE">
                      <wp:simplePos x="0" y="0"/>
                      <wp:positionH relativeFrom="column">
                        <wp:posOffset>0</wp:posOffset>
                      </wp:positionH>
                      <wp:positionV relativeFrom="paragraph">
                        <wp:posOffset>71120</wp:posOffset>
                      </wp:positionV>
                      <wp:extent cx="708660" cy="0"/>
                      <wp:effectExtent l="635" t="10160" r="635" b="10160"/>
                      <wp:wrapNone/>
                      <wp:docPr id="10"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505357CE">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69" wp14:anchorId="78874B14">
                      <wp:simplePos x="0" y="0"/>
                      <wp:positionH relativeFrom="column">
                        <wp:posOffset>0</wp:posOffset>
                      </wp:positionH>
                      <wp:positionV relativeFrom="paragraph">
                        <wp:posOffset>65405</wp:posOffset>
                      </wp:positionV>
                      <wp:extent cx="708660" cy="635"/>
                      <wp:effectExtent l="635" t="9525" r="635" b="9525"/>
                      <wp:wrapNone/>
                      <wp:docPr id="1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78874B14">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2" name="Imagen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6" descr="Badge Tick1 con relleno sólido"/>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3" name="Imagen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descr="Badge Tick1 con relleno sólido"/>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4" name="Imagen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descr="Badge Tick1 con relleno sólido"/>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la respuesta dinámica del sistema de control de excitación de la Unidad de Generación ante cambios escalonados de </w:t>
      </w:r>
      <w:r>
        <w:rPr>
          <w:rStyle w:val="s1"/>
          <w:rFonts w:ascii="Helvetica Neue Light" w:hAnsi="Helvetica Neue Light"/>
          <w:b/>
          <w:bCs/>
          <w:sz w:val="22"/>
          <w:szCs w:val="22"/>
        </w:rPr>
        <w:t>±5% en la consigna de voltaje</w:t>
      </w:r>
      <w:r>
        <w:rPr>
          <w:rFonts w:ascii="Helvetica Neue Light" w:hAnsi="Helvetica Neue Light"/>
          <w:sz w:val="22"/>
          <w:szCs w:val="22"/>
        </w:rPr>
        <w:t xml:space="preserve">, con el </w:t>
      </w:r>
      <w:r>
        <w:rPr>
          <w:rStyle w:val="s1"/>
          <w:rFonts w:ascii="Helvetica Neue Light" w:hAnsi="Helvetica Neue Light"/>
          <w:b/>
          <w:bCs/>
          <w:sz w:val="22"/>
          <w:szCs w:val="22"/>
        </w:rPr>
        <w:t>AVR/RAT en modo automático</w:t>
      </w:r>
      <w:r>
        <w:rPr>
          <w:rFonts w:ascii="Helvetica Neue Light" w:hAnsi="Helvetica Neue Light"/>
          <w:b/>
          <w:bCs/>
          <w:sz w:val="22"/>
          <w:szCs w:val="22"/>
        </w:rPr>
        <w:t>.</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Style w:val="s1"/>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Style w:val="s1"/>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prueba de </w:t>
      </w:r>
      <w:r>
        <w:rPr>
          <w:rStyle w:val="s1"/>
          <w:rFonts w:ascii="Helvetica Neue Light" w:hAnsi="Helvetica Neue Light"/>
          <w:b/>
          <w:bCs/>
          <w:sz w:val="22"/>
          <w:szCs w:val="22"/>
        </w:rPr>
        <w:t>Escalón de Tensión</w:t>
      </w:r>
      <w:r>
        <w:rPr>
          <w:rFonts w:ascii="Helvetica Neue Light" w:hAnsi="Helvetica Neue Light"/>
          <w:sz w:val="22"/>
          <w:szCs w:val="22"/>
        </w:rPr>
        <w:t xml:space="preserve"> para el sistema de control de tensión.</w:t>
      </w:r>
    </w:p>
    <w:p>
      <w:pPr>
        <w:pStyle w:val="p1"/>
        <w:spacing w:lineRule="auto" w:line="360" w:before="280" w:after="280"/>
        <w:jc w:val="both"/>
        <w:rPr>
          <w:rFonts w:ascii="Helvetica Neue Light" w:hAnsi="Helvetica Neue Light"/>
        </w:rPr>
      </w:pPr>
      <w:r>
        <w:rPr>
          <w:rFonts w:ascii="Helvetica Neue Light" w:hAnsi="Helvetica Neue Light"/>
          <w:sz w:val="22"/>
          <w:szCs w:val="22"/>
        </w:rPr>
        <w:t xml:space="preserve">La prueba se sustenta dentro del </w:t>
      </w:r>
      <w:r>
        <w:rPr>
          <w:rStyle w:val="s1"/>
          <w:rFonts w:ascii="Helvetica Neue Light" w:hAnsi="Helvetica Neue Light"/>
          <w:b/>
          <w:bCs/>
          <w:sz w:val="22"/>
          <w:szCs w:val="22"/>
        </w:rPr>
        <w:t>Código de Red 2.0</w:t>
      </w:r>
      <w:r>
        <w:rPr>
          <w:rFonts w:ascii="Helvetica Neue Light" w:hAnsi="Helvetica Neue Light"/>
          <w:b/>
          <w:bCs/>
          <w:sz w:val="22"/>
          <w:szCs w:val="22"/>
        </w:rPr>
        <w:t>,</w:t>
      </w:r>
      <w:r>
        <w:rPr>
          <w:rFonts w:ascii="Helvetica Neue Light" w:hAnsi="Helvetica Neue Light"/>
          <w:sz w:val="22"/>
          <w:szCs w:val="22"/>
        </w:rPr>
        <w:t xml:space="preserve"> particularmente en el </w:t>
      </w:r>
      <w:r>
        <w:rPr>
          <w:rStyle w:val="s1"/>
          <w:rFonts w:ascii="Helvetica Neue Light" w:hAnsi="Helvetica Neue Light"/>
          <w:b/>
          <w:bCs/>
          <w:sz w:val="22"/>
          <w:szCs w:val="22"/>
        </w:rPr>
        <w:t>Manual Regulatorio de Requerimientos Técnicos para la Interconexión de Centrales Eléctricas al Sistema Eléctrico Nacional</w:t>
      </w:r>
      <w:r>
        <w:rPr>
          <w:rFonts w:ascii="Helvetica Neue Light" w:hAnsi="Helvetica Neue Light"/>
          <w:b/>
          <w:bCs/>
          <w:sz w:val="22"/>
          <w:szCs w:val="22"/>
        </w:rPr>
        <w:t xml:space="preserve">, </w:t>
      </w:r>
      <w:r>
        <w:rPr>
          <w:rStyle w:val="s1"/>
          <w:rFonts w:ascii="Helvetica Neue Light" w:hAnsi="Helvetica Neue Light"/>
          <w:b/>
          <w:bCs/>
          <w:sz w:val="22"/>
          <w:szCs w:val="22"/>
        </w:rPr>
        <w:t>Capítulo 3</w:t>
      </w:r>
      <w:r>
        <w:rPr>
          <w:rFonts w:ascii="Helvetica Neue Light" w:hAnsi="Helvetica Neue Light"/>
          <w:sz w:val="22"/>
          <w:szCs w:val="22"/>
        </w:rPr>
        <w:t xml:space="preserve">, relativo a los requerimientos de interconexión ante variaciones de tensión, y en la </w:t>
      </w:r>
      <w:r>
        <w:rPr>
          <w:rStyle w:val="s1"/>
          <w:rFonts w:ascii="Helvetica Neue Light" w:hAnsi="Helvetica Neue Light"/>
          <w:b/>
          <w:bCs/>
          <w:sz w:val="22"/>
          <w:szCs w:val="22"/>
        </w:rPr>
        <w:t>Sección 3.2.2</w:t>
      </w:r>
      <w:r>
        <w:rPr>
          <w:rFonts w:ascii="Helvetica Neue Light" w:hAnsi="Helvetica Neue Light"/>
          <w:sz w:val="22"/>
          <w:szCs w:val="22"/>
        </w:rPr>
        <w:t>, correspondiente al sistema de control de tensión para Centrales Eléctricas Síncronas tipo B</w:t>
      </w:r>
      <w:r>
        <w:rPr>
          <w:rFonts w:ascii="Helvetica Neue Light" w:hAnsi="Helvetica Neue Light"/>
        </w:rPr>
        <w:t>.</w:t>
      </w:r>
    </w:p>
    <w:p>
      <w:pPr>
        <w:pStyle w:val="Normal"/>
        <w:rPr/>
      </w:pPr>
      <w:r>
        <w:rPr/>
        <w:t>Para el protocolo se documentan escalones de tensión de ±5% y ±10%. En caso de que CENACE, el fabricante o el procedimiento específico solicite una verificación adicional de ±20%, esta deberá integrarse como prueba complementaria previa validación de los límites operativos del AVR y de la unidad generadora.</w:t>
      </w:r>
    </w:p>
    <w:p>
      <w:pPr>
        <w:pStyle w:val="Normal"/>
        <w:spacing w:before="160" w:after="80"/>
        <w:rPr/>
      </w:pPr>
      <w:r>
        <w:rPr>
          <w:b/>
          <w:bCs/>
          <w:color w:val="312E81"/>
        </w:rPr>
        <w:t>Condiciones y desarrollo de la prueba</w:t>
      </w:r>
    </w:p>
    <w:p>
      <w:pPr>
        <w:pStyle w:val="ListParagraph"/>
        <w:numPr>
          <w:ilvl w:val="0"/>
          <w:numId w:val="5"/>
        </w:numPr>
        <w:jc w:val="both"/>
        <w:rPr/>
      </w:pPr>
      <w:r>
        <w:rPr/>
        <w:t>Verificar que la unidad se encuentre sincronizada, en operación estable y con el AVR en modo automático.</w:t>
      </w:r>
    </w:p>
    <w:p>
      <w:pPr>
        <w:pStyle w:val="ListParagraph"/>
        <w:numPr>
          <w:ilvl w:val="0"/>
          <w:numId w:val="5"/>
        </w:numPr>
        <w:jc w:val="both"/>
        <w:rPr/>
      </w:pPr>
      <w:r>
        <w:rPr/>
        <w:t>Operar el generador aproximadamente al 50% de carga nominal, conforme a las condiciones operativas disponibles para la prueba.</w:t>
      </w:r>
    </w:p>
    <w:p>
      <w:pPr>
        <w:pStyle w:val="ListParagraph"/>
        <w:numPr>
          <w:ilvl w:val="0"/>
          <w:numId w:val="5"/>
        </w:numPr>
        <w:jc w:val="both"/>
        <w:rPr/>
      </w:pPr>
      <w:r>
        <w:rPr/>
        <w:t>Registrar la condición inicial de operación de la unidad, incluyendo voltaje en terminales del generador, corriente de campo y potencia reactiva.</w:t>
      </w:r>
    </w:p>
    <w:p>
      <w:pPr>
        <w:pStyle w:val="ListParagraph"/>
        <w:numPr>
          <w:ilvl w:val="0"/>
          <w:numId w:val="5"/>
        </w:numPr>
        <w:jc w:val="both"/>
        <w:rPr/>
      </w:pPr>
      <w:r>
        <w:rPr/>
        <w:t>Con el generador estabilizado, aplicar un escalón positivo de +5% sobre la consigna de voltaje.</w:t>
      </w:r>
    </w:p>
    <w:p>
      <w:pPr>
        <w:pStyle w:val="ListParagraph"/>
        <w:numPr>
          <w:ilvl w:val="0"/>
          <w:numId w:val="5"/>
        </w:numPr>
        <w:jc w:val="both"/>
        <w:rPr/>
      </w:pPr>
      <w:r>
        <w:rPr/>
        <w:t>Registrar la respuesta dinámica del sistema de excitación hasta que el voltaje del generador alcance una condición estable.</w:t>
      </w:r>
    </w:p>
    <w:p>
      <w:pPr>
        <w:pStyle w:val="ListParagraph"/>
        <w:numPr>
          <w:ilvl w:val="0"/>
          <w:numId w:val="5"/>
        </w:numPr>
        <w:jc w:val="both"/>
        <w:rPr/>
      </w:pPr>
      <w:r>
        <w:rPr/>
        <w:t>Una vez estabilizada la respuesta, aplicar un escalón negativo de –5% sobre la consigna de voltaje.</w:t>
      </w:r>
    </w:p>
    <w:p>
      <w:pPr>
        <w:pStyle w:val="ListParagraph"/>
        <w:numPr>
          <w:ilvl w:val="0"/>
          <w:numId w:val="5"/>
        </w:numPr>
        <w:jc w:val="both"/>
        <w:rPr/>
      </w:pPr>
      <w:r>
        <w:rPr/>
        <w:t>Registrar nuevamente la respuesta dinámica del sistema hasta alcanzar una condición estable.</w:t>
      </w:r>
    </w:p>
    <w:p>
      <w:pPr>
        <w:pStyle w:val="ListParagraph"/>
        <w:numPr>
          <w:ilvl w:val="0"/>
          <w:numId w:val="5"/>
        </w:numPr>
        <w:jc w:val="both"/>
        <w:rPr/>
      </w:pPr>
      <w:r>
        <w:rPr/>
        <w:t>Determinar los parámetros de desempeño de la respuesta: tiempo de respuesta (Tr), tiempo de estabilización (Ts), sobrepaso (SP) y constante de amortiguamiento (ε).</w:t>
      </w:r>
    </w:p>
    <w:p>
      <w:pPr>
        <w:pStyle w:val="Normal"/>
        <w:rPr/>
      </w:pPr>
      <w:r>
        <w:rPr/>
        <w:t>Para efectos de esta evaluación, ε corresponde al coeficiente de amortiguamiento de la respuesta dinámica del sistema de excitación; se utiliza para verificar que las oscilaciones posteriores al escalón se atenúan dentro del rango permitido.</w:t>
      </w:r>
    </w:p>
    <w:p>
      <w:pPr>
        <w:pStyle w:val="ListParagraph"/>
        <w:numPr>
          <w:ilvl w:val="0"/>
          <w:numId w:val="5"/>
        </w:numPr>
        <w:jc w:val="both"/>
        <w:rPr/>
      </w:pPr>
      <w:r>
        <w:rPr/>
        <w:t>Verificar que la respuesta del sistema sea estable, sin oscilaciones anormales, sin pérdida de control del AVR y sin actuación indebida de protecciones.</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before="160" w:after="80"/>
        <w:jc w:val="center"/>
        <w:rPr/>
      </w:pPr>
      <w:r>
        <w:rPr/>
        <w:t>Voltaje de generador (Vg)</w:t>
      </w:r>
    </w:p>
    <w:p>
      <w:pPr>
        <w:pStyle w:val="ListParagraph"/>
        <w:numPr>
          <w:ilvl w:val="0"/>
          <w:numId w:val="2"/>
        </w:numPr>
        <w:spacing w:before="160" w:after="80"/>
        <w:jc w:val="center"/>
        <w:rPr/>
      </w:pPr>
      <w:r>
        <w:rPr/>
        <w:t>Corriente de campo (If)</w:t>
      </w:r>
    </w:p>
    <w:p>
      <w:pPr>
        <w:pStyle w:val="ListParagraph"/>
        <w:numPr>
          <w:ilvl w:val="0"/>
          <w:numId w:val="2"/>
        </w:numPr>
        <w:spacing w:before="160" w:after="80"/>
        <w:jc w:val="center"/>
        <w:rPr/>
      </w:pPr>
      <w:r>
        <w:rPr/>
        <w:t xml:space="preserve">Potencia reactiva </w:t>
        <w:br/>
        <w:t>(Q)</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los parámetros de respuesta dinámica se encuentran dentro de los siguientes límites:</w:t>
      </w:r>
    </w:p>
    <w:p>
      <w:pPr>
        <w:pStyle w:val="Normal"/>
        <w:spacing w:before="160" w:after="80"/>
        <w:rPr>
          <w:rFonts w:ascii="Cambria Math" w:hAnsi="Cambria Math"/>
        </w:rPr>
      </w:pPr>
      <w:r>
        <w:rPr/>
        <w:t>Tiempo de respuesta (Tr): Tr &lt; 0.25 s para sistema estático; Tr &lt; 0.5 s para sistema brushless.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Normal"/>
        <w:spacing w:before="160" w:after="80"/>
        <w:rPr>
          <w:rFonts w:ascii="Cambria Math" w:hAnsi="Cambria Math"/>
        </w:rPr>
      </w:pPr>
      <w:r>
        <w:rPr/>
        <w:t>Tiempo de estabilización (Ts): 0.7 s &lt; Ts &lt; 1.0 s para sistema estático; Ts &lt; 2.0 s para sistema brushless.</w:t>
      </w:r>
    </w:p>
    <w:p>
      <w:pPr>
        <w:pStyle w:val="Normal"/>
        <w:spacing w:before="160" w:after="80"/>
        <w:rPr>
          <w:rFonts w:ascii="Cambria Math" w:hAnsi="Cambria Math"/>
        </w:rPr>
      </w:pPr>
      <w:r>
        <w:rPr/>
        <w:t>Sobrepaso (SP): SP &lt; 15%.</w:t>
      </w:r>
    </w:p>
    <w:p>
      <w:pPr>
        <w:pStyle w:val="Normal"/>
        <w:spacing w:before="160" w:after="80"/>
        <w:jc w:val="center"/>
        <w:rPr/>
      </w:pPr>
      <w:r>
        <w:rPr/>
      </w:r>
    </w:p>
    <w:p>
      <w:pPr>
        <w:pStyle w:val="Normal"/>
        <w:spacing w:before="160" w:after="80"/>
        <w:jc w:val="center"/>
        <w:rPr/>
      </w:pPr>
      <w:r>
        <w:rPr/>
        <w:t xml:space="preserve">Coeficiente de amortiguamiento (ε): </w:t>
      </w:r>
    </w:p>
    <w:p>
      <w:pPr>
        <w:pStyle w:val="Normal"/>
        <w:spacing w:before="160" w:after="80"/>
        <w:jc w:val="center"/>
        <w:rPr/>
      </w:pPr>
      <w:r>
        <w:rPr/>
        <w:t>0.5 ≤ ε ≤ 1.0.</w:t>
      </w:r>
    </w:p>
    <w:p>
      <w:pPr>
        <w:pStyle w:val="Normal"/>
        <w:spacing w:before="160" w:after="80"/>
        <w:jc w:val="center"/>
        <w:rPr/>
      </w:pPr>
      <w:r>
        <w:rPr/>
      </w:r>
    </w:p>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160" w:after="80"/>
        <w:rPr/>
      </w:pPr>
      <w:r>
        <w:rPr>
          <w:b/>
          <w:bCs/>
          <w:color w:val="312E81"/>
        </w:rPr>
        <w:t>Resultados de la prueba</w:t>
      </w:r>
    </w:p>
    <w:p>
      <w:pPr>
        <w:pStyle w:val="Normal"/>
        <w:spacing w:before="0" w:after="80"/>
        <w:rPr/>
      </w:pPr>
      <w:r>
        <w:rPr/>
        <w:t>Los resultados se registrarán una vez ejecutada la medición en campo, documentando la respuesta dinámica del sistema de excitación ante el escalón positivo de +5% y el escalón negativo de –5% en la consigna de voltaje.</w:t>
      </w:r>
    </w:p>
    <w:p>
      <w:pPr>
        <w:pStyle w:val="Normal"/>
        <w:spacing w:before="0" w:after="80"/>
        <w:rPr/>
      </w:pPr>
      <w:r>
        <w:rPr/>
      </w:r>
    </w:p>
    <w:p>
      <w:pPr>
        <w:pStyle w:val="Normal"/>
        <w:spacing w:before="0" w:after="80"/>
        <w:rPr/>
      </w:pPr>
      <w:r>
        <w:rPr/>
        <w:t>La información obtenida permitirá determinar el tiempo de respuesta (Tr), tiempo de estabilización (Ts), sobrepaso (SP) y constante de amortiguamiento (ε), con el propósito de verificar su cumplimiento respecto a los criterios de aceptación establecidos.</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5801" w:hRule="atLeast"/>
        </w:trPr>
        <w:tc>
          <w:tcPr>
            <w:tcW w:w="9000" w:type="dxa"/>
            <w:tcBorders/>
            <w:shd w:color="auto" w:fill="D9D9D9" w:val="clear"/>
            <w:vAlign w:val="center"/>
          </w:tcPr>
          <w:p>
            <w:pPr>
              <w:pStyle w:val="Normal"/>
              <w:jc w:val="center"/>
              <w:rPr/>
            </w:pPr>
            <w:r>
              <w:rPr>
                <w:b/>
                <w:bCs/>
                <w:color w:val="404040"/>
              </w:rPr>
              <w:t>Gráfica: Escalón de Tensión +5% — CNK</w:t>
            </w:r>
          </w:p>
          <w:p>
            <w:pPr>
              <w:pStyle w:val="Normal"/>
              <w:jc w:val="center"/>
              <w:rPr/>
            </w:pPr>
            <w:r>
              <w:rPr>
                <w:i/>
                <w:iCs/>
                <w:color w:val="808080"/>
                <w:sz w:val="18"/>
                <w:szCs w:val="18"/>
              </w:rPr>
              <w:t>[Espacio reservado para gráfica / captura]</w:t>
            </w:r>
          </w:p>
        </w:tc>
      </w:tr>
    </w:tbl>
    <w:p>
      <w:pPr>
        <w:pStyle w:val="Subtitle"/>
        <w:rPr/>
      </w:pPr>
      <w:r>
        <w:rPr/>
        <w:t>Figura 1.3 Escalón de Tensión +5%</w:t>
      </w:r>
    </w:p>
    <w:p>
      <w:pPr>
        <w:pStyle w:val="Heading2"/>
        <w:rPr/>
      </w:pPr>
      <w:bookmarkStart w:id="7" w:name="_Toc229922538"/>
      <w:r>
        <w:rPr/>
        <w:t>4.2.2. Escalón de Tensión 10%</w:t>
      </w:r>
      <w:bookmarkEnd w:id="7"/>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0" wp14:anchorId="7FA2C32E">
                      <wp:simplePos x="0" y="0"/>
                      <wp:positionH relativeFrom="column">
                        <wp:posOffset>74295</wp:posOffset>
                      </wp:positionH>
                      <wp:positionV relativeFrom="paragraph">
                        <wp:posOffset>79375</wp:posOffset>
                      </wp:positionV>
                      <wp:extent cx="708660" cy="635"/>
                      <wp:effectExtent l="0" t="10160" r="0" b="9525"/>
                      <wp:wrapNone/>
                      <wp:docPr id="1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FA2C32E">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1" wp14:anchorId="424EB9D4">
                      <wp:simplePos x="0" y="0"/>
                      <wp:positionH relativeFrom="column">
                        <wp:posOffset>0</wp:posOffset>
                      </wp:positionH>
                      <wp:positionV relativeFrom="paragraph">
                        <wp:posOffset>71120</wp:posOffset>
                      </wp:positionV>
                      <wp:extent cx="708660" cy="0"/>
                      <wp:effectExtent l="635" t="10160" r="635" b="10160"/>
                      <wp:wrapNone/>
                      <wp:docPr id="16"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424EB9D4">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2" wp14:anchorId="4DD3FA65">
                      <wp:simplePos x="0" y="0"/>
                      <wp:positionH relativeFrom="column">
                        <wp:posOffset>0</wp:posOffset>
                      </wp:positionH>
                      <wp:positionV relativeFrom="paragraph">
                        <wp:posOffset>65405</wp:posOffset>
                      </wp:positionV>
                      <wp:extent cx="708660" cy="635"/>
                      <wp:effectExtent l="635" t="9525" r="635" b="9525"/>
                      <wp:wrapNone/>
                      <wp:docPr id="17"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4DD3FA65">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8" name="Imagen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9" descr="Badge Tick1 con relleno sólido"/>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9" name="Imagen1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0" descr="Badge Tick1 con relleno sólido"/>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20" name="Imagen1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1" descr="Badge Tick1 con relleno sólido"/>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t>Esta prueba verifica la respuesta dinámica del sistema de control de excitación de la Unidad de Generación ante cambios escalonados de ±10% en la consigna de voltaje, con el AVR/RAT en modo automático.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Style w:val="s1"/>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Style w:val="s1"/>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prueba de </w:t>
      </w:r>
      <w:r>
        <w:rPr>
          <w:rStyle w:val="s1"/>
          <w:rFonts w:ascii="Helvetica Neue Light" w:hAnsi="Helvetica Neue Light"/>
          <w:b/>
          <w:bCs/>
          <w:sz w:val="22"/>
          <w:szCs w:val="22"/>
        </w:rPr>
        <w:t>Escalón de Tensión</w:t>
      </w:r>
      <w:r>
        <w:rPr>
          <w:rFonts w:ascii="Helvetica Neue Light" w:hAnsi="Helvetica Neue Light"/>
          <w:sz w:val="22"/>
          <w:szCs w:val="22"/>
        </w:rPr>
        <w:t xml:space="preserve"> para el sistema de control de tensión.</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La prueba se sustenta dentro del </w:t>
      </w:r>
      <w:r>
        <w:rPr>
          <w:rStyle w:val="s1"/>
          <w:rFonts w:ascii="Helvetica Neue Light" w:hAnsi="Helvetica Neue Light"/>
          <w:b/>
          <w:bCs/>
          <w:sz w:val="22"/>
          <w:szCs w:val="22"/>
        </w:rPr>
        <w:t>Código de Red 2.0</w:t>
      </w:r>
      <w:r>
        <w:rPr>
          <w:rFonts w:ascii="Helvetica Neue Light" w:hAnsi="Helvetica Neue Light"/>
          <w:b/>
          <w:bCs/>
          <w:sz w:val="22"/>
          <w:szCs w:val="22"/>
        </w:rPr>
        <w:t>,</w:t>
      </w:r>
      <w:r>
        <w:rPr>
          <w:rFonts w:ascii="Helvetica Neue Light" w:hAnsi="Helvetica Neue Light"/>
          <w:sz w:val="22"/>
          <w:szCs w:val="22"/>
        </w:rPr>
        <w:t xml:space="preserve"> particularmente en el </w:t>
      </w:r>
      <w:r>
        <w:rPr>
          <w:rStyle w:val="s1"/>
          <w:rFonts w:ascii="Helvetica Neue Light" w:hAnsi="Helvetica Neue Light"/>
          <w:b/>
          <w:bCs/>
          <w:sz w:val="22"/>
          <w:szCs w:val="22"/>
        </w:rPr>
        <w:t>Manual Regulatorio de Requerimientos Técnicos para la Interconexión de Centrales Eléctricas al Sistema Eléctrico Nacional</w:t>
      </w:r>
      <w:r>
        <w:rPr>
          <w:rFonts w:ascii="Helvetica Neue Light" w:hAnsi="Helvetica Neue Light"/>
          <w:b/>
          <w:bCs/>
          <w:sz w:val="22"/>
          <w:szCs w:val="22"/>
        </w:rPr>
        <w:t xml:space="preserve">, </w:t>
      </w:r>
      <w:r>
        <w:rPr>
          <w:rStyle w:val="s1"/>
          <w:rFonts w:ascii="Helvetica Neue Light" w:hAnsi="Helvetica Neue Light"/>
          <w:b/>
          <w:bCs/>
          <w:sz w:val="22"/>
          <w:szCs w:val="22"/>
        </w:rPr>
        <w:t>Capítulo 3</w:t>
      </w:r>
      <w:r>
        <w:rPr>
          <w:rFonts w:ascii="Helvetica Neue Light" w:hAnsi="Helvetica Neue Light"/>
          <w:sz w:val="22"/>
          <w:szCs w:val="22"/>
        </w:rPr>
        <w:t xml:space="preserve">, relativo a los requerimientos de interconexión ante variaciones de tensión, y en la </w:t>
      </w:r>
      <w:r>
        <w:rPr>
          <w:rStyle w:val="s1"/>
          <w:rFonts w:ascii="Helvetica Neue Light" w:hAnsi="Helvetica Neue Light"/>
          <w:b/>
          <w:bCs/>
          <w:sz w:val="22"/>
          <w:szCs w:val="22"/>
        </w:rPr>
        <w:t>Sección 3.2.2</w:t>
      </w:r>
      <w:r>
        <w:rPr>
          <w:rFonts w:ascii="Helvetica Neue Light" w:hAnsi="Helvetica Neue Light"/>
          <w:sz w:val="22"/>
          <w:szCs w:val="22"/>
        </w:rPr>
        <w:t>, correspondiente al sistema de control de tensión para Centrales Eléctricas Síncronas tipo B</w:t>
      </w:r>
      <w:r>
        <w:rPr>
          <w:rFonts w:ascii="Helvetica Neue Light" w:hAnsi="Helvetica Neue Light"/>
        </w:rPr>
        <w:t>.</w:t>
      </w:r>
    </w:p>
    <w:p>
      <w:pPr>
        <w:pStyle w:val="Normal"/>
        <w:spacing w:before="160" w:after="80"/>
        <w:rPr/>
      </w:pPr>
      <w:r>
        <w:rPr>
          <w:b/>
          <w:bCs/>
          <w:color w:val="312E81"/>
        </w:rPr>
        <w:t>Condiciones y desarrollo de la prueba</w:t>
      </w:r>
    </w:p>
    <w:p>
      <w:pPr>
        <w:pStyle w:val="ListParagraph"/>
        <w:numPr>
          <w:ilvl w:val="0"/>
          <w:numId w:val="6"/>
        </w:numPr>
        <w:rPr/>
      </w:pPr>
      <w:r>
        <w:rPr/>
        <w:t>Verificar que la unidad se encuentre sincronizada, en operación estable y con el AVR en modo automático.</w:t>
      </w:r>
    </w:p>
    <w:p>
      <w:pPr>
        <w:pStyle w:val="ListParagraph"/>
        <w:numPr>
          <w:ilvl w:val="0"/>
          <w:numId w:val="6"/>
        </w:numPr>
        <w:rPr/>
      </w:pPr>
      <w:r>
        <w:rPr/>
        <w:t>Operar el generador aproximadamente al 50% de carga nominal, conforme a las condiciones operativas disponibles para la prueba.</w:t>
      </w:r>
    </w:p>
    <w:p>
      <w:pPr>
        <w:pStyle w:val="ListParagraph"/>
        <w:numPr>
          <w:ilvl w:val="0"/>
          <w:numId w:val="6"/>
        </w:numPr>
        <w:rPr/>
      </w:pPr>
      <w:r>
        <w:rPr/>
        <w:t>Registrar la condición inicial de operación de la unidad, incluyendo voltaje en terminales del generador, corriente de campo y potencia reactiva.</w:t>
      </w:r>
    </w:p>
    <w:p>
      <w:pPr>
        <w:pStyle w:val="ListParagraph"/>
        <w:numPr>
          <w:ilvl w:val="0"/>
          <w:numId w:val="6"/>
        </w:numPr>
        <w:rPr/>
      </w:pPr>
      <w:r>
        <w:rPr/>
        <w:t>Con el generador estabilizado, aplicar un escalón positivo de +10% sobre la consigna de voltaje.</w:t>
      </w:r>
    </w:p>
    <w:p>
      <w:pPr>
        <w:pStyle w:val="ListParagraph"/>
        <w:numPr>
          <w:ilvl w:val="0"/>
          <w:numId w:val="6"/>
        </w:numPr>
        <w:rPr/>
      </w:pPr>
      <w:r>
        <w:rPr/>
        <w:t>Registrar la respuesta dinámica del sistema de excitación hasta alcanzar una condición estable.</w:t>
      </w:r>
    </w:p>
    <w:p>
      <w:pPr>
        <w:pStyle w:val="ListParagraph"/>
        <w:numPr>
          <w:ilvl w:val="0"/>
          <w:numId w:val="6"/>
        </w:numPr>
        <w:rPr/>
      </w:pPr>
      <w:r>
        <w:rPr/>
        <w:t>Una vez estabilizada la respuesta, aplicar un escalón negativo de –10% sobre la consigna de voltaje.</w:t>
      </w:r>
    </w:p>
    <w:p>
      <w:pPr>
        <w:pStyle w:val="ListParagraph"/>
        <w:numPr>
          <w:ilvl w:val="0"/>
          <w:numId w:val="6"/>
        </w:numPr>
        <w:rPr/>
      </w:pPr>
      <w:r>
        <w:rPr/>
        <w:t>Registrar nuevamente la respuesta dinámica del sistema hasta alcanzar una condición estable.</w:t>
      </w:r>
    </w:p>
    <w:p>
      <w:pPr>
        <w:pStyle w:val="ListParagraph"/>
        <w:numPr>
          <w:ilvl w:val="0"/>
          <w:numId w:val="6"/>
        </w:numPr>
        <w:rPr/>
      </w:pPr>
      <w:r>
        <w:rPr/>
        <w:t>Determinar los parámetros de desempeño de la respuesta: tiempo de respuesta (Tr), tiempo de estabilización (Ts), sobrepaso (SP) y constante de amortiguamiento (ε).</w:t>
      </w:r>
    </w:p>
    <w:p>
      <w:pPr>
        <w:pStyle w:val="Normal"/>
        <w:rPr/>
      </w:pPr>
      <w:r>
        <w:rPr/>
        <w:t>Para efectos de esta evaluación, ε corresponde al coeficiente de amortiguamiento de la respuesta dinámica del sistema de excitación; se utiliza para verificar que las oscilaciones posteriores al escalón se atenúan dentro del rango permitido.</w:t>
      </w:r>
    </w:p>
    <w:p>
      <w:pPr>
        <w:pStyle w:val="ListParagraph"/>
        <w:numPr>
          <w:ilvl w:val="0"/>
          <w:numId w:val="6"/>
        </w:numPr>
        <w:rPr/>
      </w:pPr>
      <w:r>
        <w:rPr/>
        <w:t>Verificar que la respuesta del sistema sea estable, sin oscilaciones anormales, sin pérdida de control del AVR y sin actuación indebida de protecciones.</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before="160" w:after="80"/>
        <w:rPr/>
      </w:pPr>
      <w:r>
        <w:rPr/>
        <w:t>Voltaje de generador (Vg)</w:t>
      </w:r>
    </w:p>
    <w:p>
      <w:pPr>
        <w:pStyle w:val="ListParagraph"/>
        <w:numPr>
          <w:ilvl w:val="0"/>
          <w:numId w:val="2"/>
        </w:numPr>
        <w:spacing w:before="160" w:after="80"/>
        <w:rPr/>
      </w:pPr>
      <w:r>
        <w:rPr/>
        <w:t>Corriente de campo (If)</w:t>
      </w:r>
    </w:p>
    <w:p>
      <w:pPr>
        <w:pStyle w:val="ListParagraph"/>
        <w:numPr>
          <w:ilvl w:val="0"/>
          <w:numId w:val="2"/>
        </w:numPr>
        <w:spacing w:before="160" w:after="80"/>
        <w:rPr/>
      </w:pPr>
      <w:r>
        <w:rPr/>
        <w:t xml:space="preserve">Potencia reactiva </w:t>
        <w:br/>
        <w:t>(Q)</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los parámetros de respuesta dinámica se encuentran dentro de los siguientes límites:</w:t>
      </w:r>
    </w:p>
    <w:p>
      <w:pPr>
        <w:pStyle w:val="Normal"/>
        <w:spacing w:before="160" w:after="80"/>
        <w:rPr>
          <w:rFonts w:ascii="Cambria Math" w:hAnsi="Cambria Math"/>
        </w:rPr>
      </w:pPr>
      <w:r>
        <w:rPr/>
        <w:t>Tiempo de respuesta (Tr): Tr &lt; 0.25 s para sistema estático; Tr &lt; 0.5 s para sistema brushless.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Normal"/>
        <w:spacing w:before="160" w:after="80"/>
        <w:rPr>
          <w:rFonts w:ascii="Cambria Math" w:hAnsi="Cambria Math"/>
        </w:rPr>
      </w:pPr>
      <w:r>
        <w:rPr/>
        <w:t>Tiempo de estabilización (Ts): 0.7 s &lt; Ts &lt; 1.0 s para sistema estático; Ts &lt; 2.0 s para sistema brushless.</w:t>
      </w:r>
    </w:p>
    <w:p>
      <w:pPr>
        <w:pStyle w:val="Normal"/>
        <w:spacing w:before="160" w:after="80"/>
        <w:rPr>
          <w:rFonts w:ascii="Cambria Math" w:hAnsi="Cambria Math"/>
        </w:rPr>
      </w:pPr>
      <w:r>
        <w:rPr/>
        <w:t>Sobrepaso (SP): SP &lt; 15%.</w:t>
      </w:r>
    </w:p>
    <w:p>
      <w:pPr>
        <w:pStyle w:val="Normal"/>
        <w:spacing w:before="160" w:after="80"/>
        <w:rPr>
          <w:rFonts w:ascii="Cambria Math" w:hAnsi="Cambria Math"/>
        </w:rPr>
      </w:pPr>
      <w:r>
        <w:rPr/>
        <w:t>Coeficiente de amortiguamiento (ε): 0.5 ≤ ε ≤ 1.0.</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0.5</m:t>
          </m:r>
          <m:r>
            <w:rPr>
              <w:rFonts w:ascii="Cambria Math" w:hAnsi="Cambria Math"/>
            </w:rPr>
            <m:t xml:space="preserve">≤</m:t>
          </m:r>
          <m:r>
            <w:rPr>
              <w:rFonts w:ascii="Cambria Math" w:hAnsi="Cambria Math"/>
            </w:rPr>
            <m:t xml:space="preserve">ε</m:t>
          </m:r>
          <m:r>
            <w:rPr>
              <w:rFonts w:ascii="Cambria Math" w:hAnsi="Cambria Math"/>
            </w:rPr>
            <m:t xml:space="preserve">≤</m:t>
          </m:r>
          <m:r>
            <w:rPr>
              <w:rFonts w:ascii="Cambria Math" w:hAnsi="Cambria Math"/>
            </w:rPr>
            <m:t xml:space="preserve">1.0</m:t>
          </m:r>
        </m:oMath>
      </m:oMathPara>
    </w:p>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160" w:after="80"/>
        <w:rPr>
          <w:b/>
          <w:bCs/>
          <w:color w:val="312E81"/>
        </w:rPr>
      </w:pPr>
      <w:r>
        <w:rPr>
          <w:b/>
          <w:bCs/>
          <w:color w:val="312E81"/>
        </w:rPr>
      </w:r>
    </w:p>
    <w:p>
      <w:pPr>
        <w:pStyle w:val="Normal"/>
        <w:spacing w:before="160" w:after="80"/>
        <w:rPr/>
      </w:pPr>
      <w:r>
        <w:rPr>
          <w:b/>
          <w:bCs/>
          <w:color w:val="312E81"/>
        </w:rPr>
        <w:t>Resultados de la prueba</w:t>
      </w:r>
    </w:p>
    <w:p>
      <w:pPr>
        <w:pStyle w:val="Normal"/>
        <w:spacing w:before="0" w:after="80"/>
        <w:rPr/>
      </w:pPr>
      <w:r>
        <w:rPr/>
        <w:t>Los resultados se registrarán posterior a la medición en campo, considerando la respuesta dinámica del sistema de excitación ante el escalón positivo de +10% y el escalón negativo de –10% en la consigna de voltaje.</w:t>
      </w:r>
    </w:p>
    <w:p>
      <w:pPr>
        <w:pStyle w:val="Normal"/>
        <w:spacing w:before="0" w:after="80"/>
        <w:rPr/>
      </w:pPr>
      <w:r>
        <w:rPr/>
      </w:r>
    </w:p>
    <w:p>
      <w:pPr>
        <w:pStyle w:val="Normal"/>
        <w:spacing w:before="0" w:after="80"/>
        <w:rPr/>
      </w:pPr>
      <w:r>
        <w:rPr/>
        <w:t>La información obtenida permitirá determinar el tiempo de respuesta (Tr), tiempo de estabilización (Ts), sobrepaso (SP) y constante de amortiguamiento (ε), así como verificar su cumplimiento respecto a los criterios de aceptación establecidos.</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4412" w:hRule="atLeast"/>
        </w:trPr>
        <w:tc>
          <w:tcPr>
            <w:tcW w:w="9000" w:type="dxa"/>
            <w:tcBorders/>
            <w:shd w:color="auto" w:fill="D9D9D9" w:val="clear"/>
            <w:vAlign w:val="center"/>
          </w:tcPr>
          <w:p>
            <w:pPr>
              <w:pStyle w:val="Normal"/>
              <w:jc w:val="center"/>
              <w:rPr/>
            </w:pPr>
            <w:r>
              <w:rPr>
                <w:b/>
                <w:bCs/>
                <w:color w:val="404040"/>
              </w:rPr>
              <w:t xml:space="preserve">Gráfica: Escalón de Tensión -10% — CNK </w:t>
            </w:r>
          </w:p>
          <w:p>
            <w:pPr>
              <w:pStyle w:val="Normal"/>
              <w:jc w:val="center"/>
              <w:rPr/>
            </w:pPr>
            <w:r>
              <w:rPr>
                <w:i/>
                <w:iCs/>
                <w:color w:val="808080"/>
                <w:sz w:val="18"/>
                <w:szCs w:val="18"/>
              </w:rPr>
              <w:t>[Espacio reservado para gráfica / captura]</w:t>
            </w:r>
          </w:p>
        </w:tc>
      </w:tr>
    </w:tbl>
    <w:p>
      <w:pPr>
        <w:pStyle w:val="Subtitle"/>
        <w:rPr/>
      </w:pPr>
      <w:r>
        <w:rPr/>
        <w:t>Figura 1.4 Escalón de Tensión -10%</w:t>
      </w:r>
    </w:p>
    <w:p>
      <w:pPr>
        <w:pStyle w:val="Heading2"/>
        <w:rPr/>
      </w:pPr>
      <w:bookmarkStart w:id="8" w:name="_Toc229922539"/>
      <w:r>
        <w:rPr/>
        <w:t>4.3. Limitador V/Hz</w:t>
      </w:r>
      <w:bookmarkEnd w:id="8"/>
    </w:p>
    <w:p>
      <w:pPr>
        <w:pStyle w:val="Normal"/>
        <w:spacing w:before="160" w:after="80"/>
        <w:rPr/>
      </w:pPr>
      <w:r>
        <w:rPr>
          <w:b/>
          <w:bCs/>
          <w:color w:val="312E81"/>
        </w:rPr>
        <w:t>Aplicabilidad de las Pruebas</w:t>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3" wp14:anchorId="733D8BD9">
                      <wp:simplePos x="0" y="0"/>
                      <wp:positionH relativeFrom="column">
                        <wp:posOffset>74295</wp:posOffset>
                      </wp:positionH>
                      <wp:positionV relativeFrom="paragraph">
                        <wp:posOffset>79375</wp:posOffset>
                      </wp:positionV>
                      <wp:extent cx="708660" cy="635"/>
                      <wp:effectExtent l="0" t="10160" r="0" b="9525"/>
                      <wp:wrapNone/>
                      <wp:docPr id="2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33D8BD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4" wp14:anchorId="58868A36">
                      <wp:simplePos x="0" y="0"/>
                      <wp:positionH relativeFrom="column">
                        <wp:posOffset>0</wp:posOffset>
                      </wp:positionH>
                      <wp:positionV relativeFrom="paragraph">
                        <wp:posOffset>71120</wp:posOffset>
                      </wp:positionV>
                      <wp:extent cx="708660" cy="0"/>
                      <wp:effectExtent l="635" t="10160" r="635" b="10160"/>
                      <wp:wrapNone/>
                      <wp:docPr id="22"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58868A36">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5" wp14:anchorId="594C1DF1">
                      <wp:simplePos x="0" y="0"/>
                      <wp:positionH relativeFrom="column">
                        <wp:posOffset>0</wp:posOffset>
                      </wp:positionH>
                      <wp:positionV relativeFrom="paragraph">
                        <wp:posOffset>65405</wp:posOffset>
                      </wp:positionV>
                      <wp:extent cx="708660" cy="635"/>
                      <wp:effectExtent l="635" t="9525" r="635" b="9525"/>
                      <wp:wrapNone/>
                      <wp:docPr id="23"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594C1DF1">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24" name="Imagen1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2" descr="Badge Tick1 con relleno sólido"/>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25" name="Imagen1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3" descr="Badge Tick1 con relleno sólido"/>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26" name="Imagen1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4" descr="Badge Tick1 con relleno sólido"/>
                          <pic:cNvPicPr>
                            <a:picLocks noChangeAspect="1" noChangeArrowheads="1"/>
                          </pic:cNvPicPr>
                        </pic:nvPicPr>
                        <pic:blipFill>
                          <a:blip r:embed="rId33">
                            <a:extLst>
                              <a:ext uri="{96DAC541-7B7A-43D3-8B79-37D633B846F1}">
                                <asvg:svgBlip xmlns:asvg="http://schemas.microsoft.com/office/drawing/2016/SVG/main" r:embed="rId3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27" name="Imagen1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5" descr="Badge Tick1 con relleno sólido"/>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el funcionamiento del </w:t>
      </w:r>
      <w:r>
        <w:rPr>
          <w:rStyle w:val="s1"/>
          <w:rFonts w:ascii="Helvetica Neue Light" w:hAnsi="Helvetica Neue Light"/>
          <w:b/>
          <w:bCs/>
          <w:sz w:val="22"/>
          <w:szCs w:val="22"/>
        </w:rPr>
        <w:t>limitador Volts/Hertz (V/Hz)</w:t>
      </w:r>
      <w:r>
        <w:rPr>
          <w:rFonts w:ascii="Helvetica Neue Light" w:hAnsi="Helvetica Neue Light"/>
          <w:sz w:val="22"/>
          <w:szCs w:val="22"/>
        </w:rPr>
        <w:t xml:space="preserve"> de la Unidad de Generación, asociado a la protección contra sobreflujo magnético del generador. El propósito es comprobar que el sistema limite la excitación y mantenga la relación </w:t>
      </w:r>
      <w:r>
        <w:rPr>
          <w:rStyle w:val="s1"/>
          <w:rFonts w:ascii="Helvetica Neue Light" w:hAnsi="Helvetica Neue Light"/>
          <w:b/>
          <w:bCs/>
          <w:sz w:val="22"/>
          <w:szCs w:val="22"/>
        </w:rPr>
        <w:t>V/Hz</w:t>
      </w:r>
      <w:r>
        <w:rPr>
          <w:rFonts w:ascii="Helvetica Neue Light" w:hAnsi="Helvetica Neue Light"/>
          <w:sz w:val="22"/>
          <w:szCs w:val="22"/>
        </w:rPr>
        <w:t xml:space="preserve"> dentro del rango permitido.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Style w:val="s1"/>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b/>
          <w:bCs/>
          <w:sz w:val="22"/>
          <w:szCs w:val="22"/>
        </w:rPr>
        <w:t xml:space="preserve">, en el apartado de pruebas por unidad para </w:t>
      </w:r>
      <w:r>
        <w:rPr>
          <w:rStyle w:val="s1"/>
          <w:rFonts w:ascii="Helvetica Neue Light" w:hAnsi="Helvetica Neue Light"/>
          <w:b/>
          <w:bCs/>
          <w:sz w:val="22"/>
          <w:szCs w:val="22"/>
        </w:rPr>
        <w:t>Centrales Eléctricas Síncronas</w:t>
      </w:r>
      <w:r>
        <w:rPr>
          <w:rFonts w:ascii="Helvetica Neue Light" w:hAnsi="Helvetica Neue Light"/>
          <w:sz w:val="22"/>
          <w:szCs w:val="22"/>
          <w:u w:val="single"/>
        </w:rPr>
        <w:t>,</w:t>
      </w:r>
      <w:r>
        <w:rPr>
          <w:rFonts w:ascii="Helvetica Neue Light" w:hAnsi="Helvetica Neue Light"/>
          <w:sz w:val="22"/>
          <w:szCs w:val="22"/>
        </w:rPr>
        <w:t xml:space="preserve"> donde se establece la prueba de </w:t>
      </w:r>
      <w:r>
        <w:rPr>
          <w:rStyle w:val="s1"/>
          <w:rFonts w:ascii="Helvetica Neue Light" w:hAnsi="Helvetica Neue Light"/>
          <w:b/>
          <w:bCs/>
          <w:sz w:val="22"/>
          <w:szCs w:val="22"/>
        </w:rPr>
        <w:t>Limitador V/Hz</w:t>
      </w:r>
      <w:r>
        <w:rPr>
          <w:rFonts w:ascii="Helvetica Neue Light" w:hAnsi="Helvetica Neue Light"/>
          <w:sz w:val="22"/>
          <w:szCs w:val="22"/>
        </w:rPr>
        <w:t xml:space="preserve"> con un rango de actuación de </w:t>
      </w:r>
      <w:r>
        <w:rPr>
          <w:rStyle w:val="s1"/>
          <w:rFonts w:ascii="Helvetica Neue Light" w:hAnsi="Helvetica Neue Light"/>
          <w:b/>
          <w:bCs/>
          <w:sz w:val="22"/>
          <w:szCs w:val="22"/>
        </w:rPr>
        <w:t>1.07 a 1.12 pu</w:t>
      </w:r>
      <w:r>
        <w:rPr>
          <w:rFonts w:ascii="Helvetica Neue Light" w:hAnsi="Helvetica Neue Light"/>
          <w:b/>
          <w:bCs/>
          <w:sz w:val="22"/>
          <w:szCs w:val="22"/>
        </w:rPr>
        <w:t>.</w:t>
      </w:r>
      <w:r>
        <w:rPr>
          <w:rFonts w:ascii="Helvetica Neue Light" w:hAnsi="Helvetica Neue Light"/>
          <w:sz w:val="22"/>
          <w:szCs w:val="22"/>
        </w:rPr>
        <w:t xml:space="preserve"> </w:t>
      </w:r>
      <w:r>
        <w:rPr>
          <w:rStyle w:val="apple-converted-space"/>
          <w:rFonts w:ascii="Helvetica Neue Light" w:hAnsi="Helvetica Neue Light"/>
          <w:sz w:val="22"/>
          <w:szCs w:val="22"/>
        </w:rPr>
        <w:t> </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La prueba se vincula técnicamente con los requerimientos del sistema de excitación y control de tensión establecidos para Centrales Eléctricas Síncronas tipo B, ya que el limitador V/Hz forma parte de las funciones de protección y limitación asociadas </w:t>
      </w:r>
      <w:r>
        <w:rPr>
          <w:rFonts w:ascii="Helvetica Neue Light" w:hAnsi="Helvetica Neue Light"/>
          <w:b/>
          <w:bCs/>
          <w:sz w:val="22"/>
          <w:szCs w:val="22"/>
        </w:rPr>
        <w:t xml:space="preserve">al </w:t>
      </w:r>
      <w:r>
        <w:rPr>
          <w:rStyle w:val="s1"/>
          <w:rFonts w:ascii="Helvetica Neue Light" w:hAnsi="Helvetica Neue Light"/>
          <w:b/>
          <w:bCs/>
          <w:sz w:val="22"/>
          <w:szCs w:val="22"/>
        </w:rPr>
        <w:t>Regulador Automático de Tensión (AVR/RAT)</w:t>
      </w:r>
      <w:r>
        <w:rPr>
          <w:rFonts w:ascii="Helvetica Neue Light" w:hAnsi="Helvetica Neue Light"/>
          <w:sz w:val="22"/>
          <w:szCs w:val="22"/>
        </w:rPr>
        <w:t xml:space="preserve"> y al sistema de excitación del generador.</w:t>
      </w:r>
    </w:p>
    <w:p>
      <w:pPr>
        <w:pStyle w:val="Normal"/>
        <w:spacing w:before="160" w:after="80"/>
        <w:rPr/>
      </w:pPr>
      <w:r>
        <w:rPr>
          <w:b/>
          <w:bCs/>
          <w:color w:val="312E81"/>
        </w:rPr>
        <w:t>Condiciones y desarrollo de la prueba</w:t>
      </w:r>
    </w:p>
    <w:p>
      <w:pPr>
        <w:pStyle w:val="ListParagraph"/>
        <w:numPr>
          <w:ilvl w:val="0"/>
          <w:numId w:val="7"/>
        </w:numPr>
        <w:jc w:val="both"/>
        <w:rPr/>
      </w:pPr>
      <w:r>
        <w:rPr/>
        <w:t>Verificar que la unidad se encuentre en operación estable, con el sistema de excitación habilitado y el AVR en modo automático.</w:t>
      </w:r>
    </w:p>
    <w:p>
      <w:pPr>
        <w:pStyle w:val="ListParagraph"/>
        <w:numPr>
          <w:ilvl w:val="0"/>
          <w:numId w:val="7"/>
        </w:numPr>
        <w:jc w:val="both"/>
        <w:rPr/>
      </w:pPr>
      <w:r>
        <w:rPr/>
        <w:t>Registrar la condición inicial de operación de la unidad, incluyendo voltaje en terminales del generador y frecuencia.</w:t>
      </w:r>
    </w:p>
    <w:p>
      <w:pPr>
        <w:pStyle w:val="ListParagraph"/>
        <w:numPr>
          <w:ilvl w:val="0"/>
          <w:numId w:val="7"/>
        </w:numPr>
        <w:jc w:val="both"/>
        <w:rPr/>
      </w:pPr>
      <w:r>
        <w:rPr/>
        <w:t>Con el generador estabilizado, reducir gradualmente la frecuencia simulada de forma controlada.</w:t>
      </w:r>
    </w:p>
    <w:p>
      <w:pPr>
        <w:pStyle w:val="ListParagraph"/>
        <w:numPr>
          <w:ilvl w:val="0"/>
          <w:numId w:val="7"/>
        </w:numPr>
        <w:jc w:val="both"/>
        <w:rPr/>
      </w:pPr>
      <w:r>
        <w:rPr/>
        <w:t>Evaluar la relación V/Hz durante cada punto de frecuencia definido.</w:t>
      </w:r>
    </w:p>
    <w:p>
      <w:pPr>
        <w:pStyle w:val="ListParagraph"/>
        <w:numPr>
          <w:ilvl w:val="0"/>
          <w:numId w:val="7"/>
        </w:numPr>
        <w:jc w:val="both"/>
        <w:rPr/>
      </w:pPr>
      <w:r>
        <w:rPr/>
        <w:t>Registrar los valores de voltaje, frecuencia y relación V/Hz en los puntos de 60 Hz, 59 Hz, 58 Hz y 57 Hz.</w:t>
      </w:r>
    </w:p>
    <w:p>
      <w:pPr>
        <w:pStyle w:val="ListParagraph"/>
        <w:numPr>
          <w:ilvl w:val="0"/>
          <w:numId w:val="7"/>
        </w:numPr>
        <w:jc w:val="both"/>
        <w:rPr/>
      </w:pPr>
      <w:r>
        <w:rPr/>
        <w:t>Verificar la actuación del limitador V/Hz conforme al ajuste configurado en el sistema de excitación.</w:t>
      </w:r>
    </w:p>
    <w:p>
      <w:pPr>
        <w:pStyle w:val="ListParagraph"/>
        <w:numPr>
          <w:ilvl w:val="0"/>
          <w:numId w:val="7"/>
        </w:numPr>
        <w:jc w:val="both"/>
        <w:rPr/>
      </w:pPr>
      <w:r>
        <w:rPr/>
        <w:t>Regresar la unidad a condiciones nominales de operación.</w:t>
      </w:r>
    </w:p>
    <w:p>
      <w:pPr>
        <w:pStyle w:val="ListParagraph"/>
        <w:numPr>
          <w:ilvl w:val="0"/>
          <w:numId w:val="7"/>
        </w:numPr>
        <w:jc w:val="both"/>
        <w:rPr/>
      </w:pPr>
      <w:r>
        <w:rPr/>
        <w:t>Confirmar que la unidad mantenga una respuesta estable, sin pérdida de control del AVR, sin oscilaciones anormales y sin actuación indebida de protecciones no asociadas a la prueba.</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before="160" w:after="80"/>
        <w:rPr/>
      </w:pPr>
      <w:r>
        <w:rPr/>
        <w:t>Voltaje de generador (Vg)</w:t>
      </w:r>
    </w:p>
    <w:p>
      <w:pPr>
        <w:pStyle w:val="ListParagraph"/>
        <w:numPr>
          <w:ilvl w:val="0"/>
          <w:numId w:val="2"/>
        </w:numPr>
        <w:spacing w:before="160" w:after="80"/>
        <w:rPr/>
      </w:pPr>
      <w:r>
        <w:rPr/>
        <w:t>Frecuencia (f)</w:t>
      </w:r>
    </w:p>
    <w:p>
      <w:pPr>
        <w:pStyle w:val="ListParagraph"/>
        <w:numPr>
          <w:ilvl w:val="0"/>
          <w:numId w:val="2"/>
        </w:numPr>
        <w:spacing w:before="160" w:after="80"/>
        <w:rPr/>
      </w:pPr>
      <w:r>
        <w:rPr/>
        <w:t>Relación V/Hz</w:t>
      </w:r>
    </w:p>
    <w:p>
      <w:pPr>
        <w:pStyle w:val="ListParagraph"/>
        <w:numPr>
          <w:ilvl w:val="0"/>
          <w:numId w:val="2"/>
        </w:numPr>
        <w:spacing w:before="160" w:after="80"/>
        <w:rPr/>
      </w:pPr>
      <w:r>
        <w:rPr/>
        <w:t>Activación del limitador V/Hz</w:t>
      </w:r>
    </w:p>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y el analizador de redes correspondiente, mediante los cuales se registrarán las señales eléctricas requeridas durante la ejecución de la prueba.</w:t>
      </w:r>
    </w:p>
    <w:p>
      <w:pPr>
        <w:pStyle w:val="Normal"/>
        <w:spacing w:before="160" w:after="80"/>
        <w:rPr/>
      </w:pPr>
      <w:r>
        <w:rPr>
          <w:b/>
          <w:bCs/>
          <w:color w:val="312E81"/>
        </w:rPr>
        <w:t>Criterio de aceptación</w:t>
      </w:r>
    </w:p>
    <w:p>
      <w:pPr>
        <w:pStyle w:val="Normal"/>
        <w:spacing w:before="160" w:after="80"/>
        <w:rPr/>
      </w:pPr>
      <w:r>
        <w:rPr/>
        <w:t xml:space="preserve">La prueba se considera satisfactoria cuando la relación </w:t>
      </w:r>
      <w:r>
        <w:rPr>
          <w:b/>
          <w:bCs/>
        </w:rPr>
        <w:t>V/Hz</w:t>
      </w:r>
      <w:r>
        <w:rPr/>
        <w:t xml:space="preserve"> se mantiene dentro del siguiente rango de actuación:</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1.07</m:t>
          </m:r>
          <m:r>
            <w:rPr>
              <w:rFonts w:ascii="Cambria Math" w:hAnsi="Cambria Math"/>
            </w:rPr>
            <m:t xml:space="preserve">≤</m:t>
          </m:r>
          <m:f>
            <m:num>
              <m:r>
                <w:rPr>
                  <w:rFonts w:ascii="Cambria Math" w:hAnsi="Cambria Math"/>
                </w:rPr>
                <m:t xml:space="preserve">V</m:t>
              </m:r>
            </m:num>
            <m:den>
              <m:r>
                <w:rPr>
                  <w:rFonts w:ascii="Cambria Math" w:hAnsi="Cambria Math"/>
                </w:rPr>
                <m:t xml:space="preserve">Hz</m:t>
              </m:r>
            </m:den>
          </m:f>
          <m:r>
            <w:rPr>
              <w:rFonts w:ascii="Cambria Math" w:hAnsi="Cambria Math"/>
            </w:rPr>
            <m:t xml:space="preserve">≤</m:t>
          </m:r>
          <m:r>
            <w:rPr>
              <w:rFonts w:ascii="Cambria Math" w:hAnsi="Cambria Math"/>
            </w:rPr>
            <m:t xml:space="preserve">1.12</m:t>
          </m:r>
          <m:r>
            <w:rPr>
              <w:rFonts w:ascii="Cambria Math" w:hAnsi="Cambria Math"/>
            </w:rPr>
            <m:t xml:space="preserve">pu</m:t>
          </m:r>
        </m:oMath>
      </m:oMathPara>
    </w:p>
    <w:p>
      <w:pPr>
        <w:pStyle w:val="Normal"/>
        <w:spacing w:before="160" w:after="80"/>
        <w:rPr/>
      </w:pPr>
      <w:r>
        <w:rPr/>
      </w:r>
    </w:p>
    <w:p>
      <w:pPr>
        <w:pStyle w:val="Normal"/>
        <w:spacing w:before="160" w:after="80"/>
        <w:rPr/>
      </w:pPr>
      <w:r>
        <w:rPr>
          <w:b/>
          <w:bCs/>
          <w:color w:val="312E81"/>
        </w:rPr>
        <w:t>Resultados de la prueba</w:t>
      </w:r>
    </w:p>
    <w:p>
      <w:pPr>
        <w:pStyle w:val="Normal"/>
        <w:spacing w:before="160" w:after="80"/>
        <w:rPr/>
      </w:pPr>
      <w:r>
        <w:rPr/>
        <w:t>Los resultados se registrarán posterior a la medición en campo, considerando los valores de voltaje, frecuencia, relación V/Hz y condición de actuación del limitador en cada punto evaluado.</w:t>
      </w:r>
    </w:p>
    <w:p>
      <w:pPr>
        <w:pStyle w:val="Normal"/>
        <w:spacing w:before="160" w:after="80"/>
        <w:rPr/>
      </w:pPr>
      <w:r>
        <w:rPr/>
        <w:t xml:space="preserve">La información obtenida permitirá verificar que el limitador mantiene la relación V/Hz dentro del rango de </w:t>
      </w:r>
      <w:r>
        <w:rPr>
          <w:b/>
          <w:bCs/>
        </w:rPr>
        <w:t>1.07 a 1.12 pu</w:t>
      </w:r>
      <w:r>
        <w:rPr/>
        <w:t>, así como confirmar la estabilidad del sistema de excitación durante la prueba.</w:t>
      </w:r>
    </w:p>
    <w:p>
      <w:pPr>
        <w:pStyle w:val="Normal"/>
        <w:spacing w:before="160" w:after="80"/>
        <w:rPr/>
      </w:pPr>
      <w:r>
        <w:rPr/>
        <w:t>La evidencia de la prueba se presentará en formato tabular y gráfico para sustentar la evaluación correspondiente.</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4843" w:hRule="atLeast"/>
        </w:trPr>
        <w:tc>
          <w:tcPr>
            <w:tcW w:w="9000" w:type="dxa"/>
            <w:tcBorders/>
            <w:shd w:color="auto" w:fill="D9D9D9" w:val="clear"/>
            <w:vAlign w:val="center"/>
          </w:tcPr>
          <w:p>
            <w:pPr>
              <w:pStyle w:val="Normal"/>
              <w:jc w:val="center"/>
              <w:rPr/>
            </w:pPr>
            <w:r>
              <w:rPr>
                <w:b/>
                <w:bCs/>
                <w:color w:val="404040"/>
              </w:rPr>
              <w:t>Gráfica: Característica V/Hz del Limitador — CNK</w:t>
            </w:r>
          </w:p>
          <w:p>
            <w:pPr>
              <w:pStyle w:val="Normal"/>
              <w:jc w:val="center"/>
              <w:rPr/>
            </w:pPr>
            <w:r>
              <w:rPr>
                <w:i/>
                <w:iCs/>
                <w:color w:val="808080"/>
                <w:sz w:val="18"/>
                <w:szCs w:val="18"/>
              </w:rPr>
              <w:t>[Espacio reservado para gráfica / captura]</w:t>
            </w:r>
          </w:p>
        </w:tc>
      </w:tr>
    </w:tbl>
    <w:p>
      <w:pPr>
        <w:pStyle w:val="Subtitle"/>
        <w:rPr/>
      </w:pPr>
      <w:r>
        <w:rPr/>
        <w:t>Figura 1.5 Característica V/Hz del Limitador</w:t>
      </w:r>
    </w:p>
    <w:p>
      <w:pPr>
        <w:pStyle w:val="Heading2"/>
        <w:rPr/>
      </w:pPr>
      <w:bookmarkStart w:id="9" w:name="_Toc229922540"/>
      <w:r>
        <w:rPr/>
        <w:t>4.4.1. Secuencia Exc y Desexc Auto</w:t>
      </w:r>
      <w:bookmarkEnd w:id="9"/>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6" wp14:anchorId="71C04B72">
                      <wp:simplePos x="0" y="0"/>
                      <wp:positionH relativeFrom="column">
                        <wp:posOffset>74295</wp:posOffset>
                      </wp:positionH>
                      <wp:positionV relativeFrom="paragraph">
                        <wp:posOffset>79375</wp:posOffset>
                      </wp:positionV>
                      <wp:extent cx="708660" cy="635"/>
                      <wp:effectExtent l="0" t="10160" r="0" b="9525"/>
                      <wp:wrapNone/>
                      <wp:docPr id="28"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1C04B72">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7" wp14:anchorId="2828478B">
                      <wp:simplePos x="0" y="0"/>
                      <wp:positionH relativeFrom="column">
                        <wp:posOffset>0</wp:posOffset>
                      </wp:positionH>
                      <wp:positionV relativeFrom="paragraph">
                        <wp:posOffset>71120</wp:posOffset>
                      </wp:positionV>
                      <wp:extent cx="708660" cy="0"/>
                      <wp:effectExtent l="635" t="10160" r="635" b="10160"/>
                      <wp:wrapNone/>
                      <wp:docPr id="29"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2828478B">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8" wp14:anchorId="3231F58E">
                      <wp:simplePos x="0" y="0"/>
                      <wp:positionH relativeFrom="column">
                        <wp:posOffset>0</wp:posOffset>
                      </wp:positionH>
                      <wp:positionV relativeFrom="paragraph">
                        <wp:posOffset>65405</wp:posOffset>
                      </wp:positionV>
                      <wp:extent cx="708660" cy="635"/>
                      <wp:effectExtent l="635" t="9525" r="635" b="9525"/>
                      <wp:wrapNone/>
                      <wp:docPr id="30"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3231F58E">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31" name="Imagen1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16" descr="Badge Tick1 con relleno sólido"/>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32" name="Imagen1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7" descr="Badge Tick1 con relleno sólido"/>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33" name="Imagen1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8" descr="Badge Tick1 con relleno sólido"/>
                          <pic:cNvPicPr>
                            <a:picLocks noChangeAspect="1" noChangeArrowheads="1"/>
                          </pic:cNvPicPr>
                        </pic:nvPicPr>
                        <pic:blipFill>
                          <a:blip r:embed="rId41">
                            <a:extLst>
                              <a:ext uri="{96DAC541-7B7A-43D3-8B79-37D633B846F1}">
                                <asvg:svgBlip xmlns:asvg="http://schemas.microsoft.com/office/drawing/2016/SVG/main" r:embed="rId42"/>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34" name="Imagen1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19" descr="Badge Tick1 con relleno sólido"/>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que la secuencia automática de </w:t>
      </w:r>
      <w:r>
        <w:rPr>
          <w:rStyle w:val="s1"/>
          <w:rFonts w:ascii="Helvetica Neue Light" w:hAnsi="Helvetica Neue Light"/>
          <w:b/>
          <w:bCs/>
          <w:sz w:val="22"/>
          <w:szCs w:val="22"/>
        </w:rPr>
        <w:t>excitación y desexcitación</w:t>
      </w:r>
      <w:r>
        <w:rPr>
          <w:rFonts w:ascii="Helvetica Neue Light" w:hAnsi="Helvetica Neue Light"/>
          <w:sz w:val="22"/>
          <w:szCs w:val="22"/>
        </w:rPr>
        <w:t xml:space="preserve"> del generador se realice de forma ordenada, segura y conforme a la lógica operativa del sistema de excitación.</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Style w:val="s1"/>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b/>
          <w:bCs/>
          <w:sz w:val="22"/>
          <w:szCs w:val="22"/>
        </w:rPr>
        <w:t xml:space="preserve">, en el apartado de pruebas por unidad para </w:t>
      </w:r>
      <w:r>
        <w:rPr>
          <w:rStyle w:val="s1"/>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verificación de la </w:t>
      </w:r>
      <w:r>
        <w:rPr>
          <w:rStyle w:val="s1"/>
          <w:rFonts w:ascii="Helvetica Neue Light" w:hAnsi="Helvetica Neue Light"/>
          <w:b/>
          <w:bCs/>
          <w:sz w:val="22"/>
          <w:szCs w:val="22"/>
        </w:rPr>
        <w:t>Secuencia Excitación–Desexcitación</w:t>
      </w:r>
      <w:r>
        <w:rPr>
          <w:rFonts w:ascii="Helvetica Neue Light" w:hAnsi="Helvetica Neue Light"/>
          <w:sz w:val="22"/>
          <w:szCs w:val="22"/>
        </w:rPr>
        <w:t xml:space="preserve"> del sistema de control de tensión.</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vincula técnicamente con la correcta operación del sistema de excitación del generador, al validar que las órdenes automáticas de excitación y desexcitación se ejecuten en la secuencia esperada, sin pérdida de control, sin condiciones anormales y sin actuación indebida de protecciones.</w:t>
      </w:r>
    </w:p>
    <w:p>
      <w:pPr>
        <w:pStyle w:val="Normal"/>
        <w:spacing w:before="160" w:after="80"/>
        <w:rPr/>
      </w:pPr>
      <w:r>
        <w:rPr>
          <w:b/>
          <w:bCs/>
          <w:color w:val="312E81"/>
        </w:rPr>
        <w:t>Condiciones y desarrollo de la prueba</w:t>
      </w:r>
    </w:p>
    <w:p>
      <w:pPr>
        <w:pStyle w:val="ListParagraph"/>
        <w:numPr>
          <w:ilvl w:val="0"/>
          <w:numId w:val="8"/>
        </w:numPr>
        <w:jc w:val="both"/>
        <w:rPr/>
      </w:pPr>
      <w:r>
        <w:rPr/>
        <w:t>Verificar que el generador se encuentre parado o en condición segura para inicio de secuencia, conforme a la condición operativa definida para la prueba.</w:t>
      </w:r>
    </w:p>
    <w:p>
      <w:pPr>
        <w:pStyle w:val="ListParagraph"/>
        <w:numPr>
          <w:ilvl w:val="0"/>
          <w:numId w:val="8"/>
        </w:numPr>
        <w:jc w:val="both"/>
        <w:rPr/>
      </w:pPr>
      <w:r>
        <w:rPr/>
        <w:t>Confirmar que el sistema de excitación se encuentre disponible y habilitado para operación automática.</w:t>
      </w:r>
    </w:p>
    <w:p>
      <w:pPr>
        <w:pStyle w:val="ListParagraph"/>
        <w:numPr>
          <w:ilvl w:val="0"/>
          <w:numId w:val="8"/>
        </w:numPr>
        <w:jc w:val="both"/>
        <w:rPr/>
      </w:pPr>
      <w:r>
        <w:rPr/>
        <w:t>Iniciar la secuencia automática de excitación del generador.</w:t>
      </w:r>
    </w:p>
    <w:p>
      <w:pPr>
        <w:pStyle w:val="ListParagraph"/>
        <w:numPr>
          <w:ilvl w:val="0"/>
          <w:numId w:val="8"/>
        </w:numPr>
        <w:jc w:val="both"/>
        <w:rPr/>
      </w:pPr>
      <w:r>
        <w:rPr/>
        <w:t>Registrar el comportamiento del voltaje en terminales del generador y la corriente de campo durante la secuencia.</w:t>
      </w:r>
    </w:p>
    <w:p>
      <w:pPr>
        <w:pStyle w:val="ListParagraph"/>
        <w:numPr>
          <w:ilvl w:val="0"/>
          <w:numId w:val="8"/>
        </w:numPr>
        <w:jc w:val="both"/>
        <w:rPr/>
      </w:pPr>
      <w:r>
        <w:rPr/>
        <w:t>Medir el tiempo requerido desde el inicio de la secuencia de excitación hasta alcanzar la tensión nominal del generador.</w:t>
      </w:r>
    </w:p>
    <w:p>
      <w:pPr>
        <w:pStyle w:val="ListParagraph"/>
        <w:numPr>
          <w:ilvl w:val="0"/>
          <w:numId w:val="8"/>
        </w:numPr>
        <w:jc w:val="both"/>
        <w:rPr/>
      </w:pPr>
      <w:r>
        <w:rPr/>
        <w:t>Con la unidad excitada y en condición estable, iniciar la secuencia automática de desexcitación.</w:t>
      </w:r>
    </w:p>
    <w:p>
      <w:pPr>
        <w:pStyle w:val="ListParagraph"/>
        <w:numPr>
          <w:ilvl w:val="0"/>
          <w:numId w:val="8"/>
        </w:numPr>
        <w:jc w:val="both"/>
        <w:rPr/>
      </w:pPr>
      <w:r>
        <w:rPr/>
        <w:t>Registrar la disminución del voltaje del generador y de la corriente de campo durante la desexcitación.</w:t>
      </w:r>
    </w:p>
    <w:p>
      <w:pPr>
        <w:pStyle w:val="ListParagraph"/>
        <w:numPr>
          <w:ilvl w:val="0"/>
          <w:numId w:val="8"/>
        </w:numPr>
        <w:jc w:val="both"/>
        <w:rPr/>
      </w:pPr>
      <w:r>
        <w:rPr/>
        <w:t>Medir el tiempo requerido desde el inicio de la secuencia de desexcitación hasta alcanzar tensión cero o la condición final definida por el sistema.</w:t>
      </w:r>
    </w:p>
    <w:p>
      <w:pPr>
        <w:pStyle w:val="ListParagraph"/>
        <w:numPr>
          <w:ilvl w:val="0"/>
          <w:numId w:val="8"/>
        </w:numPr>
        <w:jc w:val="both"/>
        <w:rPr/>
      </w:pPr>
      <w:r>
        <w:rPr/>
        <w:t>Verificar que ambas secuencias se ejecuten de forma ordenada, sin bloqueos, sin alarmas anormales y sin actuación indebida de protecciones.</w:t>
      </w:r>
    </w:p>
    <w:p>
      <w:pPr>
        <w:pStyle w:val="Normal"/>
        <w:ind w:left="360"/>
        <w:rPr/>
      </w:pPr>
      <w:r>
        <w:rPr/>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1"/>
        </w:numPr>
        <w:rPr/>
      </w:pPr>
      <w:r>
        <w:rPr/>
        <w:t>Voltaje de generador (Vg)</w:t>
      </w:r>
    </w:p>
    <w:p>
      <w:pPr>
        <w:pStyle w:val="ListParagraph"/>
        <w:numPr>
          <w:ilvl w:val="0"/>
          <w:numId w:val="1"/>
        </w:numPr>
        <w:rPr/>
      </w:pPr>
      <w:r>
        <w:rPr/>
        <w:t>Corriente de campo (If)</w:t>
      </w:r>
    </w:p>
    <w:p>
      <w:pPr>
        <w:pStyle w:val="ListParagraph"/>
        <w:numPr>
          <w:ilvl w:val="0"/>
          <w:numId w:val="1"/>
        </w:numPr>
        <w:rPr/>
      </w:pPr>
      <w:r>
        <w:rPr/>
        <w:t>Señales de secuencia del AVR</w:t>
      </w:r>
    </w:p>
    <w:p>
      <w:pPr>
        <w:pStyle w:val="ListParagraph"/>
        <w:numPr>
          <w:ilvl w:val="0"/>
          <w:numId w:val="2"/>
        </w:numPr>
        <w:spacing w:before="160" w:after="80"/>
        <w:rPr>
          <w:b/>
          <w:bCs/>
          <w:color w:val="312E81"/>
        </w:rPr>
      </w:pPr>
      <w:r>
        <w:rPr/>
        <w:t>Estado de excitación / desexcitación</w:t>
      </w:r>
    </w:p>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160" w:after="80"/>
        <w:rPr/>
      </w:pPr>
      <w:r>
        <w:rPr/>
        <w:t xml:space="preserve">Para recabar la información de la prueba se utilizará un </w:t>
      </w:r>
      <w:r>
        <w:rPr>
          <w:b/>
          <w:bCs/>
        </w:rPr>
        <w:t>adquisidor de datos HIOKI MR8847A</w:t>
      </w:r>
      <w:r>
        <w:rPr/>
        <w:t xml:space="preserve">, mediante el cual se registrarán las señales requeridas durante la ejecución de la prueba, con capacidad de muestreo mínima de </w:t>
      </w:r>
      <w:r>
        <w:rPr>
          <w:b/>
          <w:bCs/>
        </w:rPr>
        <w:t>20 muestras por segundo</w:t>
      </w:r>
      <w:r>
        <w:rPr/>
        <w:t xml:space="preserve">, equivalente a un intervalo de </w:t>
      </w:r>
      <w:r>
        <w:rPr>
          <w:b/>
          <w:bCs/>
        </w:rPr>
        <w:t>50 ms por señal</w:t>
      </w:r>
      <w:r>
        <w:rPr/>
        <w:t>.</w:t>
      </w:r>
    </w:p>
    <w:p>
      <w:pPr>
        <w:pStyle w:val="Normal"/>
        <w:spacing w:before="160" w:after="80"/>
        <w:rPr/>
      </w:pPr>
      <w:r>
        <w:rPr>
          <w:b/>
          <w:bCs/>
          <w:color w:val="312E81"/>
        </w:rPr>
        <w:t>Criterio de aceptación</w:t>
      </w:r>
    </w:p>
    <w:p>
      <w:pPr>
        <w:pStyle w:val="Normal"/>
        <w:spacing w:before="160" w:after="80"/>
        <w:rPr/>
      </w:pPr>
      <w:r>
        <w:rPr/>
        <w:t>La prueba se considera satisfactoria cuando la secuencia automática de excitación y desexcitación se realiza de manera ordenada y correcta, conforme a la lógica operativa del sistema de excitación, sin interrupciones anormales, sin pérdida de control y sin actuación indebida de protecciones.</w:t>
      </w:r>
    </w:p>
    <w:p>
      <w:pPr>
        <w:pStyle w:val="Normal"/>
        <w:spacing w:before="160" w:after="80"/>
        <w:rPr/>
      </w:pPr>
      <w:r>
        <w:rPr/>
      </w:r>
    </w:p>
    <w:p>
      <w:pPr>
        <w:pStyle w:val="Normal"/>
        <w:spacing w:before="160" w:after="80"/>
        <w:rPr/>
      </w:pPr>
      <w:r>
        <w:rPr>
          <w:b/>
          <w:bCs/>
          <w:color w:val="312E81"/>
        </w:rPr>
        <w:t>Resultados de la prueba</w:t>
      </w:r>
    </w:p>
    <w:p>
      <w:pPr>
        <w:pStyle w:val="Normal"/>
        <w:spacing w:before="0" w:after="80"/>
        <w:rPr/>
      </w:pPr>
      <w:r>
        <w:rPr/>
        <w:t>La evidencia de esta prueba corresponderá al registro temporal de la secuencia automática de excitación y desexcitación del generador, identificando el instante de inicio de cada orden, la evolución del voltaje en terminales y la corriente de campo hasta alcanzar la condición final correspondiente.</w:t>
      </w:r>
    </w:p>
    <w:p>
      <w:pPr>
        <w:pStyle w:val="Normal"/>
        <w:spacing w:before="0" w:after="80"/>
        <w:rPr/>
      </w:pPr>
      <w:r>
        <w:rPr/>
      </w:r>
    </w:p>
    <w:p>
      <w:pPr>
        <w:pStyle w:val="Normal"/>
        <w:spacing w:before="0" w:after="80"/>
        <w:rPr/>
      </w:pPr>
      <w:r>
        <w:rPr/>
        <w:t>Para la excitación automática, se documentará el tiempo requerido para alcanzar la tensión nominal del generador. Para la desexcitación automática, se documentará el tiempo requerido para llevar el voltaje del generador a la condición de tensión cero o al valor final definido por el sistema.</w:t>
      </w:r>
    </w:p>
    <w:p>
      <w:pPr>
        <w:pStyle w:val="Normal"/>
        <w:spacing w:before="0" w:after="80"/>
        <w:rPr/>
      </w:pPr>
      <w:r>
        <w:rPr/>
      </w:r>
    </w:p>
    <w:p>
      <w:pPr>
        <w:pStyle w:val="Normal"/>
        <w:spacing w:before="0" w:after="80"/>
        <w:rPr/>
      </w:pPr>
      <w:r>
        <w:rPr/>
        <w:t>Los registros permitirán confirmar que ambas secuencias se ejecutan de forma ordenada, sin bloqueos, alarmas anormales, pérdida de control del sistema de excitación o actuación indebida de protecciones.</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1953" w:hRule="atLeast"/>
        </w:trPr>
        <w:tc>
          <w:tcPr>
            <w:tcW w:w="9000" w:type="dxa"/>
            <w:tcBorders/>
            <w:shd w:color="auto" w:fill="D9D9D9" w:val="clear"/>
            <w:vAlign w:val="center"/>
          </w:tcPr>
          <w:p>
            <w:pPr>
              <w:pStyle w:val="Normal"/>
              <w:jc w:val="center"/>
              <w:rPr/>
            </w:pPr>
            <w:r>
              <w:rPr>
                <w:b/>
                <w:bCs/>
                <w:color w:val="404040"/>
              </w:rPr>
              <w:t xml:space="preserve">Gráfica: Secuencia Excitación Automática — CNK </w:t>
            </w:r>
          </w:p>
          <w:p>
            <w:pPr>
              <w:pStyle w:val="Normal"/>
              <w:jc w:val="center"/>
              <w:rPr/>
            </w:pPr>
            <w:r>
              <w:rPr>
                <w:i/>
                <w:iCs/>
                <w:color w:val="808080"/>
                <w:sz w:val="18"/>
                <w:szCs w:val="18"/>
              </w:rPr>
              <w:t>[Espacio reservado para gráfica / captura]</w:t>
            </w:r>
          </w:p>
        </w:tc>
      </w:tr>
    </w:tbl>
    <w:p>
      <w:pPr>
        <w:pStyle w:val="Subtitle"/>
        <w:rPr/>
      </w:pPr>
      <w:r>
        <w:rPr/>
        <w:t>Figura 1.6 Secuencia Excitación Automática</w:t>
      </w:r>
    </w:p>
    <w:p>
      <w:pPr>
        <w:pStyle w:val="Normal"/>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355" w:hRule="atLeast"/>
        </w:trPr>
        <w:tc>
          <w:tcPr>
            <w:tcW w:w="9000" w:type="dxa"/>
            <w:tcBorders/>
            <w:shd w:color="auto" w:fill="D9D9D9" w:val="clear"/>
            <w:vAlign w:val="center"/>
          </w:tcPr>
          <w:p>
            <w:pPr>
              <w:pStyle w:val="Normal"/>
              <w:jc w:val="center"/>
              <w:rPr/>
            </w:pPr>
            <w:r>
              <w:rPr>
                <w:b/>
                <w:bCs/>
                <w:color w:val="404040"/>
              </w:rPr>
              <w:t xml:space="preserve">Gráfica: Secuencia Desexcitación Automática — CNK </w:t>
            </w:r>
          </w:p>
          <w:p>
            <w:pPr>
              <w:pStyle w:val="Normal"/>
              <w:jc w:val="center"/>
              <w:rPr/>
            </w:pPr>
            <w:r>
              <w:rPr>
                <w:i/>
                <w:iCs/>
                <w:color w:val="808080"/>
                <w:sz w:val="18"/>
                <w:szCs w:val="18"/>
              </w:rPr>
              <w:t>[Espacio reservado para gráfica / captura]</w:t>
            </w:r>
          </w:p>
        </w:tc>
      </w:tr>
    </w:tbl>
    <w:p>
      <w:pPr>
        <w:pStyle w:val="Subtitle"/>
        <w:rPr/>
      </w:pPr>
      <w:r>
        <w:rPr/>
        <w:t>Figura 1.7 Secuencia Desexcitación Automática</w:t>
      </w:r>
    </w:p>
    <w:p>
      <w:pPr>
        <w:pStyle w:val="Heading2"/>
        <w:rPr/>
      </w:pPr>
      <w:bookmarkStart w:id="10" w:name="_Toc229922541"/>
      <w:r>
        <w:rPr/>
        <w:t>4.4.2. Secuencia Desexcitación con Paro de Emergencia</w:t>
      </w:r>
      <w:bookmarkEnd w:id="10"/>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79" wp14:anchorId="351BA633">
                      <wp:simplePos x="0" y="0"/>
                      <wp:positionH relativeFrom="column">
                        <wp:posOffset>74295</wp:posOffset>
                      </wp:positionH>
                      <wp:positionV relativeFrom="paragraph">
                        <wp:posOffset>79375</wp:posOffset>
                      </wp:positionV>
                      <wp:extent cx="708660" cy="635"/>
                      <wp:effectExtent l="0" t="10160" r="0" b="9525"/>
                      <wp:wrapNone/>
                      <wp:docPr id="3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351BA633">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0" wp14:anchorId="73AC167F">
                      <wp:simplePos x="0" y="0"/>
                      <wp:positionH relativeFrom="column">
                        <wp:posOffset>0</wp:posOffset>
                      </wp:positionH>
                      <wp:positionV relativeFrom="paragraph">
                        <wp:posOffset>71120</wp:posOffset>
                      </wp:positionV>
                      <wp:extent cx="708660" cy="0"/>
                      <wp:effectExtent l="635" t="10160" r="635" b="10160"/>
                      <wp:wrapNone/>
                      <wp:docPr id="36"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73AC167F">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1" wp14:anchorId="7ED7F9DB">
                      <wp:simplePos x="0" y="0"/>
                      <wp:positionH relativeFrom="column">
                        <wp:posOffset>0</wp:posOffset>
                      </wp:positionH>
                      <wp:positionV relativeFrom="paragraph">
                        <wp:posOffset>65405</wp:posOffset>
                      </wp:positionV>
                      <wp:extent cx="708660" cy="635"/>
                      <wp:effectExtent l="635" t="9525" r="635" b="9525"/>
                      <wp:wrapNone/>
                      <wp:docPr id="37"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7ED7F9DB">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38" name="Imagen2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20" descr="Badge Tick1 con relleno sólido"/>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39" name="Imagen2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21" descr="Badge Tick1 con relleno sólido"/>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que, ante la activación de un </w:t>
      </w:r>
      <w:r>
        <w:rPr>
          <w:rStyle w:val="s1"/>
          <w:rFonts w:ascii="Helvetica Neue Light" w:hAnsi="Helvetica Neue Light"/>
          <w:b/>
          <w:bCs/>
          <w:sz w:val="22"/>
          <w:szCs w:val="22"/>
        </w:rPr>
        <w:t>paro de emergencia</w:t>
      </w:r>
      <w:r>
        <w:rPr>
          <w:rFonts w:ascii="Helvetica Neue Light" w:hAnsi="Helvetica Neue Light"/>
          <w:sz w:val="22"/>
          <w:szCs w:val="22"/>
        </w:rPr>
        <w:t>, la secuencia de desexcitación del generador se ejecute de forma ordenada y segura hasta alcanzar la condición final definida por el sistema.</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Style w:val="s1"/>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Style w:val="s1"/>
          <w:rFonts w:ascii="Helvetica Neue Light" w:hAnsi="Helvetica Neue Light"/>
          <w:b/>
          <w:bCs/>
          <w:sz w:val="22"/>
          <w:szCs w:val="22"/>
        </w:rPr>
        <w:t>Centrales Eléctricas Síncronas</w:t>
      </w:r>
      <w:r>
        <w:rPr>
          <w:rFonts w:ascii="Helvetica Neue Light" w:hAnsi="Helvetica Neue Light"/>
          <w:sz w:val="22"/>
          <w:szCs w:val="22"/>
        </w:rPr>
        <w:t>, donde se considera la verificación de la secuencia de excitación y desexcitación.</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confirmar la respuesta del sistema de excitación ante una condición de emergencia, verificando la descarga del campo, la reducción del voltaje del generador y la correcta ejecución de las señales asociadas al paro.</w:t>
      </w:r>
    </w:p>
    <w:p>
      <w:pPr>
        <w:pStyle w:val="Normal"/>
        <w:spacing w:before="160" w:after="80"/>
        <w:rPr/>
      </w:pPr>
      <w:r>
        <w:rPr>
          <w:b/>
          <w:bCs/>
          <w:color w:val="312E81"/>
        </w:rPr>
        <w:t>Condiciones y desarrollo de la prueba</w:t>
      </w:r>
    </w:p>
    <w:p>
      <w:pPr>
        <w:pStyle w:val="ListParagraph"/>
        <w:numPr>
          <w:ilvl w:val="0"/>
          <w:numId w:val="9"/>
        </w:numPr>
        <w:jc w:val="both"/>
        <w:rPr/>
      </w:pPr>
      <w:r>
        <w:rPr/>
        <w:t>Verificar que el generador se encuentre operando en condiciones nominales o en la condición definida para la prueba.</w:t>
      </w:r>
    </w:p>
    <w:p>
      <w:pPr>
        <w:pStyle w:val="ListParagraph"/>
        <w:numPr>
          <w:ilvl w:val="0"/>
          <w:numId w:val="9"/>
        </w:numPr>
        <w:jc w:val="both"/>
        <w:rPr/>
      </w:pPr>
      <w:r>
        <w:rPr/>
        <w:t>Confirmar que el sistema de excitación se encuentre habilitado y operando correctamente.</w:t>
      </w:r>
    </w:p>
    <w:p>
      <w:pPr>
        <w:pStyle w:val="ListParagraph"/>
        <w:numPr>
          <w:ilvl w:val="0"/>
          <w:numId w:val="9"/>
        </w:numPr>
        <w:jc w:val="both"/>
        <w:rPr/>
      </w:pPr>
      <w:r>
        <w:rPr/>
        <w:t>Registrar la condición inicial de operación, incluyendo voltaje en terminales del generador y corriente de campo.</w:t>
      </w:r>
    </w:p>
    <w:p>
      <w:pPr>
        <w:pStyle w:val="ListParagraph"/>
        <w:numPr>
          <w:ilvl w:val="0"/>
          <w:numId w:val="9"/>
        </w:numPr>
        <w:jc w:val="both"/>
        <w:rPr/>
      </w:pPr>
      <w:r>
        <w:rPr/>
        <w:t>Activar la señal de paro de emergencia conforme al procedimiento operativo establecido.</w:t>
      </w:r>
    </w:p>
    <w:p>
      <w:pPr>
        <w:pStyle w:val="ListParagraph"/>
        <w:numPr>
          <w:ilvl w:val="0"/>
          <w:numId w:val="9"/>
        </w:numPr>
        <w:jc w:val="both"/>
        <w:rPr/>
      </w:pPr>
      <w:r>
        <w:rPr/>
        <w:t>Registrar la secuencia completa de desexcitación posterior a la activación del paro.</w:t>
      </w:r>
    </w:p>
    <w:p>
      <w:pPr>
        <w:pStyle w:val="ListParagraph"/>
        <w:numPr>
          <w:ilvl w:val="0"/>
          <w:numId w:val="9"/>
        </w:numPr>
        <w:jc w:val="both"/>
        <w:rPr/>
      </w:pPr>
      <w:r>
        <w:rPr/>
        <w:t>Medir el tiempo transcurrido desde la activación del paro de emergencia hasta la condición final de desexcitación.</w:t>
      </w:r>
    </w:p>
    <w:p>
      <w:pPr>
        <w:pStyle w:val="ListParagraph"/>
        <w:numPr>
          <w:ilvl w:val="0"/>
          <w:numId w:val="9"/>
        </w:numPr>
        <w:jc w:val="both"/>
        <w:rPr/>
      </w:pPr>
      <w:r>
        <w:rPr/>
        <w:t>Verificar la reducción del voltaje del generador y de la corriente de campo durante la secuencia.</w:t>
      </w:r>
    </w:p>
    <w:p>
      <w:pPr>
        <w:pStyle w:val="ListParagraph"/>
        <w:numPr>
          <w:ilvl w:val="0"/>
          <w:numId w:val="9"/>
        </w:numPr>
        <w:jc w:val="both"/>
        <w:rPr/>
      </w:pPr>
      <w:r>
        <w:rPr/>
        <w:t>Confirmar la apertura del interruptor principal o la condición final definida por la lógica de protección y control.</w:t>
      </w:r>
    </w:p>
    <w:p>
      <w:pPr>
        <w:pStyle w:val="ListParagraph"/>
        <w:numPr>
          <w:ilvl w:val="0"/>
          <w:numId w:val="9"/>
        </w:numPr>
        <w:jc w:val="both"/>
        <w:rPr/>
      </w:pPr>
      <w:r>
        <w:rPr/>
        <w:t>Verificar que la secuencia se ejecute sin bloqueos, sin operación incompleta y sin condiciones anormales adicionales.</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1"/>
        </w:numPr>
        <w:rPr/>
      </w:pPr>
      <w:r>
        <w:rPr/>
        <w:t>Voltaje de generador (Vg)</w:t>
      </w:r>
    </w:p>
    <w:p>
      <w:pPr>
        <w:pStyle w:val="ListParagraph"/>
        <w:numPr>
          <w:ilvl w:val="0"/>
          <w:numId w:val="1"/>
        </w:numPr>
        <w:rPr/>
      </w:pPr>
      <w:r>
        <w:rPr/>
        <w:t>Corriente de campo (If)</w:t>
      </w:r>
    </w:p>
    <w:p>
      <w:pPr>
        <w:pStyle w:val="ListParagraph"/>
        <w:numPr>
          <w:ilvl w:val="0"/>
          <w:numId w:val="1"/>
        </w:numPr>
        <w:rPr/>
      </w:pPr>
      <w:r>
        <w:rPr/>
        <w:t>Señal de paro de emergencia</w:t>
      </w:r>
    </w:p>
    <w:p>
      <w:pPr>
        <w:pStyle w:val="ListParagraph"/>
        <w:numPr>
          <w:ilvl w:val="0"/>
          <w:numId w:val="2"/>
        </w:numPr>
        <w:spacing w:before="160" w:after="80"/>
        <w:rPr>
          <w:b/>
          <w:bCs/>
          <w:color w:val="312E81"/>
        </w:rPr>
      </w:pPr>
      <w:r>
        <w:rPr/>
        <w:t>Estado del interruptor principal</w:t>
      </w:r>
    </w:p>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requeridas durante la ejecución de la prueba.</w:t>
      </w:r>
    </w:p>
    <w:p>
      <w:pPr>
        <w:pStyle w:val="Normal"/>
        <w:spacing w:before="160" w:after="80"/>
        <w:rPr/>
      </w:pPr>
      <w:r>
        <w:rPr/>
      </w:r>
    </w:p>
    <w:p>
      <w:pPr>
        <w:pStyle w:val="Normal"/>
        <w:spacing w:before="160" w:after="80"/>
        <w:rPr/>
      </w:pPr>
      <w:r>
        <w:rPr/>
      </w:r>
    </w:p>
    <w:p>
      <w:pPr>
        <w:pStyle w:val="Normal"/>
        <w:spacing w:before="160" w:after="80"/>
        <w:rPr/>
      </w:pPr>
      <w:r>
        <w:rPr>
          <w:b/>
          <w:bCs/>
          <w:color w:val="312E81"/>
        </w:rPr>
        <w:t>Criterio de aceptación</w:t>
      </w:r>
    </w:p>
    <w:p>
      <w:pPr>
        <w:pStyle w:val="Normal"/>
        <w:spacing w:before="160" w:after="80"/>
        <w:rPr/>
      </w:pPr>
      <w:r>
        <w:rPr/>
        <w:t>La prueba se considera satisfactoria cuando la secuencia de desexcitación ante paro de emergencia se realiza de manera ordenada, conforme a la lógica de protección y control de la unidad, hasta alcanzar la condición segura definida por el sistema.</w:t>
      </w:r>
    </w:p>
    <w:p>
      <w:pPr>
        <w:pStyle w:val="Normal"/>
        <w:spacing w:before="160" w:after="80"/>
        <w:rPr/>
      </w:pPr>
      <w:r>
        <w:rPr>
          <w:b/>
          <w:bCs/>
          <w:color w:val="312E81"/>
        </w:rPr>
        <w:t>Resultados de la prueba</w:t>
      </w:r>
    </w:p>
    <w:p>
      <w:pPr>
        <w:pStyle w:val="Normal"/>
        <w:spacing w:before="0" w:after="80"/>
        <w:rPr/>
      </w:pPr>
      <w:r>
        <w:rPr/>
        <w:t>La evidencia de esta prueba corresponderá al registro temporal de la activación del paro de emergencia y la respuesta del sistema de excitación hasta completar la desexcitación del generador.</w:t>
      </w:r>
    </w:p>
    <w:p>
      <w:pPr>
        <w:pStyle w:val="Normal"/>
        <w:spacing w:before="0" w:after="80"/>
        <w:rPr/>
      </w:pPr>
      <w:r>
        <w:rPr/>
      </w:r>
    </w:p>
    <w:p>
      <w:pPr>
        <w:pStyle w:val="Normal"/>
        <w:spacing w:before="0" w:after="80"/>
        <w:rPr/>
      </w:pPr>
      <w:r>
        <w:rPr/>
        <w:t>El registro deberá permitir identificar el tiempo de desexcitación, la evolución del voltaje en terminales, la corriente de campo y la condición del interruptor principal o señal final asociada a la secuencia.</w:t>
      </w:r>
    </w:p>
    <w:p>
      <w:pPr>
        <w:pStyle w:val="Normal"/>
        <w:spacing w:before="0" w:after="80"/>
        <w:rPr/>
      </w:pPr>
      <w:r>
        <w:rPr/>
      </w:r>
    </w:p>
    <w:p>
      <w:pPr>
        <w:pStyle w:val="Normal"/>
        <w:spacing w:before="0" w:after="80"/>
        <w:rPr/>
      </w:pPr>
      <w:r>
        <w:rPr/>
        <w:t>La información presentada permitirá confirmar que la desexcitación por paro de emergencia se ejecuta de forma ordenada, sin bloqueos ni interrupciones anormales de la secuencia.</w:t>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5267" w:hRule="atLeast"/>
        </w:trPr>
        <w:tc>
          <w:tcPr>
            <w:tcW w:w="9000" w:type="dxa"/>
            <w:tcBorders/>
            <w:shd w:color="auto" w:fill="D9D9D9" w:val="clear"/>
            <w:vAlign w:val="center"/>
          </w:tcPr>
          <w:p>
            <w:pPr>
              <w:pStyle w:val="Normal"/>
              <w:jc w:val="center"/>
              <w:rPr/>
            </w:pPr>
            <w:r>
              <w:rPr>
                <w:b/>
                <w:bCs/>
                <w:color w:val="404040"/>
              </w:rPr>
              <w:t>Gráfica: Secuencia Desexcitación con Paro de Emergencia — CNK</w:t>
            </w:r>
          </w:p>
          <w:p>
            <w:pPr>
              <w:pStyle w:val="Normal"/>
              <w:jc w:val="center"/>
              <w:rPr/>
            </w:pPr>
            <w:r>
              <w:rPr>
                <w:i/>
                <w:iCs/>
                <w:color w:val="808080"/>
                <w:sz w:val="18"/>
                <w:szCs w:val="18"/>
              </w:rPr>
              <w:t>[Espacio reservado para gráfica / captura]</w:t>
            </w:r>
          </w:p>
        </w:tc>
      </w:tr>
    </w:tbl>
    <w:p>
      <w:pPr>
        <w:pStyle w:val="Subtitle"/>
        <w:rPr/>
      </w:pPr>
      <w:r>
        <w:rPr/>
        <w:t>Figura 1.7 Secuencia Desexcitación con Paro de Emergencia</w:t>
      </w:r>
    </w:p>
    <w:p>
      <w:pPr>
        <w:pStyle w:val="Heading2"/>
        <w:rPr/>
      </w:pPr>
      <w:bookmarkStart w:id="11" w:name="_Toc229922542"/>
      <w:r>
        <w:rPr/>
        <w:t>4.5. Seguidor Auto entre Canales y UCE's</w:t>
      </w:r>
      <w:bookmarkEnd w:id="11"/>
      <w:r>
        <w:rPr/>
        <w:t xml:space="preserve"> </w:t>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6" wp14:anchorId="1C2EF333">
                      <wp:simplePos x="0" y="0"/>
                      <wp:positionH relativeFrom="column">
                        <wp:posOffset>74295</wp:posOffset>
                      </wp:positionH>
                      <wp:positionV relativeFrom="paragraph">
                        <wp:posOffset>79375</wp:posOffset>
                      </wp:positionV>
                      <wp:extent cx="708660" cy="635"/>
                      <wp:effectExtent l="0" t="10160" r="0" b="9525"/>
                      <wp:wrapNone/>
                      <wp:docPr id="40"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1C2EF333">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7" wp14:anchorId="0D09E372">
                      <wp:simplePos x="0" y="0"/>
                      <wp:positionH relativeFrom="column">
                        <wp:posOffset>0</wp:posOffset>
                      </wp:positionH>
                      <wp:positionV relativeFrom="paragraph">
                        <wp:posOffset>71120</wp:posOffset>
                      </wp:positionV>
                      <wp:extent cx="708660" cy="0"/>
                      <wp:effectExtent l="635" t="10160" r="635" b="10160"/>
                      <wp:wrapNone/>
                      <wp:docPr id="41"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0D09E372">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8" wp14:anchorId="46DFC171">
                      <wp:simplePos x="0" y="0"/>
                      <wp:positionH relativeFrom="column">
                        <wp:posOffset>0</wp:posOffset>
                      </wp:positionH>
                      <wp:positionV relativeFrom="paragraph">
                        <wp:posOffset>65405</wp:posOffset>
                      </wp:positionV>
                      <wp:extent cx="708660" cy="635"/>
                      <wp:effectExtent l="635" t="9525" r="635" b="9525"/>
                      <wp:wrapNone/>
                      <wp:docPr id="42"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46DFC171">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43" name="Imagen2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22" descr="Badge Tick1 con relleno sólido"/>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44" name="Imagen2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3" descr="Badge Tick1 con relleno sólido"/>
                          <pic:cNvPicPr>
                            <a:picLocks noChangeAspect="1" noChangeArrowheads="1"/>
                          </pic:cNvPicPr>
                        </pic:nvPicPr>
                        <pic:blipFill>
                          <a:blip r:embed="rId51">
                            <a:extLst>
                              <a:ext uri="{96DAC541-7B7A-43D3-8B79-37D633B846F1}">
                                <asvg:svgBlip xmlns:asvg="http://schemas.microsoft.com/office/drawing/2016/SVG/main" r:embed="rId52"/>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r>
    </w:tbl>
    <w:p>
      <w:pPr>
        <w:pStyle w:val="Normal"/>
        <w:spacing w:before="0" w:after="12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la correcta operación de la función </w:t>
      </w:r>
      <w:r>
        <w:rPr>
          <w:rFonts w:ascii="Helvetica Neue Light" w:hAnsi="Helvetica Neue Light"/>
          <w:b/>
          <w:bCs/>
          <w:sz w:val="22"/>
          <w:szCs w:val="22"/>
        </w:rPr>
        <w:t>Seguidor Automático entre canales del sistema de excitación y entre las Unidades de Control de Excitación</w:t>
      </w:r>
      <w:r>
        <w:rPr>
          <w:rFonts w:ascii="Helvetica Neue Light" w:hAnsi="Helvetica Neue Light"/>
          <w:sz w:val="22"/>
          <w:szCs w:val="22"/>
        </w:rPr>
        <w:t>, con el propósito de confirmar que la transferencia entre canales se realice sin desviaciones significativas en la referencia de control.</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donde se establece la verificación del Seguidor Auto entre canales y UCE’s, considerando como criterio que el error al transferir sea menor al 1%.</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comprobar que los canales de control del sistema de excitación mantengan seguimiento entre sí, permitiendo una transferencia automática o manual sin cambios bruscos en el voltaje del generador ni pérdida de control del AVR.</w:t>
      </w:r>
    </w:p>
    <w:p>
      <w:pPr>
        <w:pStyle w:val="Normal"/>
        <w:spacing w:before="160" w:after="80"/>
        <w:rPr/>
      </w:pPr>
      <w:r>
        <w:rPr>
          <w:b/>
          <w:bCs/>
          <w:color w:val="312E81"/>
        </w:rPr>
        <w:t>Condiciones y desarrollo de la prueba</w:t>
      </w:r>
    </w:p>
    <w:p>
      <w:pPr>
        <w:pStyle w:val="ListParagraph"/>
        <w:numPr>
          <w:ilvl w:val="0"/>
          <w:numId w:val="10"/>
        </w:numPr>
        <w:jc w:val="both"/>
        <w:rPr/>
      </w:pPr>
      <w:r>
        <w:rPr/>
        <w:t>Verificar que la unidad se encuentre en operación estable, con el sistema de excitación habilitado y el AVR en modo automático.</w:t>
      </w:r>
    </w:p>
    <w:p>
      <w:pPr>
        <w:pStyle w:val="ListParagraph"/>
        <w:numPr>
          <w:ilvl w:val="0"/>
          <w:numId w:val="10"/>
        </w:numPr>
        <w:jc w:val="both"/>
        <w:rPr/>
      </w:pPr>
      <w:r>
        <w:rPr/>
        <w:t>Confirmar que los canales de control del sistema de excitación se encuentren disponibles y sin alarmas activas.</w:t>
      </w:r>
    </w:p>
    <w:p>
      <w:pPr>
        <w:pStyle w:val="ListParagraph"/>
        <w:numPr>
          <w:ilvl w:val="0"/>
          <w:numId w:val="10"/>
        </w:numPr>
        <w:jc w:val="both"/>
        <w:rPr/>
      </w:pPr>
      <w:r>
        <w:rPr/>
        <w:t>Registrar la condición inicial de operación, incluyendo voltaje en terminales del generador, corriente de campo y canal activo del AVR.</w:t>
      </w:r>
    </w:p>
    <w:p>
      <w:pPr>
        <w:pStyle w:val="ListParagraph"/>
        <w:numPr>
          <w:ilvl w:val="0"/>
          <w:numId w:val="10"/>
        </w:numPr>
        <w:jc w:val="both"/>
        <w:rPr/>
      </w:pPr>
      <w:r>
        <w:rPr/>
        <w:t>Verificar el seguimiento entre el canal activo y el canal en reserva, observando la diferencia entre sus señales de referencia o salida.</w:t>
      </w:r>
    </w:p>
    <w:p>
      <w:pPr>
        <w:pStyle w:val="ListParagraph"/>
        <w:numPr>
          <w:ilvl w:val="0"/>
          <w:numId w:val="10"/>
        </w:numPr>
        <w:jc w:val="both"/>
        <w:rPr/>
      </w:pPr>
      <w:r>
        <w:rPr/>
        <w:t>Ejecutar la transferencia entre canales conforme al procedimiento operativo del sistema de excitación.</w:t>
      </w:r>
    </w:p>
    <w:p>
      <w:pPr>
        <w:pStyle w:val="ListParagraph"/>
        <w:numPr>
          <w:ilvl w:val="0"/>
          <w:numId w:val="10"/>
        </w:numPr>
        <w:jc w:val="both"/>
        <w:rPr/>
      </w:pPr>
      <w:r>
        <w:rPr/>
        <w:t>Registrar el comportamiento del voltaje del generador, corriente de campo y señal de canal activo durante la transferencia.</w:t>
      </w:r>
    </w:p>
    <w:p>
      <w:pPr>
        <w:pStyle w:val="ListParagraph"/>
        <w:numPr>
          <w:ilvl w:val="0"/>
          <w:numId w:val="10"/>
        </w:numPr>
        <w:jc w:val="both"/>
        <w:rPr/>
      </w:pPr>
      <w:r>
        <w:rPr/>
        <w:t>Verificar que la transferencia se realice sin variaciones bruscas, sin pérdida de control del AVR y sin actuación indebida de protecciones.</w:t>
      </w:r>
    </w:p>
    <w:p>
      <w:pPr>
        <w:pStyle w:val="ListParagraph"/>
        <w:numPr>
          <w:ilvl w:val="0"/>
          <w:numId w:val="10"/>
        </w:numPr>
        <w:jc w:val="both"/>
        <w:rPr/>
      </w:pPr>
      <w:r>
        <w:rPr/>
        <w:t>Determinar el error de transferencia entre canales y confirmar que se mantenga dentro del criterio permitido.</w:t>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before="160" w:after="80"/>
        <w:rPr/>
      </w:pPr>
      <w:r>
        <w:rPr/>
        <w:t>Voltaje de generador (Vg)</w:t>
      </w:r>
    </w:p>
    <w:p>
      <w:pPr>
        <w:pStyle w:val="ListParagraph"/>
        <w:numPr>
          <w:ilvl w:val="0"/>
          <w:numId w:val="2"/>
        </w:numPr>
        <w:spacing w:before="160" w:after="80"/>
        <w:rPr/>
      </w:pPr>
      <w:r>
        <w:rPr/>
        <w:t>Corriente de campo (If)</w:t>
      </w:r>
    </w:p>
    <w:p>
      <w:pPr>
        <w:pStyle w:val="ListParagraph"/>
        <w:numPr>
          <w:ilvl w:val="0"/>
          <w:numId w:val="2"/>
        </w:numPr>
        <w:spacing w:before="160" w:after="80"/>
        <w:rPr/>
      </w:pPr>
      <w:r>
        <w:rPr/>
        <w:t>Señal de canal activo del AVR</w:t>
      </w:r>
    </w:p>
    <w:p>
      <w:pPr>
        <w:pStyle w:val="ListParagraph"/>
        <w:numPr>
          <w:ilvl w:val="0"/>
          <w:numId w:val="2"/>
        </w:numPr>
        <w:spacing w:before="160" w:after="80"/>
        <w:rPr/>
      </w:pPr>
      <w:r>
        <w:rPr/>
        <w:t>Señal de canal en seguimiento / reserva</w:t>
      </w:r>
    </w:p>
    <w:p>
      <w:pPr>
        <w:pStyle w:val="ListParagraph"/>
        <w:numPr>
          <w:ilvl w:val="0"/>
          <w:numId w:val="2"/>
        </w:numPr>
        <w:spacing w:before="160" w:after="80"/>
        <w:rPr/>
      </w:pPr>
      <w:r>
        <w:rPr/>
        <w:t>Referencia o salida de control de cada canal</w:t>
      </w:r>
    </w:p>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requeridas durante la ejecución de la prueba.</w:t>
      </w:r>
    </w:p>
    <w:p>
      <w:pPr>
        <w:pStyle w:val="Normal"/>
        <w:spacing w:before="160" w:after="80"/>
        <w:rPr/>
      </w:pPr>
      <w:r>
        <w:rPr>
          <w:b/>
          <w:bCs/>
          <w:color w:val="312E81"/>
        </w:rPr>
        <w:t>Criterio de aceptación</w:t>
      </w:r>
    </w:p>
    <w:p>
      <w:pPr>
        <w:pStyle w:val="Normal"/>
        <w:spacing w:before="160" w:after="80"/>
        <w:rPr/>
      </w:pPr>
      <w:r>
        <w:rPr/>
        <w:t>La prueba se considera satisfactoria cuando la transferencia entre canales y UCE’s se realiza correctamente, manteniendo un error de transferencia menor al:</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Error</m:t>
          </m:r>
          <m:r>
            <w:rPr>
              <w:rFonts w:ascii="Cambria Math" w:hAnsi="Cambria Math"/>
            </w:rPr>
            <m:t xml:space="preserve">&lt;</m:t>
          </m:r>
          <m:r>
            <w:rPr>
              <w:rFonts w:ascii="Cambria Math" w:hAnsi="Cambria Math"/>
            </w:rPr>
            <m:t xml:space="preserve">1</m:t>
          </m:r>
          <m:r>
            <m:rPr>
              <m:lit/>
              <m:nor/>
            </m:rPr>
            <w:rPr>
              <w:rFonts w:ascii="Cambria Math" w:hAnsi="Cambria Math"/>
            </w:rPr>
            <m:t xml:space="preserve">%</m:t>
          </m:r>
        </m:oMath>
      </m:oMathPara>
    </w:p>
    <w:p>
      <w:pPr>
        <w:pStyle w:val="Normal"/>
        <w:spacing w:before="160" w:after="80"/>
        <w:rPr/>
      </w:pPr>
      <w:r>
        <w:rPr>
          <w:b/>
          <w:bCs/>
          <w:color w:val="312E81"/>
        </w:rPr>
        <w:t>Resultados de la prueba</w:t>
      </w:r>
    </w:p>
    <w:p>
      <w:pPr>
        <w:pStyle w:val="Normal"/>
        <w:spacing w:before="0" w:after="80"/>
        <w:rPr/>
      </w:pPr>
      <w:r>
        <w:rPr/>
        <w:t>La evidencia de esta prueba corresponderá al registro de la condición previa, el instante de transferencia entre canales y la respuesta del sistema de excitación durante el cambio de canal.</w:t>
      </w:r>
    </w:p>
    <w:p>
      <w:pPr>
        <w:pStyle w:val="Normal"/>
        <w:spacing w:before="0" w:after="80"/>
        <w:rPr/>
      </w:pPr>
      <w:r>
        <w:rPr/>
      </w:r>
    </w:p>
    <w:p>
      <w:pPr>
        <w:pStyle w:val="Normal"/>
        <w:spacing w:before="0" w:after="80"/>
        <w:rPr/>
      </w:pPr>
      <w:r>
        <w:rPr/>
        <w:t>El registro permitirá evaluar la diferencia entre las señales de seguimiento y confirmar que la transferencia se realiza con un error menor al 1%, manteniendo estabilidad en el voltaje del generador y continuidad en la operación del sistema de excitación.</w:t>
      </w:r>
    </w:p>
    <w:p>
      <w:pPr>
        <w:pStyle w:val="Normal"/>
        <w:spacing w:before="0" w:after="80"/>
        <w:rPr/>
      </w:pPr>
      <w:r>
        <w:rPr/>
      </w:r>
    </w:p>
    <w:p>
      <w:pPr>
        <w:pStyle w:val="Normal"/>
        <w:spacing w:before="0" w:after="80"/>
        <w:rPr/>
      </w:pPr>
      <w:r>
        <w:rPr/>
      </w:r>
    </w:p>
    <w:p>
      <w:pPr>
        <w:pStyle w:val="Normal"/>
        <w:spacing w:before="0" w:after="80"/>
        <w:rPr/>
      </w:pPr>
      <w:r>
        <w:rPr/>
      </w:r>
    </w:p>
    <w:p>
      <w:pPr>
        <w:pStyle w:val="Heading2"/>
        <w:jc w:val="center"/>
        <w:rPr/>
      </w:pPr>
      <w:bookmarkStart w:id="12" w:name="_Toc229922546"/>
      <w:r>
        <w:rPr/>
        <w:t>Sistema de Control de Tensión, Pruebas con Carga</w:t>
      </w:r>
      <w:bookmarkEnd w:id="12"/>
      <w:r>
        <w:rPr/>
        <w:t xml:space="preserve"> </w:t>
      </w:r>
    </w:p>
    <w:p>
      <w:pPr>
        <w:pStyle w:val="Heading2"/>
        <w:rPr/>
      </w:pPr>
      <w:bookmarkStart w:id="13" w:name="_Toc229922543"/>
      <w:r>
        <w:rPr/>
        <w:t>4.6. PSS — No aplica</w:t>
      </w:r>
      <w:bookmarkEnd w:id="13"/>
    </w:p>
    <w:p>
      <w:pPr>
        <w:pStyle w:val="Normal"/>
        <w:spacing w:before="0" w:after="80"/>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9" wp14:anchorId="00800871">
                      <wp:simplePos x="0" y="0"/>
                      <wp:positionH relativeFrom="column">
                        <wp:posOffset>74295</wp:posOffset>
                      </wp:positionH>
                      <wp:positionV relativeFrom="paragraph">
                        <wp:posOffset>79375</wp:posOffset>
                      </wp:positionV>
                      <wp:extent cx="708660" cy="635"/>
                      <wp:effectExtent l="0" t="10160" r="0" b="9525"/>
                      <wp:wrapNone/>
                      <wp:docPr id="4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00800871">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0" wp14:anchorId="3D900C85">
                      <wp:simplePos x="0" y="0"/>
                      <wp:positionH relativeFrom="column">
                        <wp:posOffset>0</wp:posOffset>
                      </wp:positionH>
                      <wp:positionV relativeFrom="paragraph">
                        <wp:posOffset>71120</wp:posOffset>
                      </wp:positionV>
                      <wp:extent cx="708660" cy="0"/>
                      <wp:effectExtent l="635" t="10160" r="635" b="10160"/>
                      <wp:wrapNone/>
                      <wp:docPr id="46"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3D900C85">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1" wp14:anchorId="738787E5">
                      <wp:simplePos x="0" y="0"/>
                      <wp:positionH relativeFrom="column">
                        <wp:posOffset>0</wp:posOffset>
                      </wp:positionH>
                      <wp:positionV relativeFrom="paragraph">
                        <wp:posOffset>65405</wp:posOffset>
                      </wp:positionV>
                      <wp:extent cx="708660" cy="635"/>
                      <wp:effectExtent l="635" t="9525" r="635" b="9525"/>
                      <wp:wrapNone/>
                      <wp:docPr id="47"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738787E5">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48" name="Imagen2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24" descr="Badge Tick1 con relleno sólido"/>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49" name="Imagen2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25" descr="Badge Tick1 con relleno sólido"/>
                          <pic:cNvPicPr>
                            <a:picLocks noChangeAspect="1" noChangeArrowheads="1"/>
                          </pic:cNvPicPr>
                        </pic:nvPicPr>
                        <pic:blipFill>
                          <a:blip r:embed="rId55">
                            <a:extLst>
                              <a:ext uri="{96DAC541-7B7A-43D3-8B79-37D633B846F1}">
                                <asvg:svgBlip xmlns:asvg="http://schemas.microsoft.com/office/drawing/2016/SVG/main" r:embed="rId56"/>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i/>
          <w:i/>
          <w:iCs/>
        </w:rPr>
      </w:pPr>
      <w:r>
        <w:rPr>
          <w:i/>
          <w:iCs/>
        </w:rPr>
      </w:r>
    </w:p>
    <w:p>
      <w:pPr>
        <w:pStyle w:val="Normal"/>
        <w:spacing w:before="0" w:after="120"/>
        <w:rPr/>
      </w:pPr>
      <w:r>
        <w:rPr>
          <w:i/>
          <w:iCs/>
        </w:rPr>
        <w:t>N/A. La prueba no aplica a este tipo de central.</w:t>
      </w:r>
    </w:p>
    <w:p>
      <w:pPr>
        <w:pStyle w:val="Normal"/>
        <w:spacing w:before="0" w:after="120"/>
        <w:rPr/>
      </w:pPr>
      <w:r>
        <w:rPr/>
      </w:r>
    </w:p>
    <w:p>
      <w:pPr>
        <w:pStyle w:val="Heading2"/>
        <w:rPr/>
      </w:pPr>
      <w:bookmarkStart w:id="14" w:name="_Toc229922544"/>
      <w:r>
        <w:rPr/>
        <w:t>4.7. Limitador de Mínima Excitación (MEL) — No aplica</w:t>
      </w:r>
      <w:bookmarkEnd w:id="14"/>
    </w:p>
    <w:p>
      <w:pPr>
        <w:pStyle w:val="Normal"/>
        <w:spacing w:before="0" w:after="80"/>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2" wp14:anchorId="2F73FCE0">
                      <wp:simplePos x="0" y="0"/>
                      <wp:positionH relativeFrom="column">
                        <wp:posOffset>74295</wp:posOffset>
                      </wp:positionH>
                      <wp:positionV relativeFrom="paragraph">
                        <wp:posOffset>79375</wp:posOffset>
                      </wp:positionV>
                      <wp:extent cx="708660" cy="635"/>
                      <wp:effectExtent l="0" t="10160" r="0" b="9525"/>
                      <wp:wrapNone/>
                      <wp:docPr id="50"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2F73FCE0">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3" wp14:anchorId="45D702D2">
                      <wp:simplePos x="0" y="0"/>
                      <wp:positionH relativeFrom="column">
                        <wp:posOffset>0</wp:posOffset>
                      </wp:positionH>
                      <wp:positionV relativeFrom="paragraph">
                        <wp:posOffset>71120</wp:posOffset>
                      </wp:positionV>
                      <wp:extent cx="708660" cy="0"/>
                      <wp:effectExtent l="635" t="10160" r="635" b="10160"/>
                      <wp:wrapNone/>
                      <wp:docPr id="51"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45D702D2">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4" wp14:anchorId="1D043249">
                      <wp:simplePos x="0" y="0"/>
                      <wp:positionH relativeFrom="column">
                        <wp:posOffset>0</wp:posOffset>
                      </wp:positionH>
                      <wp:positionV relativeFrom="paragraph">
                        <wp:posOffset>65405</wp:posOffset>
                      </wp:positionV>
                      <wp:extent cx="708660" cy="635"/>
                      <wp:effectExtent l="635" t="9525" r="635" b="9525"/>
                      <wp:wrapNone/>
                      <wp:docPr id="52"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1D04324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53" name="Imagen2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26" descr="Badge Tick1 con relleno sólido"/>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54" name="Imagen2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27" descr="Badge Tick1 con relleno sólido"/>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i/>
          <w:i/>
          <w:iCs/>
        </w:rPr>
      </w:pPr>
      <w:r>
        <w:rPr>
          <w:i/>
          <w:iCs/>
        </w:rPr>
      </w:r>
    </w:p>
    <w:p>
      <w:pPr>
        <w:pStyle w:val="Normal"/>
        <w:spacing w:before="0" w:after="120"/>
        <w:rPr/>
      </w:pPr>
      <w:r>
        <w:rPr>
          <w:i/>
          <w:iCs/>
        </w:rPr>
        <w:t>N/A. La prueba no aplica a este tipo de central.</w:t>
      </w:r>
    </w:p>
    <w:p>
      <w:pPr>
        <w:pStyle w:val="Normal"/>
        <w:spacing w:before="0" w:after="120"/>
        <w:rPr/>
      </w:pPr>
      <w:r>
        <w:rPr/>
      </w:r>
    </w:p>
    <w:p>
      <w:pPr>
        <w:pStyle w:val="Heading2"/>
        <w:rPr/>
      </w:pPr>
      <w:bookmarkStart w:id="15" w:name="_Toc229922545"/>
      <w:r>
        <w:rPr/>
        <w:t>4.8. Limitador de Máxima Excitación (OEL) — No aplica</w:t>
      </w:r>
      <w:bookmarkEnd w:id="15"/>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5" wp14:anchorId="2413A57D">
                      <wp:simplePos x="0" y="0"/>
                      <wp:positionH relativeFrom="column">
                        <wp:posOffset>74295</wp:posOffset>
                      </wp:positionH>
                      <wp:positionV relativeFrom="paragraph">
                        <wp:posOffset>79375</wp:posOffset>
                      </wp:positionV>
                      <wp:extent cx="708660" cy="635"/>
                      <wp:effectExtent l="0" t="10160" r="0" b="9525"/>
                      <wp:wrapNone/>
                      <wp:docPr id="5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2413A57D">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6" wp14:anchorId="113F2137">
                      <wp:simplePos x="0" y="0"/>
                      <wp:positionH relativeFrom="column">
                        <wp:posOffset>0</wp:posOffset>
                      </wp:positionH>
                      <wp:positionV relativeFrom="paragraph">
                        <wp:posOffset>71120</wp:posOffset>
                      </wp:positionV>
                      <wp:extent cx="708660" cy="0"/>
                      <wp:effectExtent l="635" t="10160" r="635" b="10160"/>
                      <wp:wrapNone/>
                      <wp:docPr id="56"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113F2137">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7" wp14:anchorId="5317688B">
                      <wp:simplePos x="0" y="0"/>
                      <wp:positionH relativeFrom="column">
                        <wp:posOffset>0</wp:posOffset>
                      </wp:positionH>
                      <wp:positionV relativeFrom="paragraph">
                        <wp:posOffset>65405</wp:posOffset>
                      </wp:positionV>
                      <wp:extent cx="708660" cy="635"/>
                      <wp:effectExtent l="635" t="9525" r="635" b="9525"/>
                      <wp:wrapNone/>
                      <wp:docPr id="57"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5317688B">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58" name="Imagen2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28" descr="Badge Tick1 con relleno sólido"/>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59" name="Imagen2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29" descr="Badge Tick1 con relleno sólido"/>
                          <pic:cNvPicPr>
                            <a:picLocks noChangeAspect="1" noChangeArrowheads="1"/>
                          </pic:cNvPicPr>
                        </pic:nvPicPr>
                        <pic:blipFill>
                          <a:blip r:embed="rId63">
                            <a:extLst>
                              <a:ext uri="{96DAC541-7B7A-43D3-8B79-37D633B846F1}">
                                <asvg:svgBlip xmlns:asvg="http://schemas.microsoft.com/office/drawing/2016/SVG/main" r:embed="rId64"/>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i/>
          <w:i/>
          <w:iCs/>
        </w:rPr>
      </w:pPr>
      <w:r>
        <w:rPr>
          <w:i/>
          <w:iCs/>
        </w:rPr>
      </w:r>
    </w:p>
    <w:p>
      <w:pPr>
        <w:pStyle w:val="Normal"/>
        <w:spacing w:before="0" w:after="120"/>
        <w:rPr/>
      </w:pPr>
      <w:r>
        <w:rPr>
          <w:i/>
          <w:iCs/>
        </w:rPr>
        <w:t>N/A. La prueba no aplica a este tipo de central.</w:t>
      </w:r>
    </w:p>
    <w:p>
      <w:pPr>
        <w:pStyle w:val="Normal"/>
        <w:spacing w:before="0" w:after="120"/>
        <w:rPr/>
      </w:pPr>
      <w:r>
        <w:rPr/>
      </w:r>
    </w:p>
    <w:p>
      <w:pPr>
        <w:pStyle w:val="Heading2"/>
        <w:rPr/>
      </w:pPr>
      <w:bookmarkStart w:id="16" w:name="_Toc229922547"/>
      <w:r>
        <w:rPr/>
        <w:t>4.9. Compensador de Reactivos</w:t>
      </w:r>
      <w:bookmarkEnd w:id="16"/>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2" wp14:anchorId="50414B09">
                      <wp:simplePos x="0" y="0"/>
                      <wp:positionH relativeFrom="column">
                        <wp:posOffset>74295</wp:posOffset>
                      </wp:positionH>
                      <wp:positionV relativeFrom="paragraph">
                        <wp:posOffset>79375</wp:posOffset>
                      </wp:positionV>
                      <wp:extent cx="708660" cy="635"/>
                      <wp:effectExtent l="0" t="10160" r="0" b="9525"/>
                      <wp:wrapNone/>
                      <wp:docPr id="60"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50414B0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3" wp14:anchorId="39A7943D">
                      <wp:simplePos x="0" y="0"/>
                      <wp:positionH relativeFrom="column">
                        <wp:posOffset>0</wp:posOffset>
                      </wp:positionH>
                      <wp:positionV relativeFrom="paragraph">
                        <wp:posOffset>71120</wp:posOffset>
                      </wp:positionV>
                      <wp:extent cx="708660" cy="0"/>
                      <wp:effectExtent l="635" t="10160" r="635" b="10160"/>
                      <wp:wrapNone/>
                      <wp:docPr id="61"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39A7943D">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4" wp14:anchorId="1CF75E4C">
                      <wp:simplePos x="0" y="0"/>
                      <wp:positionH relativeFrom="column">
                        <wp:posOffset>0</wp:posOffset>
                      </wp:positionH>
                      <wp:positionV relativeFrom="paragraph">
                        <wp:posOffset>65405</wp:posOffset>
                      </wp:positionV>
                      <wp:extent cx="708660" cy="635"/>
                      <wp:effectExtent l="635" t="9525" r="635" b="9525"/>
                      <wp:wrapNone/>
                      <wp:docPr id="62"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1CF75E4C">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63" name="Imagen3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30" descr="Badge Tick1 con relleno sólido"/>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64" name="Imagen3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31" descr="Badge Tick1 con relleno sólido"/>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65" name="Imagen3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32" descr="Badge Tick1 con relleno sólido"/>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el funcionamiento del </w:t>
      </w:r>
      <w:r>
        <w:rPr>
          <w:rFonts w:ascii="Helvetica Neue Light" w:hAnsi="Helvetica Neue Light"/>
          <w:b/>
          <w:bCs/>
          <w:sz w:val="22"/>
          <w:szCs w:val="22"/>
        </w:rPr>
        <w:t>compensador de reactivos del AVR/RAT</w:t>
      </w:r>
      <w:r>
        <w:rPr>
          <w:rFonts w:ascii="Helvetica Neue Light" w:hAnsi="Helvetica Neue Light"/>
          <w:sz w:val="22"/>
          <w:szCs w:val="22"/>
        </w:rPr>
        <w:t>, evaluando la respuesta del sistema de control de tensión ante distintos ajustes de compensación.</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Centrales Eléctricas Síncronas, donde se establece la prueba de </w:t>
      </w:r>
      <w:r>
        <w:rPr>
          <w:rFonts w:ascii="Helvetica Neue Light" w:hAnsi="Helvetica Neue Light"/>
          <w:b/>
          <w:bCs/>
          <w:sz w:val="22"/>
          <w:szCs w:val="22"/>
        </w:rPr>
        <w:t>Compensador de MVAr con un rango de evaluación de ±12%</w:t>
      </w:r>
      <w:r>
        <w:rPr>
          <w:rFonts w:ascii="Helvetica Neue Light" w:hAnsi="Helvetica Neue Light"/>
          <w:sz w:val="22"/>
          <w:szCs w:val="22"/>
        </w:rPr>
        <w:t xml:space="preserve">.  </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permite confirmar que el AVR modifica adecuadamente su referencia de control en función del ajuste del compensador de reactivos, manteniendo una respuesta estable del voltaje del generador y de la potencia reactiva.</w:t>
      </w:r>
    </w:p>
    <w:p>
      <w:pPr>
        <w:pStyle w:val="Normal"/>
        <w:spacing w:before="160" w:after="80"/>
        <w:rPr/>
      </w:pPr>
      <w:r>
        <w:rPr>
          <w:b/>
          <w:bCs/>
          <w:color w:val="312E81"/>
        </w:rPr>
        <w:t>Condiciones y desarrollo de la prueba</w:t>
      </w:r>
    </w:p>
    <w:p>
      <w:pPr>
        <w:pStyle w:val="Normal"/>
        <w:rPr/>
      </w:pPr>
      <w:r>
        <w:rPr/>
        <w:t>1. Verificar que la unidad se encuentre en operación estable, con carga y con el AVR en modo automático.</w:t>
      </w:r>
    </w:p>
    <w:p>
      <w:pPr>
        <w:pStyle w:val="Normal"/>
        <w:rPr/>
      </w:pPr>
      <w:r>
        <w:rPr/>
        <w:t>2. Registrar la condición inicial de operación, incluyendo voltaje en terminales del generador, potencia reactiva y ajuste inicial del compensador.</w:t>
      </w:r>
    </w:p>
    <w:p>
      <w:pPr>
        <w:pStyle w:val="Normal"/>
        <w:rPr/>
      </w:pPr>
      <w:r>
        <w:rPr/>
        <w:t>3. Ajustar el compensador de reactivos al valor de 0% y registrar la condición estable.</w:t>
      </w:r>
    </w:p>
    <w:p>
      <w:pPr>
        <w:pStyle w:val="Normal"/>
        <w:rPr/>
      </w:pPr>
      <w:r>
        <w:rPr/>
        <w:t>4. Ajustar el compensador a +4%, +8% y +12%, cuando el diseño del AVR lo permita, registrando la respuesta del sistema en cada punto.</w:t>
      </w:r>
    </w:p>
    <w:p>
      <w:pPr>
        <w:pStyle w:val="Normal"/>
        <w:rPr/>
      </w:pPr>
      <w:r>
        <w:rPr/>
        <w:t>5. Ajustar el compensador a –4%, –8% y –12%, registrando la respuesta del sistema en cada punto.</w:t>
      </w:r>
    </w:p>
    <w:p>
      <w:pPr>
        <w:pStyle w:val="Normal"/>
        <w:rPr/>
      </w:pPr>
      <w:r>
        <w:rPr/>
        <w:t>6. Verificar la variación del voltaje del generador respecto al valor esperado para cada ajuste del compensador.</w:t>
      </w:r>
    </w:p>
    <w:p>
      <w:pPr>
        <w:pStyle w:val="Normal"/>
        <w:rPr/>
      </w:pPr>
      <w:r>
        <w:rPr/>
        <w:t>7. Confirmar que la unidad mantenga una operación estable, sin pérdida de control del AVR, sin oscilaciones anormales y sin actuación indebida de protecciones.</w:t>
      </w:r>
    </w:p>
    <w:p>
      <w:pPr>
        <w:pStyle w:val="Normal"/>
        <w:rPr/>
      </w:pPr>
      <w:r>
        <w:rPr/>
        <w:t>8. En caso de que algún rango de ajuste no sea soportado por diseño del AVR, documentar la condición observada y justificar su exclusión dentro de los resultados.</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11"/>
        </w:numPr>
        <w:spacing w:before="160" w:after="80"/>
        <w:rPr/>
      </w:pPr>
      <w:r>
        <w:rPr/>
        <w:t>Voltaje de generador (Vg)</w:t>
      </w:r>
    </w:p>
    <w:p>
      <w:pPr>
        <w:pStyle w:val="ListParagraph"/>
        <w:numPr>
          <w:ilvl w:val="0"/>
          <w:numId w:val="11"/>
        </w:numPr>
        <w:spacing w:before="160" w:after="80"/>
        <w:rPr/>
      </w:pPr>
      <w:r>
        <w:rPr/>
        <w:t xml:space="preserve">Potencia reactiva </w:t>
        <w:br/>
        <w:t>(Q)</w:t>
      </w:r>
    </w:p>
    <w:p>
      <w:pPr>
        <w:pStyle w:val="ListParagraph"/>
        <w:numPr>
          <w:ilvl w:val="0"/>
          <w:numId w:val="11"/>
        </w:numPr>
        <w:spacing w:before="160" w:after="80"/>
        <w:rPr/>
      </w:pPr>
      <w:r>
        <w:rPr/>
        <w:t>Ajuste del compensador (%)</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el voltaje del generador presenta una variación dentro de la tolerancia permitida para cada ajuste del compensador:</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del</m:t>
          </m:r>
          <m:r>
            <w:rPr>
              <w:rFonts w:ascii="Cambria Math" w:hAnsi="Cambria Math"/>
            </w:rPr>
            <m:t xml:space="preserve">valor</m:t>
          </m:r>
          <m:r>
            <w:rPr>
              <w:rFonts w:ascii="Cambria Math" w:hAnsi="Cambria Math"/>
            </w:rPr>
            <m:t xml:space="preserve">de</m:t>
          </m:r>
          <m:r>
            <w:rPr>
              <w:rFonts w:ascii="Cambria Math" w:hAnsi="Cambria Math"/>
            </w:rPr>
            <m:t xml:space="preserve">ajuste</m:t>
          </m:r>
        </m:oMath>
      </m:oMathPara>
    </w:p>
    <w:p>
      <w:pPr>
        <w:pStyle w:val="Normal"/>
        <w:spacing w:before="160" w:after="80"/>
        <w:rPr/>
      </w:pPr>
      <w:r>
        <w:rPr>
          <w:b/>
          <w:bCs/>
          <w:color w:val="312E81"/>
        </w:rPr>
        <w:t>Resultados de la prueba</w:t>
      </w:r>
    </w:p>
    <w:p>
      <w:pPr>
        <w:pStyle w:val="Normal"/>
        <w:spacing w:before="0" w:after="80"/>
        <w:rPr/>
      </w:pPr>
      <w:r>
        <w:rPr/>
        <w:t>La evidencia de esta prueba corresponderá al registro del voltaje del generador, potencia reactiva y ajuste del compensador en cada punto evaluado.</w:t>
      </w:r>
    </w:p>
    <w:p>
      <w:pPr>
        <w:pStyle w:val="Normal"/>
        <w:spacing w:before="0" w:after="80"/>
        <w:rPr/>
      </w:pPr>
      <w:r>
        <w:rPr/>
      </w:r>
    </w:p>
    <w:p>
      <w:pPr>
        <w:pStyle w:val="Normal"/>
        <w:spacing w:before="0" w:after="80"/>
        <w:rPr/>
      </w:pPr>
      <w:r>
        <w:rPr/>
        <w:t>La información obtenida permitirá verificar que el compensador de reactivos responde conforme a los ajustes aplicados y que la variación del voltaje se mantiene dentro de la tolerancia establecida.</w:t>
      </w:r>
    </w:p>
    <w:p>
      <w:pPr>
        <w:pStyle w:val="Normal"/>
        <w:spacing w:before="0" w:after="80"/>
        <w:rPr/>
      </w:pPr>
      <w:r>
        <w:rPr/>
      </w:r>
    </w:p>
    <w:p>
      <w:pPr>
        <w:pStyle w:val="Normal"/>
        <w:spacing w:before="0" w:after="80"/>
        <w:rPr/>
      </w:pPr>
      <w:r>
        <w:rPr/>
        <w:t>En caso de que el diseño del AVR no permita operar en ajustes positivos del compensador, dicha condición será documentada como parte de la evaluación, indicando el comportamiento observado, tal como inestabilidad o pérdida de control en dichos ajustes.</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781" w:hRule="atLeast"/>
        </w:trPr>
        <w:tc>
          <w:tcPr>
            <w:tcW w:w="9000" w:type="dxa"/>
            <w:tcBorders/>
            <w:shd w:color="auto" w:fill="D9D9D9" w:val="clear"/>
            <w:vAlign w:val="center"/>
          </w:tcPr>
          <w:p>
            <w:pPr>
              <w:pStyle w:val="Normal"/>
              <w:jc w:val="center"/>
              <w:rPr/>
            </w:pPr>
            <w:r>
              <w:rPr>
                <w:b/>
                <w:bCs/>
                <w:color w:val="404040"/>
              </w:rPr>
              <w:t>Gráfica: Compensador de Reactivos — CNK</w:t>
            </w:r>
          </w:p>
          <w:p>
            <w:pPr>
              <w:pStyle w:val="Normal"/>
              <w:jc w:val="center"/>
              <w:rPr/>
            </w:pPr>
            <w:r>
              <w:rPr>
                <w:i/>
                <w:iCs/>
                <w:color w:val="808080"/>
                <w:sz w:val="18"/>
                <w:szCs w:val="18"/>
              </w:rPr>
              <w:t>[Espacio reservado para gráfica / captura]</w:t>
            </w:r>
          </w:p>
        </w:tc>
      </w:tr>
    </w:tbl>
    <w:p>
      <w:pPr>
        <w:pStyle w:val="Subtitle"/>
        <w:rPr/>
      </w:pPr>
      <w:r>
        <w:rPr/>
        <w:t>Figura 1.7 Compensador de Reactivos</w:t>
      </w:r>
    </w:p>
    <w:p>
      <w:pPr>
        <w:pStyle w:val="Heading2"/>
        <w:rPr/>
      </w:pPr>
      <w:bookmarkStart w:id="17" w:name="_Toc229922548"/>
      <w:r>
        <w:rPr/>
        <w:t>Sistema de Control de Velocidad en Vacio</w:t>
      </w:r>
      <w:bookmarkEnd w:id="17"/>
    </w:p>
    <w:p>
      <w:pPr>
        <w:pStyle w:val="Heading2"/>
        <w:rPr/>
      </w:pPr>
      <w:bookmarkStart w:id="18" w:name="_Toc229922549"/>
      <w:r>
        <w:rPr/>
        <w:t>4.10. Apertura y Cierre de Elementos Finales de Control</w:t>
      </w:r>
      <w:bookmarkEnd w:id="18"/>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8" wp14:anchorId="7358311A">
                      <wp:simplePos x="0" y="0"/>
                      <wp:positionH relativeFrom="column">
                        <wp:posOffset>74295</wp:posOffset>
                      </wp:positionH>
                      <wp:positionV relativeFrom="paragraph">
                        <wp:posOffset>79375</wp:posOffset>
                      </wp:positionV>
                      <wp:extent cx="708660" cy="635"/>
                      <wp:effectExtent l="0" t="10160" r="0" b="9525"/>
                      <wp:wrapNone/>
                      <wp:docPr id="66"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358311A">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19" wp14:anchorId="2D5EFFBA">
                      <wp:simplePos x="0" y="0"/>
                      <wp:positionH relativeFrom="column">
                        <wp:posOffset>0</wp:posOffset>
                      </wp:positionH>
                      <wp:positionV relativeFrom="paragraph">
                        <wp:posOffset>71120</wp:posOffset>
                      </wp:positionV>
                      <wp:extent cx="708660" cy="0"/>
                      <wp:effectExtent l="635" t="10160" r="635" b="10160"/>
                      <wp:wrapNone/>
                      <wp:docPr id="67"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2D5EFFBA">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20" wp14:anchorId="07CF52F7">
                      <wp:simplePos x="0" y="0"/>
                      <wp:positionH relativeFrom="column">
                        <wp:posOffset>0</wp:posOffset>
                      </wp:positionH>
                      <wp:positionV relativeFrom="paragraph">
                        <wp:posOffset>65405</wp:posOffset>
                      </wp:positionV>
                      <wp:extent cx="708660" cy="635"/>
                      <wp:effectExtent l="635" t="9525" r="635" b="9525"/>
                      <wp:wrapNone/>
                      <wp:docPr id="68"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07CF52F7">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69" name="Imagen3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33" descr="Badge Tick1 con relleno sólido"/>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70" name="Imagen3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34" descr="Badge Tick1 con relleno sólido"/>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71" name="Imagen3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35" descr="Badge Tick1 con relleno sólido"/>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72" name="Imagen3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36" descr="Badge Tick1 con relleno sólido"/>
                          <pic:cNvPicPr>
                            <a:picLocks noChangeAspect="1" noChangeArrowheads="1"/>
                          </pic:cNvPicPr>
                        </pic:nvPicPr>
                        <pic:blipFill>
                          <a:blip r:embed="rId77">
                            <a:extLst>
                              <a:ext uri="{96DAC541-7B7A-43D3-8B79-37D633B846F1}">
                                <asvg:svgBlip xmlns:asvg="http://schemas.microsoft.com/office/drawing/2016/SVG/main" r:embed="rId78"/>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pPr>
      <w:r>
        <w:rPr/>
      </w:r>
    </w:p>
    <w:p>
      <w:pPr>
        <w:pStyle w:val="Normal"/>
        <w:spacing w:before="160" w:after="80"/>
        <w:rPr/>
      </w:pPr>
      <w:r>
        <w:rPr>
          <w:b/>
          <w:bCs/>
          <w:color w:val="312E81"/>
        </w:rPr>
        <w:t>Objetivo</w:t>
      </w:r>
    </w:p>
    <w:p>
      <w:pPr>
        <w:pStyle w:val="Normal"/>
        <w:spacing w:before="160" w:after="80"/>
        <w:rPr>
          <w:rFonts w:eastAsia="Times New Roman" w:cs="Times New Roman"/>
        </w:rPr>
      </w:pPr>
      <w:r>
        <w:rPr>
          <w:rFonts w:eastAsia="Times New Roman" w:cs="Times New Roman"/>
        </w:rPr>
        <w:t xml:space="preserve">Esta prueba verifica la correcta operación de los </w:t>
      </w:r>
      <w:r>
        <w:rPr>
          <w:rFonts w:eastAsia="Times New Roman" w:cs="Times New Roman"/>
          <w:b/>
          <w:bCs/>
        </w:rPr>
        <w:t>elementos finales de control</w:t>
      </w:r>
      <w:r>
        <w:rPr>
          <w:rFonts w:eastAsia="Times New Roman" w:cs="Times New Roman"/>
        </w:rPr>
        <w:t xml:space="preserve"> asociados al sistema de control de velocidad de la Unidad de Generación, comprobando su capacidad de apertura y cierre conforme a la lógica de mando establecida.</w:t>
      </w:r>
    </w:p>
    <w:p>
      <w:pPr>
        <w:pStyle w:val="Normal"/>
        <w:spacing w:before="160" w:after="80"/>
        <w:rPr>
          <w:rFonts w:eastAsia="Times New Roman" w:cs="Times New Roman"/>
        </w:rPr>
      </w:pPr>
      <w:r>
        <w:rPr>
          <w:rFonts w:eastAsia="Times New Roman" w:cs="Times New Roman"/>
        </w:rPr>
      </w:r>
    </w:p>
    <w:p>
      <w:pPr>
        <w:pStyle w:val="Normal"/>
        <w:spacing w:before="160" w:after="80"/>
        <w:rPr>
          <w:rFonts w:eastAsia="Times New Roman" w:cs="Times New Roman"/>
        </w:rPr>
      </w:pPr>
      <w:r>
        <w:rPr>
          <w:rFonts w:eastAsia="Times New Roman" w:cs="Times New Roman"/>
        </w:rPr>
        <w:t xml:space="preserve">El criterio de evaluación se toma del </w:t>
      </w:r>
      <w:r>
        <w:rPr>
          <w:rFonts w:eastAsia="Times New Roman" w:cs="Times New Roman"/>
          <w:b/>
          <w:bCs/>
        </w:rPr>
        <w:t>Anexo 5 del Procedimiento de Operación para la Declaración de Entrada en Operación Comercial de Centrales Eléctricas y Centros de Carga</w:t>
      </w:r>
      <w:r>
        <w:rPr>
          <w:rFonts w:eastAsia="Times New Roman" w:cs="Times New Roman"/>
        </w:rPr>
        <w:t xml:space="preserve">, en el apartado de pruebas por unidad para </w:t>
      </w:r>
      <w:r>
        <w:rPr>
          <w:rFonts w:eastAsia="Times New Roman" w:cs="Times New Roman"/>
          <w:b/>
          <w:bCs/>
        </w:rPr>
        <w:t>Centrales Eléctricas Síncronas</w:t>
      </w:r>
      <w:r>
        <w:rPr>
          <w:rFonts w:eastAsia="Times New Roman" w:cs="Times New Roman"/>
        </w:rPr>
        <w:t xml:space="preserve">, donde se establece la prueba de Apertura / Cierre de elementos finales de control, cuyo propósito es verificar la carrera de los elementos de actuación y medir sus tiempos de respuesta.  </w:t>
      </w:r>
    </w:p>
    <w:p>
      <w:pPr>
        <w:pStyle w:val="Normal"/>
        <w:spacing w:before="160" w:after="80"/>
        <w:rPr>
          <w:rFonts w:eastAsia="Times New Roman" w:cs="Times New Roman"/>
        </w:rPr>
      </w:pPr>
      <w:r>
        <w:rPr>
          <w:rFonts w:eastAsia="Times New Roman" w:cs="Times New Roman"/>
        </w:rPr>
      </w:r>
    </w:p>
    <w:p>
      <w:pPr>
        <w:pStyle w:val="Normal"/>
        <w:spacing w:before="160" w:after="80"/>
        <w:rPr>
          <w:rFonts w:eastAsia="Times New Roman" w:cs="Times New Roman"/>
        </w:rPr>
      </w:pPr>
      <w:r>
        <w:rPr>
          <w:rFonts w:eastAsia="Times New Roman" w:cs="Times New Roman"/>
        </w:rPr>
        <w:t>La prueba permite confirmar que los actuadores, válvulas, compuertas o mecanismos equivalentes responden correctamente a las órdenes del sistema de control, sin bloqueos, retrasos anormales o pérdida de seguimiento.</w:t>
      </w:r>
    </w:p>
    <w:p>
      <w:pPr>
        <w:pStyle w:val="Normal"/>
        <w:spacing w:before="160" w:after="80"/>
        <w:rPr/>
      </w:pPr>
      <w:r>
        <w:rPr>
          <w:b/>
          <w:bCs/>
          <w:color w:val="312E81"/>
        </w:rPr>
        <w:t>Condiciones y desarrollo de la prueba</w:t>
      </w:r>
    </w:p>
    <w:p>
      <w:pPr>
        <w:pStyle w:val="ListParagraph"/>
        <w:numPr>
          <w:ilvl w:val="0"/>
          <w:numId w:val="18"/>
        </w:numPr>
        <w:jc w:val="both"/>
        <w:rPr/>
      </w:pPr>
      <w:r>
        <w:rPr/>
        <w:t>Verificar que la unidad se encuentre en condición segura para la ejecución de la prueba.</w:t>
      </w:r>
    </w:p>
    <w:p>
      <w:pPr>
        <w:pStyle w:val="ListParagraph"/>
        <w:numPr>
          <w:ilvl w:val="0"/>
          <w:numId w:val="18"/>
        </w:numPr>
        <w:jc w:val="both"/>
        <w:rPr/>
      </w:pPr>
      <w:r>
        <w:rPr/>
        <w:t>Confirmar que el sistema de control de velocidad se encuentre disponible y habilitado para el mando de los elementos finales de control.</w:t>
      </w:r>
    </w:p>
    <w:p>
      <w:pPr>
        <w:pStyle w:val="ListParagraph"/>
        <w:numPr>
          <w:ilvl w:val="0"/>
          <w:numId w:val="18"/>
        </w:numPr>
        <w:jc w:val="both"/>
        <w:rPr/>
      </w:pPr>
      <w:r>
        <w:rPr/>
        <w:t>Registrar la condición inicial de los elementos finales de control, identificando su posición o estado previo.</w:t>
      </w:r>
    </w:p>
    <w:p>
      <w:pPr>
        <w:pStyle w:val="ListParagraph"/>
        <w:numPr>
          <w:ilvl w:val="0"/>
          <w:numId w:val="18"/>
        </w:numPr>
        <w:jc w:val="both"/>
        <w:rPr/>
      </w:pPr>
      <w:r>
        <w:rPr/>
        <w:t>Emitir la orden de apertura conforme al procedimiento operativo definido.</w:t>
      </w:r>
    </w:p>
    <w:p>
      <w:pPr>
        <w:pStyle w:val="ListParagraph"/>
        <w:numPr>
          <w:ilvl w:val="0"/>
          <w:numId w:val="18"/>
        </w:numPr>
        <w:jc w:val="both"/>
        <w:rPr/>
      </w:pPr>
      <w:r>
        <w:rPr/>
        <w:t>Registrar la posición alcanzada y el tiempo de respuesta correspondiente.</w:t>
      </w:r>
    </w:p>
    <w:p>
      <w:pPr>
        <w:pStyle w:val="ListParagraph"/>
        <w:numPr>
          <w:ilvl w:val="0"/>
          <w:numId w:val="18"/>
        </w:numPr>
        <w:jc w:val="both"/>
        <w:rPr/>
      </w:pPr>
      <w:r>
        <w:rPr/>
        <w:t>Emitir la orden de cierre conforme al procedimiento operativo definido.</w:t>
      </w:r>
    </w:p>
    <w:p>
      <w:pPr>
        <w:pStyle w:val="ListParagraph"/>
        <w:numPr>
          <w:ilvl w:val="0"/>
          <w:numId w:val="18"/>
        </w:numPr>
        <w:jc w:val="both"/>
        <w:rPr/>
      </w:pPr>
      <w:r>
        <w:rPr/>
        <w:t>Registrar la posición final y el tiempo de respuesta correspondiente.</w:t>
      </w:r>
    </w:p>
    <w:p>
      <w:pPr>
        <w:pStyle w:val="ListParagraph"/>
        <w:numPr>
          <w:ilvl w:val="0"/>
          <w:numId w:val="18"/>
        </w:numPr>
        <w:jc w:val="both"/>
        <w:rPr/>
      </w:pPr>
      <w:r>
        <w:rPr/>
        <w:t>Verificar que la carrera de apertura y cierre se complete de forma correcta, sin bloqueos, señales erráticas o desviaciones anormales.</w:t>
      </w:r>
    </w:p>
    <w:p>
      <w:pPr>
        <w:pStyle w:val="ListParagraph"/>
        <w:numPr>
          <w:ilvl w:val="0"/>
          <w:numId w:val="18"/>
        </w:numPr>
        <w:jc w:val="both"/>
        <w:rPr/>
      </w:pPr>
      <w:r>
        <w:rPr/>
        <w:t>Confirmar que las señales de retroalimentación de posición correspondan con las órdenes emitidas por el sistema de control.</w:t>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before="160" w:after="80"/>
        <w:rPr/>
      </w:pPr>
      <w:r>
        <w:rPr/>
        <w:t>Orden de apertura / cierre</w:t>
      </w:r>
    </w:p>
    <w:p>
      <w:pPr>
        <w:pStyle w:val="ListParagraph"/>
        <w:numPr>
          <w:ilvl w:val="0"/>
          <w:numId w:val="2"/>
        </w:numPr>
        <w:spacing w:before="160" w:after="80"/>
        <w:rPr/>
      </w:pPr>
      <w:r>
        <w:rPr/>
        <w:t>Posición del elemento final de control</w:t>
      </w:r>
    </w:p>
    <w:p>
      <w:pPr>
        <w:pStyle w:val="ListParagraph"/>
        <w:numPr>
          <w:ilvl w:val="0"/>
          <w:numId w:val="2"/>
        </w:numPr>
        <w:spacing w:before="160" w:after="80"/>
        <w:rPr/>
      </w:pPr>
      <w:r>
        <w:rPr/>
        <w:t>Señal de retroalimentación de posición</w:t>
      </w:r>
    </w:p>
    <w:p>
      <w:pPr>
        <w:pStyle w:val="ListParagraph"/>
        <w:numPr>
          <w:ilvl w:val="0"/>
          <w:numId w:val="2"/>
        </w:numPr>
        <w:spacing w:before="160" w:after="80"/>
        <w:rPr/>
      </w:pPr>
      <w:r>
        <w:rPr/>
        <w:t>Tiempo de apertura</w:t>
      </w:r>
    </w:p>
    <w:p>
      <w:pPr>
        <w:pStyle w:val="ListParagraph"/>
        <w:numPr>
          <w:ilvl w:val="0"/>
          <w:numId w:val="2"/>
        </w:numPr>
        <w:spacing w:before="160" w:after="80"/>
        <w:rPr/>
      </w:pPr>
      <w:r>
        <w:rPr/>
        <w:t>Tiempo de cierre</w:t>
      </w:r>
    </w:p>
    <w:p>
      <w:pPr>
        <w:pStyle w:val="ListParagraph"/>
        <w:numPr>
          <w:ilvl w:val="0"/>
          <w:numId w:val="2"/>
        </w:numPr>
        <w:spacing w:before="160" w:after="80"/>
        <w:rPr/>
      </w:pPr>
      <w:r>
        <w:rPr/>
        <w:t>Velocidad del rotor, si aplica</w:t>
      </w:r>
    </w:p>
    <w:p>
      <w:pPr>
        <w:pStyle w:val="ListParagraph"/>
        <w:numPr>
          <w:ilvl w:val="0"/>
          <w:numId w:val="2"/>
        </w:numPr>
        <w:spacing w:before="160" w:after="80"/>
        <w:rPr/>
      </w:pPr>
      <w:r>
        <w:rPr/>
        <w:t>Frecuencia, si aplica</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los elementos finales de control ejecutan correctamente las órdenes de apertura y cierre, completan su carrera conforme a la lógica operativa del sistema y presentan señales de retroalimentación consistentes con la posición alcanzada.</w:t>
      </w:r>
    </w:p>
    <w:p>
      <w:pPr>
        <w:pStyle w:val="Normal"/>
        <w:spacing w:before="160" w:after="80"/>
        <w:rPr/>
      </w:pPr>
      <w:r>
        <w:rPr/>
        <w:t>Asimismo, los tiempos de apertura y cierre deberán quedar registrados para su validación contra los valores esperados o configurados en el sistema de control.</w:t>
      </w:r>
    </w:p>
    <w:p>
      <w:pPr>
        <w:pStyle w:val="Normal"/>
        <w:spacing w:before="160" w:after="80"/>
        <w:rPr/>
      </w:pPr>
      <w:r>
        <w:rPr/>
      </w:r>
    </w:p>
    <w:p>
      <w:pPr>
        <w:pStyle w:val="Normal"/>
        <w:spacing w:before="160" w:after="80"/>
        <w:rPr/>
      </w:pPr>
      <w:r>
        <w:rPr>
          <w:b/>
          <w:bCs/>
          <w:color w:val="312E81"/>
        </w:rPr>
        <w:t>Resultados de la prueba</w:t>
      </w:r>
    </w:p>
    <w:p>
      <w:pPr>
        <w:pStyle w:val="Normal"/>
        <w:spacing w:before="0" w:after="80"/>
        <w:rPr/>
      </w:pPr>
      <w:r>
        <w:rPr/>
      </w:r>
    </w:p>
    <w:p>
      <w:pPr>
        <w:pStyle w:val="Normal"/>
        <w:spacing w:before="0" w:after="80"/>
        <w:rPr/>
      </w:pPr>
      <w:r>
        <w:rPr/>
        <w:t>La evidencia de esta prueba corresponderá al registro de las órdenes de apertura y cierre, la posición de los elementos finales de control y los tiempos de respuesta asociados a cada maniobra.</w:t>
      </w:r>
    </w:p>
    <w:p>
      <w:pPr>
        <w:pStyle w:val="Normal"/>
        <w:spacing w:before="0" w:after="80"/>
        <w:rPr/>
      </w:pPr>
      <w:r>
        <w:rPr/>
      </w:r>
    </w:p>
    <w:p>
      <w:pPr>
        <w:pStyle w:val="Normal"/>
        <w:spacing w:before="0" w:after="80"/>
        <w:rPr/>
      </w:pPr>
      <w:r>
        <w:rPr/>
        <w:t>La información presentada permitirá verificar la correcta actuación de los elementos finales de control, la correspondencia entre orden y posición, así como la ausencia de bloqueos, retrasos anormales o señales inconsistentes durante la prueba.</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4567" w:hRule="atLeast"/>
        </w:trPr>
        <w:tc>
          <w:tcPr>
            <w:tcW w:w="9000" w:type="dxa"/>
            <w:tcBorders/>
            <w:shd w:color="auto" w:fill="D9D9D9" w:val="clear"/>
            <w:vAlign w:val="center"/>
          </w:tcPr>
          <w:p>
            <w:pPr>
              <w:pStyle w:val="Normal"/>
              <w:jc w:val="center"/>
              <w:rPr/>
            </w:pPr>
            <w:r>
              <w:rPr>
                <w:b/>
                <w:bCs/>
                <w:color w:val="404040"/>
              </w:rPr>
              <w:t>Gráfica: Apertura y Cierre de Elementos Finales de Control — CNK</w:t>
            </w:r>
          </w:p>
          <w:p>
            <w:pPr>
              <w:pStyle w:val="Normal"/>
              <w:jc w:val="center"/>
              <w:rPr/>
            </w:pPr>
            <w:r>
              <w:rPr>
                <w:i/>
                <w:iCs/>
                <w:color w:val="808080"/>
                <w:sz w:val="18"/>
                <w:szCs w:val="18"/>
              </w:rPr>
              <w:t>[Espacio reservado para gráfica / captura]</w:t>
            </w:r>
          </w:p>
        </w:tc>
      </w:tr>
    </w:tbl>
    <w:p>
      <w:pPr>
        <w:pStyle w:val="Subtitle"/>
        <w:rPr/>
      </w:pPr>
      <w:r>
        <w:rPr/>
        <w:t>Figura 1.8 Apertura y Cierre de Elementos Finales de Control</w:t>
      </w:r>
    </w:p>
    <w:p>
      <w:pPr>
        <w:pStyle w:val="Heading2"/>
        <w:rPr/>
      </w:pPr>
      <w:bookmarkStart w:id="19" w:name="_Toc229922550"/>
      <w:r>
        <w:rPr/>
        <w:t>4.11. Secuencia de Arranque</w:t>
      </w:r>
      <w:bookmarkEnd w:id="19"/>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5" wp14:anchorId="4EAF5D90">
                      <wp:simplePos x="0" y="0"/>
                      <wp:positionH relativeFrom="column">
                        <wp:posOffset>74295</wp:posOffset>
                      </wp:positionH>
                      <wp:positionV relativeFrom="paragraph">
                        <wp:posOffset>79375</wp:posOffset>
                      </wp:positionV>
                      <wp:extent cx="708660" cy="635"/>
                      <wp:effectExtent l="0" t="10160" r="0" b="9525"/>
                      <wp:wrapNone/>
                      <wp:docPr id="73"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4EAF5D90">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6" wp14:anchorId="355B83AD">
                      <wp:simplePos x="0" y="0"/>
                      <wp:positionH relativeFrom="column">
                        <wp:posOffset>0</wp:posOffset>
                      </wp:positionH>
                      <wp:positionV relativeFrom="paragraph">
                        <wp:posOffset>71120</wp:posOffset>
                      </wp:positionV>
                      <wp:extent cx="708660" cy="0"/>
                      <wp:effectExtent l="635" t="10160" r="635" b="10160"/>
                      <wp:wrapNone/>
                      <wp:docPr id="74"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355B83AD">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7" wp14:anchorId="6B51992F">
                      <wp:simplePos x="0" y="0"/>
                      <wp:positionH relativeFrom="column">
                        <wp:posOffset>0</wp:posOffset>
                      </wp:positionH>
                      <wp:positionV relativeFrom="paragraph">
                        <wp:posOffset>65405</wp:posOffset>
                      </wp:positionV>
                      <wp:extent cx="708660" cy="635"/>
                      <wp:effectExtent l="635" t="9525" r="635" b="9525"/>
                      <wp:wrapNone/>
                      <wp:docPr id="7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6B51992F">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76" name="Imagen3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37" descr="Badge Tick1 con relleno sólido"/>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77" name="Imagen3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38" descr="Badge Tick1 con relleno sólido"/>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78" name="Imagen3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39" descr="Badge Tick1 con relleno sólido"/>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79" name="Imagen4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40" descr="Badge Tick1 con relleno sólido"/>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Normal"/>
        <w:spacing w:before="160" w:after="80"/>
        <w:rPr>
          <w:rFonts w:eastAsia="Times New Roman" w:cs="Times New Roman"/>
        </w:rPr>
      </w:pPr>
      <w:r>
        <w:rPr>
          <w:rFonts w:eastAsia="Times New Roman" w:cs="Times New Roman"/>
        </w:rPr>
        <w:t xml:space="preserve">Esta prueba verifica que la </w:t>
      </w:r>
      <w:r>
        <w:rPr>
          <w:rFonts w:eastAsia="Times New Roman" w:cs="Times New Roman"/>
          <w:b/>
          <w:bCs/>
        </w:rPr>
        <w:t>secuencia de arranque de la Unidad de Generación</w:t>
      </w:r>
      <w:r>
        <w:rPr>
          <w:rFonts w:eastAsia="Times New Roman" w:cs="Times New Roman"/>
        </w:rPr>
        <w:t xml:space="preserve"> se ejecute de manera correcta, ordenada y conforme a la lógica operativa del sistema de control, desde la condición inicial de unidad parada hasta alcanzar la condición requerida para sincronización.</w:t>
      </w:r>
    </w:p>
    <w:p>
      <w:pPr>
        <w:pStyle w:val="Normal"/>
        <w:spacing w:before="160" w:after="80"/>
        <w:rPr>
          <w:rFonts w:eastAsia="Times New Roman" w:cs="Times New Roman"/>
        </w:rPr>
      </w:pPr>
      <w:r>
        <w:rPr>
          <w:rFonts w:eastAsia="Times New Roman" w:cs="Times New Roman"/>
        </w:rPr>
        <w:t xml:space="preserve">El criterio de evaluación se toma del </w:t>
      </w:r>
      <w:r>
        <w:rPr>
          <w:rFonts w:eastAsia="Times New Roman" w:cs="Times New Roman"/>
          <w:b/>
          <w:bCs/>
        </w:rPr>
        <w:t>Anexo 5 del Procedimiento de Operación para la Declaración de Entrada en Operación Comercial de Centrales Eléctricas y Centros de Carga</w:t>
      </w:r>
      <w:r>
        <w:rPr>
          <w:rFonts w:eastAsia="Times New Roman" w:cs="Times New Roman"/>
        </w:rPr>
        <w:t>, en el apartado de pruebas por unidad para Centrales Eléctricas Síncronas, donde se establece la verificación de la Secuencia de Arranque.</w:t>
      </w:r>
    </w:p>
    <w:p>
      <w:pPr>
        <w:pStyle w:val="Normal"/>
        <w:spacing w:before="160" w:after="80"/>
        <w:rPr>
          <w:rFonts w:eastAsia="Times New Roman" w:cs="Times New Roman"/>
        </w:rPr>
      </w:pPr>
      <w:r>
        <w:rPr>
          <w:rFonts w:eastAsia="Times New Roman" w:cs="Times New Roman"/>
        </w:rPr>
        <w:t>La prueba se enfoca en comprobar la correcta ejecución de los permisos, etapas, señales y tiempos asociados al arranque de la unidad, sin bloqueos, alarmas anormales o interrupciones no esperadas.</w:t>
      </w:r>
    </w:p>
    <w:p>
      <w:pPr>
        <w:pStyle w:val="Normal"/>
        <w:spacing w:before="160" w:after="80"/>
        <w:rPr/>
      </w:pPr>
      <w:r>
        <w:rPr>
          <w:b/>
          <w:bCs/>
          <w:color w:val="312E81"/>
        </w:rPr>
        <w:t>Condiciones y desarrollo de la prueba</w:t>
      </w:r>
    </w:p>
    <w:p>
      <w:pPr>
        <w:pStyle w:val="ListParagraph"/>
        <w:numPr>
          <w:ilvl w:val="0"/>
          <w:numId w:val="12"/>
        </w:numPr>
        <w:jc w:val="both"/>
        <w:rPr/>
      </w:pPr>
      <w:r>
        <w:rPr/>
        <w:t>Verificar que la unidad se encuentre parada y disponible para inicio de arranque.</w:t>
      </w:r>
    </w:p>
    <w:p>
      <w:pPr>
        <w:pStyle w:val="ListParagraph"/>
        <w:numPr>
          <w:ilvl w:val="0"/>
          <w:numId w:val="12"/>
        </w:numPr>
        <w:jc w:val="both"/>
        <w:rPr/>
      </w:pPr>
      <w:r>
        <w:rPr/>
        <w:t>Confirmar que los permisos de arranque se encuentren habilitados conforme a la lógica de control de la unidad.</w:t>
      </w:r>
    </w:p>
    <w:p>
      <w:pPr>
        <w:pStyle w:val="ListParagraph"/>
        <w:numPr>
          <w:ilvl w:val="0"/>
          <w:numId w:val="12"/>
        </w:numPr>
        <w:jc w:val="both"/>
        <w:rPr/>
      </w:pPr>
      <w:r>
        <w:rPr/>
        <w:t>Registrar la condición inicial de la unidad antes de iniciar la secuencia.</w:t>
      </w:r>
    </w:p>
    <w:p>
      <w:pPr>
        <w:pStyle w:val="ListParagraph"/>
        <w:numPr>
          <w:ilvl w:val="0"/>
          <w:numId w:val="12"/>
        </w:numPr>
        <w:jc w:val="both"/>
        <w:rPr/>
      </w:pPr>
      <w:r>
        <w:rPr/>
        <w:t>Iniciar la secuencia de arranque desde el panel de control correspondiente.</w:t>
      </w:r>
    </w:p>
    <w:p>
      <w:pPr>
        <w:pStyle w:val="ListParagraph"/>
        <w:numPr>
          <w:ilvl w:val="0"/>
          <w:numId w:val="12"/>
        </w:numPr>
        <w:jc w:val="both"/>
        <w:rPr/>
      </w:pPr>
      <w:r>
        <w:rPr/>
        <w:t>Registrar cada etapa de la secuencia de arranque, incluyendo señales de control, cambios de estado y tiempos asociados.</w:t>
      </w:r>
    </w:p>
    <w:p>
      <w:pPr>
        <w:pStyle w:val="ListParagraph"/>
        <w:numPr>
          <w:ilvl w:val="0"/>
          <w:numId w:val="12"/>
        </w:numPr>
        <w:jc w:val="both"/>
        <w:rPr/>
      </w:pPr>
      <w:r>
        <w:rPr/>
        <w:t>Verificar el incremento progresivo de la velocidad del rotor hasta alcanzar la condición requerida de operación.</w:t>
      </w:r>
    </w:p>
    <w:p>
      <w:pPr>
        <w:pStyle w:val="ListParagraph"/>
        <w:numPr>
          <w:ilvl w:val="0"/>
          <w:numId w:val="12"/>
        </w:numPr>
        <w:jc w:val="both"/>
        <w:rPr/>
      </w:pPr>
      <w:r>
        <w:rPr/>
        <w:t>Registrar la evolución del voltaje del generador durante la secuencia, cuando aplique.</w:t>
      </w:r>
    </w:p>
    <w:p>
      <w:pPr>
        <w:pStyle w:val="ListParagraph"/>
        <w:numPr>
          <w:ilvl w:val="0"/>
          <w:numId w:val="12"/>
        </w:numPr>
        <w:jc w:val="both"/>
        <w:rPr/>
      </w:pPr>
      <w:r>
        <w:rPr/>
        <w:t>Confirmar que la unidad alcance la condición de sincronización o la condición final definida para la prueba.</w:t>
      </w:r>
    </w:p>
    <w:p>
      <w:pPr>
        <w:pStyle w:val="ListParagraph"/>
        <w:numPr>
          <w:ilvl w:val="0"/>
          <w:numId w:val="12"/>
        </w:numPr>
        <w:jc w:val="both"/>
        <w:rPr/>
      </w:pPr>
      <w:r>
        <w:rPr/>
        <w:t>Verificar que la secuencia se ejecute de forma ordenada, sin bloqueos, alarmas anormales o actuación indebida de protecciones.</w:t>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before="160" w:after="80"/>
        <w:rPr/>
      </w:pPr>
      <w:r>
        <w:rPr/>
        <w:t>Velocidad del rotor (n)</w:t>
      </w:r>
    </w:p>
    <w:p>
      <w:pPr>
        <w:pStyle w:val="ListParagraph"/>
        <w:numPr>
          <w:ilvl w:val="0"/>
          <w:numId w:val="2"/>
        </w:numPr>
        <w:spacing w:before="160" w:after="80"/>
        <w:rPr/>
      </w:pPr>
      <w:r>
        <w:rPr/>
        <w:t>Voltaje de generador (Vg)</w:t>
      </w:r>
    </w:p>
    <w:p>
      <w:pPr>
        <w:pStyle w:val="ListParagraph"/>
        <w:numPr>
          <w:ilvl w:val="0"/>
          <w:numId w:val="2"/>
        </w:numPr>
        <w:spacing w:before="160" w:after="80"/>
        <w:rPr/>
      </w:pPr>
      <w:r>
        <w:rPr/>
        <w:t>Señales de secuencia del controlador</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secuencia de arranque se ejecuta de manera correcta y ordenada, conforme a la lógica de control de la unidad, hasta alcanzar la condición de sincronización o la condición operativa definida para la prueba.</w:t>
      </w:r>
    </w:p>
    <w:p>
      <w:pPr>
        <w:pStyle w:val="Normal"/>
        <w:spacing w:before="160" w:after="80"/>
        <w:rPr/>
      </w:pPr>
      <w:r>
        <w:rPr>
          <w:b/>
          <w:bCs/>
          <w:color w:val="312E81"/>
        </w:rPr>
        <w:t>Resultados de la prueba</w:t>
      </w:r>
    </w:p>
    <w:p>
      <w:pPr>
        <w:pStyle w:val="Normal"/>
        <w:spacing w:before="0" w:after="80"/>
        <w:rPr/>
      </w:pPr>
      <w:r>
        <w:rPr/>
      </w:r>
    </w:p>
    <w:p>
      <w:pPr>
        <w:pStyle w:val="Normal"/>
        <w:spacing w:before="0" w:after="80"/>
        <w:rPr/>
      </w:pPr>
      <w:r>
        <w:rPr/>
        <w:t>La evidencia de esta prueba corresponderá al registro de las etapas de arranque, señales de control y tiempos asociados, desde la orden inicial de arranque hasta la condición final definida.</w:t>
      </w:r>
    </w:p>
    <w:p>
      <w:pPr>
        <w:pStyle w:val="Normal"/>
        <w:spacing w:before="0" w:after="80"/>
        <w:rPr/>
      </w:pPr>
      <w:r>
        <w:rPr/>
      </w:r>
    </w:p>
    <w:p>
      <w:pPr>
        <w:pStyle w:val="Normal"/>
        <w:spacing w:before="0" w:after="80"/>
        <w:rPr/>
      </w:pPr>
      <w:r>
        <w:rPr/>
        <w:t>La información presentada permitirá verificar la continuidad de la secuencia, la correcta transición entre etapas y la ausencia de bloqueos, alarmas anormales o interrupciones no esperadas durante el arranque.</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1440" w:hRule="atLeast"/>
        </w:trPr>
        <w:tc>
          <w:tcPr>
            <w:tcW w:w="9000" w:type="dxa"/>
            <w:tcBorders/>
            <w:shd w:color="auto" w:fill="D9D9D9" w:val="clear"/>
            <w:vAlign w:val="center"/>
          </w:tcPr>
          <w:p>
            <w:pPr>
              <w:pStyle w:val="Normal"/>
              <w:jc w:val="center"/>
              <w:rPr/>
            </w:pPr>
            <w:r>
              <w:rPr>
                <w:b/>
                <w:bCs/>
                <w:color w:val="404040"/>
              </w:rPr>
              <w:t>Gráfica: Secuencia de Arranque — CNK</w:t>
            </w:r>
          </w:p>
          <w:p>
            <w:pPr>
              <w:pStyle w:val="Normal"/>
              <w:jc w:val="center"/>
              <w:rPr/>
            </w:pPr>
            <w:r>
              <w:rPr>
                <w:i/>
                <w:iCs/>
                <w:color w:val="808080"/>
                <w:sz w:val="18"/>
                <w:szCs w:val="18"/>
              </w:rPr>
              <w:t>[Espacio reservado para gráfica / captura]</w:t>
            </w:r>
          </w:p>
        </w:tc>
      </w:tr>
    </w:tbl>
    <w:p>
      <w:pPr>
        <w:pStyle w:val="Subtitle"/>
        <w:rPr/>
      </w:pPr>
      <w:r>
        <w:rPr/>
        <w:t>Figura 1.9 Secuencia de Arranque</w:t>
      </w:r>
    </w:p>
    <w:p>
      <w:pPr>
        <w:pStyle w:val="Heading2"/>
        <w:rPr/>
      </w:pPr>
      <w:r>
        <w:rPr/>
        <w:t>4.12. Variador de Velocidad</w:t>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8" wp14:anchorId="09E6D909">
                      <wp:simplePos x="0" y="0"/>
                      <wp:positionH relativeFrom="column">
                        <wp:posOffset>74295</wp:posOffset>
                      </wp:positionH>
                      <wp:positionV relativeFrom="paragraph">
                        <wp:posOffset>79375</wp:posOffset>
                      </wp:positionV>
                      <wp:extent cx="708660" cy="635"/>
                      <wp:effectExtent l="0" t="10160" r="0" b="9525"/>
                      <wp:wrapNone/>
                      <wp:docPr id="80"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09E6D90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89" wp14:anchorId="22CE738D">
                      <wp:simplePos x="0" y="0"/>
                      <wp:positionH relativeFrom="column">
                        <wp:posOffset>0</wp:posOffset>
                      </wp:positionH>
                      <wp:positionV relativeFrom="paragraph">
                        <wp:posOffset>71120</wp:posOffset>
                      </wp:positionV>
                      <wp:extent cx="708660" cy="0"/>
                      <wp:effectExtent l="635" t="10160" r="635" b="10160"/>
                      <wp:wrapNone/>
                      <wp:docPr id="81"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22CE738D">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0" wp14:anchorId="07BAF5C6">
                      <wp:simplePos x="0" y="0"/>
                      <wp:positionH relativeFrom="column">
                        <wp:posOffset>0</wp:posOffset>
                      </wp:positionH>
                      <wp:positionV relativeFrom="paragraph">
                        <wp:posOffset>65405</wp:posOffset>
                      </wp:positionV>
                      <wp:extent cx="708660" cy="635"/>
                      <wp:effectExtent l="635" t="9525" r="635" b="9525"/>
                      <wp:wrapNone/>
                      <wp:docPr id="82"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07BAF5C6">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83" name="Imagen4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41" descr="Badge Tick1 con relleno sólido"/>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84" name="Imagen4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42" descr="Badge Tick1 con relleno sólido"/>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85" name="Imagen4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43" descr="Badge Tick1 con relleno sólido"/>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86" name="Imagen4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44" descr="Badge Tick1 con relleno sólido"/>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que el </w:t>
      </w:r>
      <w:r>
        <w:rPr>
          <w:rFonts w:ascii="Helvetica Neue Light" w:hAnsi="Helvetica Neue Light"/>
          <w:b/>
          <w:bCs/>
          <w:sz w:val="22"/>
          <w:szCs w:val="22"/>
        </w:rPr>
        <w:t xml:space="preserve">sistema de control de velocidad </w:t>
      </w:r>
      <w:r>
        <w:rPr>
          <w:rFonts w:ascii="Helvetica Neue Light" w:hAnsi="Helvetica Neue Light"/>
          <w:sz w:val="22"/>
          <w:szCs w:val="22"/>
        </w:rPr>
        <w:t xml:space="preserve">de la Unidad de Generación permita modificar y controlar la frecuencia dentro del </w:t>
      </w:r>
      <w:r>
        <w:rPr>
          <w:rFonts w:ascii="Helvetica Neue Light" w:hAnsi="Helvetica Neue Light"/>
          <w:b/>
          <w:bCs/>
          <w:sz w:val="22"/>
          <w:szCs w:val="22"/>
        </w:rPr>
        <w:t>rango operativo requerido de 57 Hz a 63 Hz</w:t>
      </w:r>
      <w:r>
        <w:rPr>
          <w:rFonts w:ascii="Helvetica Neue Light" w:hAnsi="Helvetica Neue Light"/>
          <w:sz w:val="22"/>
          <w:szCs w:val="22"/>
        </w:rPr>
        <w:t>.</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prueba de Variador de Velocidad 65F con un </w:t>
      </w:r>
      <w:r>
        <w:rPr>
          <w:rFonts w:ascii="Helvetica Neue Light" w:hAnsi="Helvetica Neue Light"/>
          <w:b/>
          <w:bCs/>
          <w:sz w:val="22"/>
          <w:szCs w:val="22"/>
        </w:rPr>
        <w:t>rango de control de 57 Hz a 63 Hz</w:t>
      </w:r>
      <w:r>
        <w:rPr>
          <w:rFonts w:ascii="Helvetica Neue Light" w:hAnsi="Helvetica Neue Light"/>
          <w:sz w:val="22"/>
          <w:szCs w:val="22"/>
        </w:rPr>
        <w:t>.</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comprobar que el control de velocidad responda adecuadamente a los cambios de consigna, permitiendo alcanzar los valores de frecuencia definidos sin pérdida de control ni comportamiento inestable.</w:t>
      </w:r>
    </w:p>
    <w:p>
      <w:pPr>
        <w:pStyle w:val="Normal"/>
        <w:spacing w:before="160" w:after="80"/>
        <w:rPr/>
      </w:pPr>
      <w:r>
        <w:rPr>
          <w:b/>
          <w:bCs/>
          <w:color w:val="312E81"/>
        </w:rPr>
        <w:t>Condiciones y desarrollo de la prueba</w:t>
      </w:r>
    </w:p>
    <w:p>
      <w:pPr>
        <w:pStyle w:val="ListParagraph"/>
        <w:numPr>
          <w:ilvl w:val="0"/>
          <w:numId w:val="13"/>
        </w:numPr>
        <w:jc w:val="both"/>
        <w:rPr/>
      </w:pPr>
      <w:r>
        <w:rPr/>
        <w:t>Verificar que la unidad se encuentre en operación estable, en modo isla o bajo la condición operativa definida para la prueba.</w:t>
      </w:r>
    </w:p>
    <w:p>
      <w:pPr>
        <w:pStyle w:val="ListParagraph"/>
        <w:numPr>
          <w:ilvl w:val="0"/>
          <w:numId w:val="13"/>
        </w:numPr>
        <w:jc w:val="both"/>
        <w:rPr/>
      </w:pPr>
      <w:r>
        <w:rPr/>
        <w:t>Confirmar que el sistema de control de velocidad se encuentre habilitado y disponible.</w:t>
      </w:r>
    </w:p>
    <w:p>
      <w:pPr>
        <w:pStyle w:val="ListParagraph"/>
        <w:numPr>
          <w:ilvl w:val="0"/>
          <w:numId w:val="13"/>
        </w:numPr>
        <w:jc w:val="both"/>
        <w:rPr/>
      </w:pPr>
      <w:r>
        <w:rPr/>
        <w:t>Registrar la condición inicial de operación con frecuencia cercana a 60 Hz.</w:t>
      </w:r>
    </w:p>
    <w:p>
      <w:pPr>
        <w:pStyle w:val="ListParagraph"/>
        <w:numPr>
          <w:ilvl w:val="0"/>
          <w:numId w:val="13"/>
        </w:numPr>
        <w:jc w:val="both"/>
        <w:rPr/>
      </w:pPr>
      <w:r>
        <w:rPr/>
        <w:t>Ajustar la consigna de velocidad hacia el límite inferior del rango, correspondiente a 57 Hz.</w:t>
      </w:r>
    </w:p>
    <w:p>
      <w:pPr>
        <w:pStyle w:val="ListParagraph"/>
        <w:numPr>
          <w:ilvl w:val="0"/>
          <w:numId w:val="13"/>
        </w:numPr>
        <w:jc w:val="both"/>
        <w:rPr/>
      </w:pPr>
      <w:r>
        <w:rPr/>
        <w:t>Registrar la respuesta del controlador de velocidad hasta alcanzar una condición estable.</w:t>
      </w:r>
    </w:p>
    <w:p>
      <w:pPr>
        <w:pStyle w:val="ListParagraph"/>
        <w:numPr>
          <w:ilvl w:val="0"/>
          <w:numId w:val="13"/>
        </w:numPr>
        <w:jc w:val="both"/>
        <w:rPr/>
      </w:pPr>
      <w:r>
        <w:rPr/>
        <w:t>Restablecer la consigna hacia la condición nominal de 60 Hz, cuando aplique.</w:t>
      </w:r>
    </w:p>
    <w:p>
      <w:pPr>
        <w:pStyle w:val="ListParagraph"/>
        <w:numPr>
          <w:ilvl w:val="0"/>
          <w:numId w:val="13"/>
        </w:numPr>
        <w:jc w:val="both"/>
        <w:rPr/>
      </w:pPr>
      <w:r>
        <w:rPr/>
        <w:t>Ajustar la consigna de velocidad hacia el límite superior del rango, correspondiente a 63 Hz.</w:t>
      </w:r>
    </w:p>
    <w:p>
      <w:pPr>
        <w:pStyle w:val="ListParagraph"/>
        <w:numPr>
          <w:ilvl w:val="0"/>
          <w:numId w:val="13"/>
        </w:numPr>
        <w:jc w:val="both"/>
        <w:rPr/>
      </w:pPr>
      <w:r>
        <w:rPr/>
        <w:t>Registrar nuevamente la respuesta del controlador hasta alcanzar una condición estable.</w:t>
      </w:r>
    </w:p>
    <w:p>
      <w:pPr>
        <w:pStyle w:val="ListParagraph"/>
        <w:numPr>
          <w:ilvl w:val="0"/>
          <w:numId w:val="13"/>
        </w:numPr>
        <w:jc w:val="both"/>
        <w:rPr/>
      </w:pPr>
      <w:r>
        <w:rPr/>
        <w:t>Confirmar que el sistema de control de velocidad permita alcanzar el rango evaluado sin pérdida de control, oscilaciones anormales o actuación indebida de protecciones.</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before="160" w:after="80"/>
        <w:rPr/>
      </w:pPr>
      <w:r>
        <w:rPr/>
        <w:t>Frecuencia (f)</w:t>
      </w:r>
    </w:p>
    <w:p>
      <w:pPr>
        <w:pStyle w:val="ListParagraph"/>
        <w:numPr>
          <w:ilvl w:val="0"/>
          <w:numId w:val="2"/>
        </w:numPr>
        <w:spacing w:before="160" w:after="80"/>
        <w:rPr/>
      </w:pPr>
      <w:r>
        <w:rPr/>
        <w:t xml:space="preserve">Potencia activa </w:t>
        <w:br/>
        <w:t>(P)</w:t>
      </w:r>
    </w:p>
    <w:p>
      <w:pPr>
        <w:pStyle w:val="ListParagraph"/>
        <w:numPr>
          <w:ilvl w:val="0"/>
          <w:numId w:val="2"/>
        </w:numPr>
        <w:spacing w:before="160" w:after="80"/>
        <w:rPr/>
      </w:pPr>
      <w:r>
        <w:rPr/>
        <w:t>Consigna de velocidad</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unidad demuestra capacidad de control de frecuencia dentro del siguiente rango:</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57</m:t>
          </m:r>
          <m:r>
            <w:rPr>
              <w:rFonts w:ascii="Cambria Math" w:hAnsi="Cambria Math"/>
            </w:rPr>
            <m:t xml:space="preserve">Hz</m:t>
          </m:r>
          <m:r>
            <w:rPr>
              <w:rFonts w:ascii="Cambria Math" w:hAnsi="Cambria Math"/>
            </w:rPr>
            <m:t xml:space="preserve">≤</m:t>
          </m:r>
          <m:sSub>
            <m:e>
              <m:r>
                <w:rPr>
                  <w:rFonts w:ascii="Cambria Math" w:hAnsi="Cambria Math"/>
                </w:rPr>
                <m:t xml:space="preserve">V</m:t>
              </m:r>
            </m:e>
            <m:sub>
              <m:r>
                <w:rPr>
                  <w:rFonts w:ascii="Cambria Math" w:hAnsi="Cambria Math"/>
                </w:rPr>
                <m:t xml:space="preserve">g</m:t>
              </m:r>
            </m:sub>
          </m:sSub>
          <m:r>
            <w:rPr>
              <w:rFonts w:ascii="Cambria Math" w:hAnsi="Cambria Math"/>
            </w:rPr>
            <m:t xml:space="preserve">≤</m:t>
          </m:r>
          <m:r>
            <w:rPr>
              <w:rFonts w:ascii="Cambria Math" w:hAnsi="Cambria Math"/>
            </w:rPr>
            <m:t xml:space="preserve">63</m:t>
          </m:r>
          <m:r>
            <w:rPr>
              <w:rFonts w:ascii="Cambria Math" w:hAnsi="Cambria Math"/>
            </w:rPr>
            <m:t xml:space="preserve">Hz</m:t>
          </m:r>
        </m:oMath>
      </m:oMathPara>
    </w:p>
    <w:p>
      <w:pPr>
        <w:pStyle w:val="Normal"/>
        <w:spacing w:before="160" w:after="80"/>
        <w:rPr/>
      </w:pPr>
      <w:r>
        <w:rPr/>
        <w:t>sin pérdida de estabilidad del sistema de control de velocidad.</w:t>
      </w:r>
    </w:p>
    <w:p>
      <w:pPr>
        <w:pStyle w:val="Normal"/>
        <w:spacing w:before="160" w:after="80"/>
        <w:rPr/>
      </w:pPr>
      <w:r>
        <w:rPr>
          <w:b/>
          <w:bCs/>
          <w:color w:val="312E81"/>
        </w:rPr>
        <w:t>Resultados de la prueba</w:t>
      </w:r>
    </w:p>
    <w:p>
      <w:pPr>
        <w:pStyle w:val="Normal"/>
        <w:spacing w:before="160" w:after="80"/>
        <w:rPr/>
      </w:pPr>
      <w:r>
        <w:rPr/>
        <w:t>La evidencia de esta prueba corresponderá al registro de la frecuencia, potencia activa y consigna de velocidad durante el recorrido del rango evaluado.</w:t>
      </w:r>
    </w:p>
    <w:p>
      <w:pPr>
        <w:pStyle w:val="Normal"/>
        <w:spacing w:before="160" w:after="80"/>
        <w:rPr/>
      </w:pPr>
      <w:r>
        <w:rPr/>
      </w:r>
    </w:p>
    <w:p>
      <w:pPr>
        <w:pStyle w:val="Normal"/>
        <w:spacing w:before="160" w:after="80"/>
        <w:rPr/>
      </w:pPr>
      <w:r>
        <w:rPr/>
        <w:t>La información presentada permitirá verificar que el sistema de control de velocidad alcanza los valores definidos entre 57 Hz y 63 Hz, manteniendo una respuesta estable y continua del controlador.</w:t>
      </w:r>
      <w:r>
        <w:rPr>
          <w:b/>
          <w:bCs/>
          <w:color w:val="312E81"/>
        </w:rPr>
        <w:t xml:space="preserve"> </w:t>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1706" w:hRule="atLeast"/>
        </w:trPr>
        <w:tc>
          <w:tcPr>
            <w:tcW w:w="9000" w:type="dxa"/>
            <w:tcBorders/>
            <w:shd w:color="auto" w:fill="D9D9D9" w:val="clear"/>
            <w:vAlign w:val="center"/>
          </w:tcPr>
          <w:p>
            <w:pPr>
              <w:pStyle w:val="Normal"/>
              <w:jc w:val="center"/>
              <w:rPr/>
            </w:pPr>
            <w:r>
              <w:rPr>
                <w:b/>
                <w:bCs/>
                <w:color w:val="404040"/>
              </w:rPr>
              <w:t>Gráfica: Variador de Velocidad — CNK</w:t>
            </w:r>
          </w:p>
          <w:p>
            <w:pPr>
              <w:pStyle w:val="Normal"/>
              <w:jc w:val="center"/>
              <w:rPr/>
            </w:pPr>
            <w:r>
              <w:rPr>
                <w:i/>
                <w:iCs/>
                <w:color w:val="808080"/>
                <w:sz w:val="18"/>
                <w:szCs w:val="18"/>
              </w:rPr>
              <w:t>[Espacio reservado para gráfica / captura]</w:t>
            </w:r>
          </w:p>
        </w:tc>
      </w:tr>
    </w:tbl>
    <w:p>
      <w:pPr>
        <w:pStyle w:val="Subtitle"/>
        <w:rPr/>
      </w:pPr>
      <w:r>
        <w:rPr/>
        <w:t>Figura 1.9 Variador de Velocidad</w:t>
      </w:r>
    </w:p>
    <w:p>
      <w:pPr>
        <w:pStyle w:val="Heading2"/>
        <w:rPr/>
      </w:pPr>
      <w:bookmarkStart w:id="20" w:name="_Toc229922553"/>
      <w:r>
        <w:rPr/>
        <w:t>4.13. Escalones de Velocidad</w:t>
      </w:r>
      <w:bookmarkEnd w:id="20"/>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1" wp14:anchorId="4D22A7B7">
                      <wp:simplePos x="0" y="0"/>
                      <wp:positionH relativeFrom="column">
                        <wp:posOffset>74295</wp:posOffset>
                      </wp:positionH>
                      <wp:positionV relativeFrom="paragraph">
                        <wp:posOffset>79375</wp:posOffset>
                      </wp:positionV>
                      <wp:extent cx="708660" cy="635"/>
                      <wp:effectExtent l="0" t="10160" r="0" b="9525"/>
                      <wp:wrapNone/>
                      <wp:docPr id="87"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4D22A7B7">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2" wp14:anchorId="32E099FA">
                      <wp:simplePos x="0" y="0"/>
                      <wp:positionH relativeFrom="column">
                        <wp:posOffset>0</wp:posOffset>
                      </wp:positionH>
                      <wp:positionV relativeFrom="paragraph">
                        <wp:posOffset>71120</wp:posOffset>
                      </wp:positionV>
                      <wp:extent cx="708660" cy="0"/>
                      <wp:effectExtent l="635" t="10160" r="635" b="10160"/>
                      <wp:wrapNone/>
                      <wp:docPr id="88"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32E099FA">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3" wp14:anchorId="5E5B18E9">
                      <wp:simplePos x="0" y="0"/>
                      <wp:positionH relativeFrom="column">
                        <wp:posOffset>0</wp:posOffset>
                      </wp:positionH>
                      <wp:positionV relativeFrom="paragraph">
                        <wp:posOffset>65405</wp:posOffset>
                      </wp:positionV>
                      <wp:extent cx="708660" cy="635"/>
                      <wp:effectExtent l="635" t="9525" r="635" b="9525"/>
                      <wp:wrapNone/>
                      <wp:docPr id="89"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5E5B18E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90" name="Imagen4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45" descr="Badge Tick1 con relleno sólido"/>
                          <pic:cNvPicPr>
                            <a:picLocks noChangeAspect="1" noChangeArrowheads="1"/>
                          </pic:cNvPicPr>
                        </pic:nvPicPr>
                        <pic:blipFill>
                          <a:blip r:embed="rId95">
                            <a:extLst>
                              <a:ext uri="{96DAC541-7B7A-43D3-8B79-37D633B846F1}">
                                <asvg:svgBlip xmlns:asvg="http://schemas.microsoft.com/office/drawing/2016/SVG/main" r:embed="rId96"/>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91" name="Imagen4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46" descr="Badge Tick1 con relleno sólido"/>
                          <pic:cNvPicPr>
                            <a:picLocks noChangeAspect="1" noChangeArrowheads="1"/>
                          </pic:cNvPicPr>
                        </pic:nvPicPr>
                        <pic:blipFill>
                          <a:blip r:embed="rId97">
                            <a:extLst>
                              <a:ext uri="{96DAC541-7B7A-43D3-8B79-37D633B846F1}">
                                <asvg:svgBlip xmlns:asvg="http://schemas.microsoft.com/office/drawing/2016/SVG/main" r:embed="rId98"/>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la respuesta dinámica del </w:t>
      </w:r>
      <w:r>
        <w:rPr>
          <w:rFonts w:ascii="Helvetica Neue Light" w:hAnsi="Helvetica Neue Light"/>
          <w:b/>
          <w:bCs/>
          <w:sz w:val="22"/>
          <w:szCs w:val="22"/>
        </w:rPr>
        <w:t>sistema de control de velocidad</w:t>
      </w:r>
      <w:r>
        <w:rPr>
          <w:rFonts w:ascii="Helvetica Neue Light" w:hAnsi="Helvetica Neue Light"/>
          <w:sz w:val="22"/>
          <w:szCs w:val="22"/>
        </w:rPr>
        <w:t xml:space="preserve"> de la Unidad de Generación ante cambios escalonados en la consigna de velocidad/frecuencia.</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prueba de Escalones de Velocidad, considerando como parámetros de </w:t>
      </w:r>
      <w:r>
        <w:rPr>
          <w:rFonts w:ascii="Helvetica Neue Light" w:hAnsi="Helvetica Neue Light"/>
          <w:b/>
          <w:bCs/>
          <w:sz w:val="22"/>
          <w:szCs w:val="22"/>
        </w:rPr>
        <w:t>evaluación el sobrepaso y el tiempo de estabilización</w:t>
      </w:r>
      <w:r>
        <w:rPr>
          <w:rFonts w:ascii="Helvetica Neue Light" w:hAnsi="Helvetica Neue Light"/>
          <w:sz w:val="22"/>
          <w:szCs w:val="22"/>
        </w:rPr>
        <w:t>.</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comprobar que el controlador de velocidad responda de forma estable ante cambios súbitos de consigna, sin oscilaciones anormales, pérdida de control o actuación indebida de protecciones..</w:t>
      </w:r>
    </w:p>
    <w:p>
      <w:pPr>
        <w:pStyle w:val="Normal"/>
        <w:spacing w:before="160" w:after="80"/>
        <w:rPr/>
      </w:pPr>
      <w:r>
        <w:rPr>
          <w:b/>
          <w:bCs/>
          <w:color w:val="312E81"/>
        </w:rPr>
        <w:t>Condiciones y desarrollo de la prueba</w:t>
      </w:r>
    </w:p>
    <w:p>
      <w:pPr>
        <w:pStyle w:val="ListParagraph"/>
        <w:numPr>
          <w:ilvl w:val="0"/>
          <w:numId w:val="19"/>
        </w:numPr>
        <w:jc w:val="both"/>
        <w:rPr/>
      </w:pPr>
      <w:r>
        <w:rPr/>
        <w:t>Verificar que la unidad se encuentre en operación estable, en vacío o bajo la condición operativa definida para la prueba.</w:t>
      </w:r>
    </w:p>
    <w:p>
      <w:pPr>
        <w:pStyle w:val="ListParagraph"/>
        <w:numPr>
          <w:ilvl w:val="0"/>
          <w:numId w:val="19"/>
        </w:numPr>
        <w:jc w:val="both"/>
        <w:rPr/>
      </w:pPr>
      <w:r>
        <w:rPr/>
        <w:t>Confirmar que el sistema de control de velocidad se encuentre habilitado y disponible.</w:t>
      </w:r>
    </w:p>
    <w:p>
      <w:pPr>
        <w:pStyle w:val="ListParagraph"/>
        <w:numPr>
          <w:ilvl w:val="0"/>
          <w:numId w:val="19"/>
        </w:numPr>
        <w:jc w:val="both"/>
        <w:rPr/>
      </w:pPr>
      <w:r>
        <w:rPr/>
        <w:t>Registrar la condición inicial de operación, incluyendo velocidad/frecuencia, potencia activa cuando aplique y consigna de velocidad.</w:t>
      </w:r>
    </w:p>
    <w:p>
      <w:pPr>
        <w:pStyle w:val="ListParagraph"/>
        <w:numPr>
          <w:ilvl w:val="0"/>
          <w:numId w:val="19"/>
        </w:numPr>
        <w:jc w:val="both"/>
        <w:rPr/>
      </w:pPr>
      <w:r>
        <w:rPr/>
        <w:t>Aplicar un escalón positivo en la consigna de velocidad/frecuencia conforme al valor definido para la prueba.</w:t>
      </w:r>
    </w:p>
    <w:p>
      <w:pPr>
        <w:pStyle w:val="ListParagraph"/>
        <w:numPr>
          <w:ilvl w:val="0"/>
          <w:numId w:val="19"/>
        </w:numPr>
        <w:jc w:val="both"/>
        <w:rPr/>
      </w:pPr>
      <w:r>
        <w:rPr/>
        <w:t>Registrar la respuesta del controlador hasta alcanzar una condición estable.</w:t>
      </w:r>
    </w:p>
    <w:p>
      <w:pPr>
        <w:pStyle w:val="ListParagraph"/>
        <w:numPr>
          <w:ilvl w:val="0"/>
          <w:numId w:val="19"/>
        </w:numPr>
        <w:jc w:val="both"/>
        <w:rPr/>
      </w:pPr>
      <w:r>
        <w:rPr/>
        <w:t>Restablecer la consigna a la condición inicial o nominal, cuando aplique.</w:t>
      </w:r>
    </w:p>
    <w:p>
      <w:pPr>
        <w:pStyle w:val="ListParagraph"/>
        <w:numPr>
          <w:ilvl w:val="0"/>
          <w:numId w:val="19"/>
        </w:numPr>
        <w:jc w:val="both"/>
        <w:rPr/>
      </w:pPr>
      <w:r>
        <w:rPr/>
        <w:t>Aplicar un escalón negativo en la consigna de velocidad/frecuencia conforme al valor definido para la prueba.</w:t>
      </w:r>
    </w:p>
    <w:p>
      <w:pPr>
        <w:pStyle w:val="ListParagraph"/>
        <w:numPr>
          <w:ilvl w:val="0"/>
          <w:numId w:val="19"/>
        </w:numPr>
        <w:jc w:val="both"/>
        <w:rPr/>
      </w:pPr>
      <w:r>
        <w:rPr/>
        <w:t>Registrar nuevamente la respuesta del controlador hasta alcanzar una condición estable.</w:t>
      </w:r>
    </w:p>
    <w:p>
      <w:pPr>
        <w:pStyle w:val="ListParagraph"/>
        <w:numPr>
          <w:ilvl w:val="0"/>
          <w:numId w:val="19"/>
        </w:numPr>
        <w:jc w:val="both"/>
        <w:rPr/>
      </w:pPr>
      <w:r>
        <w:rPr/>
        <w:t>Determinar los parámetros de desempeño de la respuesta, principalmente sobrepaso (SP) y tiempo de estabilización (Ts).</w:t>
      </w:r>
    </w:p>
    <w:p>
      <w:pPr>
        <w:pStyle w:val="ListParagraph"/>
        <w:numPr>
          <w:ilvl w:val="0"/>
          <w:numId w:val="19"/>
        </w:numPr>
        <w:jc w:val="both"/>
        <w:rPr/>
      </w:pPr>
      <w:r>
        <w:rPr/>
        <w:t>Verificar que la respuesta del sistema de control de velocidad sea estable, sin oscilaciones anormales, pérdida de control o actuación indebida de protecciones.</w:t>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Normal"/>
        <w:numPr>
          <w:ilvl w:val="0"/>
          <w:numId w:val="2"/>
        </w:numPr>
        <w:spacing w:lineRule="auto" w:line="240" w:beforeAutospacing="1" w:after="0"/>
        <w:jc w:val="left"/>
        <w:rPr>
          <w:rFonts w:eastAsia="Times New Roman" w:cs="Times New Roman"/>
          <w:sz w:val="20"/>
          <w:szCs w:val="20"/>
        </w:rPr>
      </w:pPr>
      <w:r>
        <w:rPr>
          <w:rFonts w:eastAsia="Times New Roman" w:cs="Times New Roman"/>
          <w:sz w:val="20"/>
          <w:szCs w:val="20"/>
        </w:rPr>
        <w:t>Velocidad del rotor]</w:t>
        <w:br/>
      </w:r>
    </w:p>
    <w:p>
      <w:pPr>
        <w:pStyle w:val="Normal"/>
        <w:numPr>
          <w:ilvl w:val="0"/>
          <w:numId w:val="2"/>
        </w:numPr>
        <w:spacing w:lineRule="auto" w:line="240" w:before="0" w:after="0"/>
        <w:jc w:val="left"/>
        <w:rPr>
          <w:rFonts w:eastAsia="Times New Roman" w:cs="Times New Roman"/>
          <w:sz w:val="20"/>
          <w:szCs w:val="20"/>
        </w:rPr>
      </w:pPr>
      <w:r>
        <w:rPr>
          <w:rFonts w:eastAsia="Times New Roman" w:cs="Times New Roman"/>
          <w:sz w:val="20"/>
          <w:szCs w:val="20"/>
        </w:rPr>
        <w:t>Frecuencia (f)</w:t>
      </w:r>
    </w:p>
    <w:p>
      <w:pPr>
        <w:pStyle w:val="Normal"/>
        <w:numPr>
          <w:ilvl w:val="0"/>
          <w:numId w:val="2"/>
        </w:numPr>
        <w:spacing w:lineRule="auto" w:line="240" w:before="0" w:after="0"/>
        <w:jc w:val="left"/>
        <w:rPr>
          <w:rFonts w:eastAsia="Times New Roman" w:cs="Times New Roman"/>
          <w:sz w:val="20"/>
          <w:szCs w:val="20"/>
        </w:rPr>
      </w:pPr>
      <w:r>
        <w:rPr>
          <w:rFonts w:eastAsia="Times New Roman" w:cs="Times New Roman"/>
          <w:sz w:val="20"/>
          <w:szCs w:val="20"/>
        </w:rPr>
        <w:t>Potencia activa (P), cuando aplique</w:t>
      </w:r>
    </w:p>
    <w:p>
      <w:pPr>
        <w:pStyle w:val="Normal"/>
        <w:numPr>
          <w:ilvl w:val="0"/>
          <w:numId w:val="2"/>
        </w:numPr>
        <w:spacing w:lineRule="auto" w:line="240" w:before="0" w:afterAutospacing="1"/>
        <w:jc w:val="left"/>
        <w:rPr>
          <w:rFonts w:eastAsia="Times New Roman" w:cs="Times New Roman"/>
          <w:sz w:val="20"/>
          <w:szCs w:val="20"/>
        </w:rPr>
      </w:pPr>
      <w:r>
        <w:rPr>
          <w:rFonts w:eastAsia="Times New Roman" w:cs="Times New Roman"/>
          <w:sz w:val="20"/>
          <w:szCs w:val="20"/>
        </w:rPr>
        <w:t>Consigna de velocidad/frecuencia</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respuesta dinámica del sistema de control de velocidad cumple con los siguientes parámetros:</w:t>
      </w:r>
    </w:p>
    <w:p>
      <w:pPr>
        <w:pStyle w:val="Normal"/>
        <w:spacing w:before="160" w:after="80"/>
        <w:jc w:val="center"/>
        <w:rPr/>
      </w:pPr>
      <w:r>
        <w:rPr/>
      </w:r>
      <m:oMath xmlns:m="http://schemas.openxmlformats.org/officeDocument/2006/math">
        <m:r>
          <w:rPr>
            <w:rFonts w:ascii="Cambria Math" w:hAnsi="Cambria Math"/>
          </w:rPr>
          <m:t xml:space="preserve">SP</m:t>
        </m:r>
        <m:r>
          <w:rPr>
            <w:rFonts w:ascii="Cambria Math" w:hAnsi="Cambria Math"/>
          </w:rPr>
          <m:t xml:space="preserve">&lt;</m:t>
        </m:r>
        <m:r>
          <w:rPr>
            <w:rFonts w:ascii="Cambria Math" w:hAnsi="Cambria Math"/>
          </w:rPr>
          <m:t xml:space="preserve">30</m:t>
        </m:r>
        <m:r>
          <m:rPr>
            <m:lit/>
            <m:nor/>
          </m:rPr>
          <w:rPr>
            <w:rFonts w:ascii="Cambria Math" w:hAnsi="Cambria Math"/>
          </w:rPr>
          <m:t xml:space="preserve">%</m:t>
        </m:r>
      </m:oMath>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&lt;</m:t>
        </m:r>
        <m:r>
          <w:rPr>
            <w:rFonts w:ascii="Cambria Math" w:hAnsi="Cambria Math"/>
          </w:rPr>
          <m:t xml:space="preserve">60</m:t>
        </m:r>
        <m:r>
          <w:rPr>
            <w:rFonts w:ascii="Cambria Math" w:hAnsi="Cambria Math"/>
          </w:rPr>
          <m:t xml:space="preserve">s</m:t>
        </m:r>
      </m:oMath>
    </w:p>
    <w:p>
      <w:pPr>
        <w:pStyle w:val="Normal"/>
        <w:spacing w:before="160" w:after="80"/>
        <w:rPr/>
      </w:pPr>
      <w:r>
        <w:rPr/>
        <w:t>sin pérdida de estabilidad del sistema de control de velocidad.</w:t>
      </w:r>
    </w:p>
    <w:p>
      <w:pPr>
        <w:pStyle w:val="Normal"/>
        <w:spacing w:before="160" w:after="80"/>
        <w:rPr/>
      </w:pPr>
      <w:r>
        <w:rPr>
          <w:b/>
          <w:bCs/>
          <w:color w:val="312E81"/>
        </w:rPr>
        <w:t>Resultados de la prueba</w:t>
      </w:r>
    </w:p>
    <w:p>
      <w:pPr>
        <w:pStyle w:val="Normal"/>
        <w:spacing w:before="160" w:after="80"/>
        <w:rPr/>
      </w:pPr>
      <w:r>
        <w:rPr/>
        <w:t>La evidencia de esta prueba corresponderá al registro de la velocidad/frecuencia, consigna de velocidad y variables eléctricas asociadas durante los escalones aplicados.</w:t>
      </w:r>
    </w:p>
    <w:p>
      <w:pPr>
        <w:pStyle w:val="Normal"/>
        <w:spacing w:before="160" w:after="80"/>
        <w:rPr/>
      </w:pPr>
      <w:r>
        <w:rPr/>
      </w:r>
    </w:p>
    <w:p>
      <w:pPr>
        <w:pStyle w:val="Normal"/>
        <w:spacing w:before="160" w:after="80"/>
        <w:rPr/>
      </w:pPr>
      <w:r>
        <w:rPr/>
        <w:t>La información presentada permitirá determinar el sobrepaso (SP) y el tiempo de estabilización (Ts), así como verificar que la unidad mantiene una respuesta estable ante los cambios escalonados de velocidad.</w:t>
      </w:r>
      <w:r>
        <w:rPr>
          <w:b/>
          <w:bCs/>
          <w:color w:val="312E81"/>
        </w:rPr>
        <w:t xml:space="preserve"> </w:t>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858" w:hRule="atLeast"/>
        </w:trPr>
        <w:tc>
          <w:tcPr>
            <w:tcW w:w="9000" w:type="dxa"/>
            <w:tcBorders/>
            <w:shd w:color="auto" w:fill="D9D9D9" w:val="clear"/>
            <w:vAlign w:val="center"/>
          </w:tcPr>
          <w:p>
            <w:pPr>
              <w:pStyle w:val="Normal"/>
              <w:jc w:val="center"/>
              <w:rPr/>
            </w:pPr>
            <w:r>
              <w:rPr>
                <w:b/>
                <w:bCs/>
                <w:color w:val="404040"/>
              </w:rPr>
              <w:t>Gráfica: Escalones de Velocidad ±1 Hz — CNK</w:t>
            </w:r>
          </w:p>
          <w:p>
            <w:pPr>
              <w:pStyle w:val="Normal"/>
              <w:jc w:val="center"/>
              <w:rPr/>
            </w:pPr>
            <w:r>
              <w:rPr>
                <w:i/>
                <w:iCs/>
                <w:color w:val="808080"/>
                <w:sz w:val="18"/>
                <w:szCs w:val="18"/>
              </w:rPr>
              <w:t>[Espacio reservado para gráfica / captura]</w:t>
            </w:r>
          </w:p>
        </w:tc>
      </w:tr>
    </w:tbl>
    <w:p>
      <w:pPr>
        <w:pStyle w:val="Subtitle"/>
        <w:rPr/>
      </w:pPr>
      <w:r>
        <w:rPr/>
        <w:t>Figura 1.9 Escalones de Velocidad ±1 Hz</w:t>
      </w:r>
    </w:p>
    <w:p>
      <w:pPr>
        <w:pStyle w:val="Heading2"/>
        <w:rPr/>
      </w:pPr>
      <w:bookmarkStart w:id="21" w:name="_Toc229922554"/>
      <w:r>
        <w:rPr/>
        <w:t>4.14. Protección por Sobre Velocidad</w:t>
      </w:r>
      <w:bookmarkEnd w:id="21"/>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4" wp14:anchorId="438C7C02">
                      <wp:simplePos x="0" y="0"/>
                      <wp:positionH relativeFrom="column">
                        <wp:posOffset>74295</wp:posOffset>
                      </wp:positionH>
                      <wp:positionV relativeFrom="paragraph">
                        <wp:posOffset>79375</wp:posOffset>
                      </wp:positionV>
                      <wp:extent cx="708660" cy="635"/>
                      <wp:effectExtent l="0" t="10160" r="0" b="9525"/>
                      <wp:wrapNone/>
                      <wp:docPr id="92"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438C7C02">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5" wp14:anchorId="27EDD045">
                      <wp:simplePos x="0" y="0"/>
                      <wp:positionH relativeFrom="column">
                        <wp:posOffset>0</wp:posOffset>
                      </wp:positionH>
                      <wp:positionV relativeFrom="paragraph">
                        <wp:posOffset>71120</wp:posOffset>
                      </wp:positionV>
                      <wp:extent cx="708660" cy="0"/>
                      <wp:effectExtent l="635" t="10160" r="635" b="10160"/>
                      <wp:wrapNone/>
                      <wp:docPr id="93"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27EDD045">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6" wp14:anchorId="7FAE19D4">
                      <wp:simplePos x="0" y="0"/>
                      <wp:positionH relativeFrom="column">
                        <wp:posOffset>0</wp:posOffset>
                      </wp:positionH>
                      <wp:positionV relativeFrom="paragraph">
                        <wp:posOffset>65405</wp:posOffset>
                      </wp:positionV>
                      <wp:extent cx="708660" cy="635"/>
                      <wp:effectExtent l="635" t="9525" r="635" b="9525"/>
                      <wp:wrapNone/>
                      <wp:docPr id="94"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7FAE19D4">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95" name="Imagen4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47" descr="Badge Tick1 con relleno sólido"/>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96" name="Imagen4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48" descr="Badge Tick1 con relleno sólido"/>
                          <pic:cNvPicPr>
                            <a:picLocks noChangeAspect="1" noChangeArrowheads="1"/>
                          </pic:cNvPicPr>
                        </pic:nvPicPr>
                        <pic:blipFill>
                          <a:blip r:embed="rId101">
                            <a:extLst>
                              <a:ext uri="{96DAC541-7B7A-43D3-8B79-37D633B846F1}">
                                <asvg:svgBlip xmlns:asvg="http://schemas.microsoft.com/office/drawing/2016/SVG/main" r:embed="rId102"/>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97" name="Imagen4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49" descr="Badge Tick1 con relleno sólido"/>
                          <pic:cNvPicPr>
                            <a:picLocks noChangeAspect="1" noChangeArrowheads="1"/>
                          </pic:cNvPicPr>
                        </pic:nvPicPr>
                        <pic:blipFill>
                          <a:blip r:embed="rId103">
                            <a:extLst>
                              <a:ext uri="{96DAC541-7B7A-43D3-8B79-37D633B846F1}">
                                <asvg:svgBlip xmlns:asvg="http://schemas.microsoft.com/office/drawing/2016/SVG/main" r:embed="rId10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98" name="Imagen5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50" descr="Badge Tick1 con relleno sólido"/>
                          <pic:cNvPicPr>
                            <a:picLocks noChangeAspect="1" noChangeArrowheads="1"/>
                          </pic:cNvPicPr>
                        </pic:nvPicPr>
                        <pic:blipFill>
                          <a:blip r:embed="rId105">
                            <a:extLst>
                              <a:ext uri="{96DAC541-7B7A-43D3-8B79-37D633B846F1}">
                                <asvg:svgBlip xmlns:asvg="http://schemas.microsoft.com/office/drawing/2016/SVG/main" r:embed="rId106"/>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el funcionamiento de la </w:t>
      </w:r>
      <w:r>
        <w:rPr>
          <w:rFonts w:ascii="Helvetica Neue Light" w:hAnsi="Helvetica Neue Light"/>
          <w:b/>
          <w:bCs/>
          <w:sz w:val="22"/>
          <w:szCs w:val="22"/>
        </w:rPr>
        <w:t>protección por sobrevelocidad</w:t>
      </w:r>
      <w:r>
        <w:rPr>
          <w:rFonts w:ascii="Helvetica Neue Light" w:hAnsi="Helvetica Neue Light"/>
          <w:sz w:val="22"/>
          <w:szCs w:val="22"/>
        </w:rPr>
        <w:t xml:space="preserve"> de la Unidad de Generación, confirmando que el sistema emita la señal de disparo cuando la velocidad supera el umbral configurado.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verificación de la protección por sobrevelocidad con referencia a los </w:t>
      </w:r>
      <w:r>
        <w:rPr>
          <w:rFonts w:ascii="Helvetica Neue Light" w:hAnsi="Helvetica Neue Light"/>
          <w:b/>
          <w:bCs/>
          <w:sz w:val="22"/>
          <w:szCs w:val="22"/>
        </w:rPr>
        <w:t>umbrales 110% / 112%</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validar la correcta detección de una condición de sobrevelocidad mediante señal simulada, evitando llevar físicamente la unidad a una condición de riesgo.</w:t>
      </w:r>
    </w:p>
    <w:p>
      <w:pPr>
        <w:pStyle w:val="Normal"/>
        <w:spacing w:before="160" w:after="80"/>
        <w:rPr/>
      </w:pPr>
      <w:r>
        <w:rPr>
          <w:b/>
          <w:bCs/>
          <w:color w:val="312E81"/>
        </w:rPr>
        <w:t>Condiciones y desarrollo de la prueba</w:t>
      </w:r>
    </w:p>
    <w:p>
      <w:pPr>
        <w:pStyle w:val="ListParagraph"/>
        <w:numPr>
          <w:ilvl w:val="0"/>
          <w:numId w:val="20"/>
        </w:numPr>
        <w:jc w:val="both"/>
        <w:rPr/>
      </w:pPr>
      <w:r>
        <w:rPr/>
        <w:t>Verificar que el generador se encuentre desconectado de la red y en condición segura para la prueba.</w:t>
      </w:r>
    </w:p>
    <w:p>
      <w:pPr>
        <w:pStyle w:val="ListParagraph"/>
        <w:numPr>
          <w:ilvl w:val="0"/>
          <w:numId w:val="20"/>
        </w:numPr>
        <w:jc w:val="both"/>
        <w:rPr/>
      </w:pPr>
      <w:r>
        <w:rPr/>
        <w:t>Confirmar que el sistema de control de velocidad se encuentre disponible y con los parámetros de protección configurados.</w:t>
      </w:r>
    </w:p>
    <w:p>
      <w:pPr>
        <w:pStyle w:val="ListParagraph"/>
        <w:numPr>
          <w:ilvl w:val="0"/>
          <w:numId w:val="20"/>
        </w:numPr>
        <w:jc w:val="both"/>
        <w:rPr/>
      </w:pPr>
      <w:r>
        <w:rPr/>
        <w:t>Registrar la condición inicial de velocidad, frecuencia y estado de la protección.</w:t>
      </w:r>
    </w:p>
    <w:p>
      <w:pPr>
        <w:pStyle w:val="ListParagraph"/>
        <w:numPr>
          <w:ilvl w:val="0"/>
          <w:numId w:val="20"/>
        </w:numPr>
        <w:jc w:val="both"/>
        <w:rPr/>
      </w:pPr>
      <w:r>
        <w:rPr/>
        <w:t>Inyectar una señal simulada de sobrevelocidad al sistema de control de velocidad.</w:t>
      </w:r>
    </w:p>
    <w:p>
      <w:pPr>
        <w:pStyle w:val="ListParagraph"/>
        <w:numPr>
          <w:ilvl w:val="0"/>
          <w:numId w:val="20"/>
        </w:numPr>
        <w:jc w:val="both"/>
        <w:rPr/>
      </w:pPr>
      <w:r>
        <w:rPr/>
        <w:t>Verificar la detección de la condición de sobrevelocidad conforme al umbral configurado.</w:t>
      </w:r>
    </w:p>
    <w:p>
      <w:pPr>
        <w:pStyle w:val="ListParagraph"/>
        <w:numPr>
          <w:ilvl w:val="0"/>
          <w:numId w:val="20"/>
        </w:numPr>
        <w:jc w:val="both"/>
        <w:rPr/>
      </w:pPr>
      <w:r>
        <w:rPr/>
        <w:t>Registrar la emisión de la señal de disparo por sobrevelocidad.</w:t>
      </w:r>
    </w:p>
    <w:p>
      <w:pPr>
        <w:pStyle w:val="ListParagraph"/>
        <w:numPr>
          <w:ilvl w:val="0"/>
          <w:numId w:val="20"/>
        </w:numPr>
        <w:jc w:val="both"/>
        <w:rPr/>
      </w:pPr>
      <w:r>
        <w:rPr/>
        <w:t>Confirmar que la actuación se realice dentro del tiempo y lógica establecidos por la configuración de protección.</w:t>
      </w:r>
    </w:p>
    <w:p>
      <w:pPr>
        <w:pStyle w:val="ListParagraph"/>
        <w:numPr>
          <w:ilvl w:val="0"/>
          <w:numId w:val="20"/>
        </w:numPr>
        <w:jc w:val="both"/>
        <w:rPr/>
      </w:pPr>
      <w:r>
        <w:rPr/>
        <w:t>Restablecer la condición normal del sistema posterior a la prueba.</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ListParagraph"/>
        <w:numPr>
          <w:ilvl w:val="0"/>
          <w:numId w:val="2"/>
        </w:numPr>
        <w:spacing w:lineRule="auto" w:line="240"/>
        <w:rPr/>
      </w:pPr>
      <w:r>
        <w:rPr/>
        <w:t>Voltaje de generador (Vg)</w:t>
      </w:r>
    </w:p>
    <w:p>
      <w:pPr>
        <w:pStyle w:val="ListParagraph"/>
        <w:numPr>
          <w:ilvl w:val="0"/>
          <w:numId w:val="2"/>
        </w:numPr>
        <w:spacing w:lineRule="auto" w:line="240"/>
        <w:rPr/>
      </w:pPr>
      <w:r>
        <w:rPr/>
        <w:t>Potencia activa (P)</w:t>
      </w:r>
    </w:p>
    <w:p>
      <w:pPr>
        <w:pStyle w:val="ListParagraph"/>
        <w:numPr>
          <w:ilvl w:val="0"/>
          <w:numId w:val="0"/>
        </w:numPr>
        <w:spacing w:lineRule="auto" w:line="240"/>
        <w:ind w:hanging="0" w:left="720"/>
        <w:rPr/>
      </w:pPr>
      <w:r>
        <w:rPr/>
      </w:r>
    </w:p>
    <w:p>
      <w:pPr>
        <w:pStyle w:val="ListParagraph"/>
        <w:numPr>
          <w:ilvl w:val="0"/>
          <w:numId w:val="2"/>
        </w:numPr>
        <w:spacing w:lineRule="auto" w:line="240"/>
        <w:rPr/>
      </w:pPr>
      <w:r>
        <w:rPr/>
        <w:t>Frecuencia (f)</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protección por sobrevelocidad emite la señal de disparo al alcanzar los umbrales configurados de protección:</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110</m:t>
          </m:r>
          <m:r>
            <m:rPr>
              <m:lit/>
              <m:nor/>
            </m:rPr>
            <w:rPr>
              <w:rFonts w:ascii="Cambria Math" w:hAnsi="Cambria Math"/>
            </w:rPr>
            <m:t xml:space="preserve">%</m:t>
          </m:r>
          <m:r>
            <m:rPr>
              <m:lit/>
              <m:nor/>
            </m:rPr>
            <w:rPr>
              <w:rFonts w:ascii="Cambria Math" w:hAnsi="Cambria Math"/>
            </w:rPr>
            <m:t xml:space="preserve">%</m:t>
          </m:r>
        </m:oMath>
      </m:oMathPara>
    </w:p>
    <w:p>
      <w:pPr>
        <w:pStyle w:val="Normal"/>
        <w:spacing w:before="160" w:after="80"/>
        <w:rPr/>
      </w:pPr>
      <w:r>
        <w:rPr/>
        <w:t>conforme a la lógica de protección establecida para la Unidad de Generación.</w:t>
      </w:r>
    </w:p>
    <w:p>
      <w:pPr>
        <w:pStyle w:val="Normal"/>
        <w:spacing w:before="160" w:after="80"/>
        <w:rPr/>
      </w:pPr>
      <w:r>
        <w:rPr>
          <w:b/>
          <w:bCs/>
          <w:color w:val="312E81"/>
        </w:rPr>
        <w:t>Resultados de la prueba</w:t>
      </w:r>
    </w:p>
    <w:p>
      <w:pPr>
        <w:pStyle w:val="Normal"/>
        <w:spacing w:before="0" w:after="120"/>
        <w:rPr/>
      </w:pPr>
      <w:r>
        <w:rPr/>
        <w:t>La evidencia de esta prueba corresponderá al registro de la señal simulada de sobrevelocidad, la respuesta del sistema de control de velocidad y la activación de la señal de disparo correspondiente.</w:t>
      </w:r>
    </w:p>
    <w:p>
      <w:pPr>
        <w:pStyle w:val="Normal"/>
        <w:spacing w:before="0" w:after="120"/>
        <w:rPr/>
      </w:pPr>
      <w:r>
        <w:rPr/>
      </w:r>
    </w:p>
    <w:p>
      <w:pPr>
        <w:pStyle w:val="Normal"/>
        <w:spacing w:before="0" w:after="120"/>
        <w:rPr/>
      </w:pPr>
      <w:r>
        <w:rPr/>
        <w:t>La información presentada permitirá confirmar que la protección por sobrevelocidad actúa conforme a los umbrales 110% / 112%, sin operación errática ni bloqueo de la función de protección.</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304" w:hRule="atLeast"/>
        </w:trPr>
        <w:tc>
          <w:tcPr>
            <w:tcW w:w="9000" w:type="dxa"/>
            <w:tcBorders/>
            <w:shd w:color="auto" w:fill="D9D9D9" w:val="clear"/>
            <w:vAlign w:val="center"/>
          </w:tcPr>
          <w:p>
            <w:pPr>
              <w:pStyle w:val="Normal"/>
              <w:jc w:val="center"/>
              <w:rPr/>
            </w:pPr>
            <w:r>
              <w:rPr>
                <w:b/>
                <w:bCs/>
                <w:color w:val="404040"/>
              </w:rPr>
              <w:t>Gráfica: Protección Sobre Velocidad — CNK</w:t>
            </w:r>
          </w:p>
          <w:p>
            <w:pPr>
              <w:pStyle w:val="Normal"/>
              <w:jc w:val="center"/>
              <w:rPr/>
            </w:pPr>
            <w:r>
              <w:rPr>
                <w:i/>
                <w:iCs/>
                <w:color w:val="808080"/>
                <w:sz w:val="18"/>
                <w:szCs w:val="18"/>
              </w:rPr>
              <w:t>[Espacio reservado para gráfica / captura]</w:t>
            </w:r>
          </w:p>
        </w:tc>
      </w:tr>
    </w:tbl>
    <w:p>
      <w:pPr>
        <w:pStyle w:val="Subtitle"/>
        <w:rPr/>
      </w:pPr>
      <w:r>
        <w:rPr/>
        <w:t>Figura 1.9 Protección Sobre Velocidad</w:t>
      </w:r>
    </w:p>
    <w:p>
      <w:pPr>
        <w:pStyle w:val="Heading2"/>
        <w:rPr/>
      </w:pPr>
      <w:bookmarkStart w:id="22" w:name="_Toc229922551"/>
      <w:r>
        <w:rPr/>
        <w:t>Sistema de Control de Velocidad con Carga</w:t>
      </w:r>
      <w:bookmarkEnd w:id="22"/>
    </w:p>
    <w:p>
      <w:pPr>
        <w:pStyle w:val="Heading2"/>
        <w:rPr/>
      </w:pPr>
      <w:bookmarkStart w:id="23" w:name="_Toc229922555"/>
      <w:r>
        <w:rPr/>
        <w:t>4.15. Variador de Carga</w:t>
      </w:r>
      <w:bookmarkEnd w:id="23"/>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7" wp14:anchorId="07878B84">
                      <wp:simplePos x="0" y="0"/>
                      <wp:positionH relativeFrom="column">
                        <wp:posOffset>74295</wp:posOffset>
                      </wp:positionH>
                      <wp:positionV relativeFrom="paragraph">
                        <wp:posOffset>79375</wp:posOffset>
                      </wp:positionV>
                      <wp:extent cx="708660" cy="635"/>
                      <wp:effectExtent l="0" t="10160" r="0" b="9525"/>
                      <wp:wrapNone/>
                      <wp:docPr id="99"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07878B84">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8" wp14:anchorId="76B8D0D5">
                      <wp:simplePos x="0" y="0"/>
                      <wp:positionH relativeFrom="column">
                        <wp:posOffset>0</wp:posOffset>
                      </wp:positionH>
                      <wp:positionV relativeFrom="paragraph">
                        <wp:posOffset>71120</wp:posOffset>
                      </wp:positionV>
                      <wp:extent cx="708660" cy="0"/>
                      <wp:effectExtent l="635" t="10160" r="635" b="10160"/>
                      <wp:wrapNone/>
                      <wp:docPr id="100"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76B8D0D5">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99" wp14:anchorId="79DA44B9">
                      <wp:simplePos x="0" y="0"/>
                      <wp:positionH relativeFrom="column">
                        <wp:posOffset>0</wp:posOffset>
                      </wp:positionH>
                      <wp:positionV relativeFrom="paragraph">
                        <wp:posOffset>65405</wp:posOffset>
                      </wp:positionV>
                      <wp:extent cx="708660" cy="635"/>
                      <wp:effectExtent l="635" t="9525" r="635" b="9525"/>
                      <wp:wrapNone/>
                      <wp:docPr id="10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79DA44B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02" name="Imagen5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51" descr="Badge Tick1 con relleno sólido"/>
                          <pic:cNvPicPr>
                            <a:picLocks noChangeAspect="1" noChangeArrowheads="1"/>
                          </pic:cNvPicPr>
                        </pic:nvPicPr>
                        <pic:blipFill>
                          <a:blip r:embed="rId107">
                            <a:extLst>
                              <a:ext uri="{96DAC541-7B7A-43D3-8B79-37D633B846F1}">
                                <asvg:svgBlip xmlns:asvg="http://schemas.microsoft.com/office/drawing/2016/SVG/main" r:embed="rId10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03" name="Imagen5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52" descr="Badge Tick1 con relleno sólido"/>
                          <pic:cNvPicPr>
                            <a:picLocks noChangeAspect="1" noChangeArrowheads="1"/>
                          </pic:cNvPicPr>
                        </pic:nvPicPr>
                        <pic:blipFill>
                          <a:blip r:embed="rId109">
                            <a:extLst>
                              <a:ext uri="{96DAC541-7B7A-43D3-8B79-37D633B846F1}">
                                <asvg:svgBlip xmlns:asvg="http://schemas.microsoft.com/office/drawing/2016/SVG/main" r:embed="rId110"/>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04" name="Imagen5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53" descr="Badge Tick1 con relleno sólido"/>
                          <pic:cNvPicPr>
                            <a:picLocks noChangeAspect="1" noChangeArrowheads="1"/>
                          </pic:cNvPicPr>
                        </pic:nvPicPr>
                        <pic:blipFill>
                          <a:blip r:embed="rId111">
                            <a:extLst>
                              <a:ext uri="{96DAC541-7B7A-43D3-8B79-37D633B846F1}">
                                <asvg:svgBlip xmlns:asvg="http://schemas.microsoft.com/office/drawing/2016/SVG/main" r:embed="rId112"/>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05" name="Imagen5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54" descr="Badge Tick1 con relleno sólido"/>
                          <pic:cNvPicPr>
                            <a:picLocks noChangeAspect="1" noChangeArrowheads="1"/>
                          </pic:cNvPicPr>
                        </pic:nvPicPr>
                        <pic:blipFill>
                          <a:blip r:embed="rId113">
                            <a:extLst>
                              <a:ext uri="{96DAC541-7B7A-43D3-8B79-37D633B846F1}">
                                <asvg:svgBlip xmlns:asvg="http://schemas.microsoft.com/office/drawing/2016/SVG/main" r:embed="rId114"/>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el funcionamiento de la </w:t>
      </w:r>
      <w:r>
        <w:rPr>
          <w:rFonts w:ascii="Helvetica Neue Light" w:hAnsi="Helvetica Neue Light"/>
          <w:b/>
          <w:bCs/>
          <w:sz w:val="22"/>
          <w:szCs w:val="22"/>
        </w:rPr>
        <w:t>protección por sobrevelocidad asociada al gobernador</w:t>
      </w:r>
      <w:r>
        <w:rPr>
          <w:rFonts w:ascii="Helvetica Neue Light" w:hAnsi="Helvetica Neue Light"/>
          <w:sz w:val="22"/>
          <w:szCs w:val="22"/>
        </w:rPr>
        <w:t>, confirmando que el sistema emita la señal de disparo cuando la velocidad de la unidad supera el umbral configurado.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donde se establece la verificación de la protección por sobrevelocidad.</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validar la correcta detección de una condición de sobrevelocidad mediante señal simulada, sin necesidad de llevar físicamente la unidad a una condición de riesgo.</w:t>
      </w:r>
    </w:p>
    <w:p>
      <w:pPr>
        <w:pStyle w:val="Normal"/>
        <w:spacing w:before="160" w:after="80"/>
        <w:rPr/>
      </w:pPr>
      <w:r>
        <w:rPr>
          <w:b/>
          <w:bCs/>
          <w:color w:val="312E81"/>
        </w:rPr>
        <w:t>Condiciones y desarrollo de la prueba</w:t>
      </w:r>
    </w:p>
    <w:p>
      <w:pPr>
        <w:pStyle w:val="ListParagraph"/>
        <w:numPr>
          <w:ilvl w:val="0"/>
          <w:numId w:val="14"/>
        </w:numPr>
        <w:jc w:val="both"/>
        <w:rPr/>
      </w:pPr>
      <w:r>
        <w:rPr/>
        <w:t>Verificar que el generador se encuentre desconectado de la red y en condición segura para la prueba.</w:t>
      </w:r>
    </w:p>
    <w:p>
      <w:pPr>
        <w:pStyle w:val="ListParagraph"/>
        <w:numPr>
          <w:ilvl w:val="0"/>
          <w:numId w:val="14"/>
        </w:numPr>
        <w:jc w:val="both"/>
        <w:rPr/>
      </w:pPr>
      <w:r>
        <w:rPr/>
        <w:t>Confirmar que el gobernador se encuentre disponible y con los parámetros de protección configurados.</w:t>
      </w:r>
    </w:p>
    <w:p>
      <w:pPr>
        <w:pStyle w:val="ListParagraph"/>
        <w:numPr>
          <w:ilvl w:val="0"/>
          <w:numId w:val="14"/>
        </w:numPr>
        <w:jc w:val="both"/>
        <w:rPr/>
      </w:pPr>
      <w:r>
        <w:rPr/>
        <w:t>Registrar la condición inicial de velocidad, frecuencia y estado de la protección.</w:t>
      </w:r>
    </w:p>
    <w:p>
      <w:pPr>
        <w:pStyle w:val="ListParagraph"/>
        <w:numPr>
          <w:ilvl w:val="0"/>
          <w:numId w:val="14"/>
        </w:numPr>
        <w:jc w:val="both"/>
        <w:rPr/>
      </w:pPr>
      <w:r>
        <w:rPr/>
        <w:t>Inyectar una señal simulada de sobrevelocidad al gobernador.</w:t>
      </w:r>
    </w:p>
    <w:p>
      <w:pPr>
        <w:pStyle w:val="ListParagraph"/>
        <w:numPr>
          <w:ilvl w:val="0"/>
          <w:numId w:val="14"/>
        </w:numPr>
        <w:jc w:val="both"/>
        <w:rPr/>
      </w:pPr>
      <w:r>
        <w:rPr/>
        <w:t>Verificar la detección de la condición de sobrevelocidad conforme al umbral configurado.</w:t>
      </w:r>
    </w:p>
    <w:p>
      <w:pPr>
        <w:pStyle w:val="ListParagraph"/>
        <w:numPr>
          <w:ilvl w:val="0"/>
          <w:numId w:val="14"/>
        </w:numPr>
        <w:jc w:val="both"/>
        <w:rPr/>
      </w:pPr>
      <w:r>
        <w:rPr/>
        <w:t>Registrar la emisión de la señal de disparo por sobrevelocidad.</w:t>
      </w:r>
    </w:p>
    <w:p>
      <w:pPr>
        <w:pStyle w:val="ListParagraph"/>
        <w:numPr>
          <w:ilvl w:val="0"/>
          <w:numId w:val="14"/>
        </w:numPr>
        <w:jc w:val="both"/>
        <w:rPr/>
      </w:pPr>
      <w:r>
        <w:rPr/>
        <w:t>Confirmar que la actuación se realice dentro del tiempo y lógica establecidos por la configuración del gobernador.</w:t>
      </w:r>
    </w:p>
    <w:p>
      <w:pPr>
        <w:pStyle w:val="ListParagraph"/>
        <w:numPr>
          <w:ilvl w:val="0"/>
          <w:numId w:val="14"/>
        </w:numPr>
        <w:jc w:val="both"/>
        <w:rPr/>
      </w:pPr>
      <w:r>
        <w:rPr/>
        <w:t>Restablecer la condición normal del sistema posterior a la prueba.</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Normal"/>
        <w:numPr>
          <w:ilvl w:val="0"/>
          <w:numId w:val="2"/>
        </w:numPr>
        <w:spacing w:lineRule="auto" w:line="240" w:beforeAutospacing="1" w:after="0"/>
        <w:jc w:val="left"/>
        <w:rPr>
          <w:rFonts w:eastAsia="Times New Roman" w:cs="Times New Roman"/>
          <w:sz w:val="20"/>
          <w:szCs w:val="20"/>
        </w:rPr>
      </w:pPr>
      <w:r>
        <w:rPr>
          <w:rFonts w:eastAsia="Times New Roman" w:cs="Times New Roman"/>
          <w:sz w:val="20"/>
          <w:szCs w:val="20"/>
        </w:rPr>
        <w:t>Velocidad del rotor (n)</w:t>
      </w:r>
    </w:p>
    <w:p>
      <w:pPr>
        <w:pStyle w:val="Normal"/>
        <w:numPr>
          <w:ilvl w:val="0"/>
          <w:numId w:val="2"/>
        </w:numPr>
        <w:spacing w:lineRule="auto" w:line="240" w:before="0" w:after="0"/>
        <w:jc w:val="left"/>
        <w:rPr>
          <w:rFonts w:eastAsia="Times New Roman" w:cs="Times New Roman"/>
          <w:sz w:val="20"/>
          <w:szCs w:val="20"/>
        </w:rPr>
      </w:pPr>
      <w:r>
        <w:rPr>
          <w:rFonts w:eastAsia="Times New Roman" w:cs="Times New Roman"/>
          <w:sz w:val="20"/>
          <w:szCs w:val="20"/>
        </w:rPr>
        <w:t>Señal de disparo por sobrevelocidad</w:t>
      </w:r>
    </w:p>
    <w:p>
      <w:pPr>
        <w:pStyle w:val="Normal"/>
        <w:numPr>
          <w:ilvl w:val="0"/>
          <w:numId w:val="2"/>
        </w:numPr>
        <w:spacing w:lineRule="auto" w:line="240" w:before="0" w:afterAutospacing="1"/>
        <w:jc w:val="left"/>
        <w:rPr>
          <w:rFonts w:eastAsia="Times New Roman" w:cs="Times New Roman"/>
          <w:sz w:val="20"/>
          <w:szCs w:val="20"/>
        </w:rPr>
      </w:pPr>
      <w:r>
        <w:rPr>
          <w:rFonts w:eastAsia="Times New Roman" w:cs="Times New Roman"/>
          <w:sz w:val="20"/>
          <w:szCs w:val="20"/>
        </w:rPr>
        <w:t>Frecuencia (f)</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protección por sobrevelocidad emite la señal de disparo al superar el umbral configurado, conforme a la lógica de protección establecida.</w:t>
      </w:r>
    </w:p>
    <w:p>
      <w:pPr>
        <w:pStyle w:val="Normal"/>
        <w:spacing w:before="160" w:after="80"/>
        <w:rPr/>
      </w:pPr>
      <w:r>
        <w:rPr>
          <w:b/>
          <w:bCs/>
          <w:color w:val="312E81"/>
        </w:rPr>
        <w:t>Resultados de la prueba</w:t>
      </w:r>
    </w:p>
    <w:p>
      <w:pPr>
        <w:pStyle w:val="Normal"/>
        <w:spacing w:before="0" w:after="80"/>
        <w:rPr/>
      </w:pPr>
      <w:r>
        <w:rPr/>
        <w:t>La evidencia de esta prueba corresponderá al registro de la señal simulada de sobrevelocidad, la respuesta del sistema de control de velocidad y la activación de la señal de disparo correspondiente.</w:t>
      </w:r>
    </w:p>
    <w:p>
      <w:pPr>
        <w:pStyle w:val="Normal"/>
        <w:spacing w:before="0" w:after="80"/>
        <w:rPr/>
      </w:pPr>
      <w:r>
        <w:rPr/>
      </w:r>
    </w:p>
    <w:p>
      <w:pPr>
        <w:pStyle w:val="Normal"/>
        <w:spacing w:before="0" w:after="80"/>
        <w:rPr/>
      </w:pPr>
      <w:r>
        <w:rPr/>
        <w:t>La información presentada permitirá confirmar que la protección por sobrevelocidad actúa conforme al umbral y tiempo configurados, sin operación errática ni bloqueo de la función de protección.</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1699" w:hRule="atLeast"/>
        </w:trPr>
        <w:tc>
          <w:tcPr>
            <w:tcW w:w="9000" w:type="dxa"/>
            <w:tcBorders/>
            <w:shd w:color="auto" w:fill="D9D9D9" w:val="clear"/>
            <w:vAlign w:val="center"/>
          </w:tcPr>
          <w:p>
            <w:pPr>
              <w:pStyle w:val="Normal"/>
              <w:jc w:val="center"/>
              <w:rPr/>
            </w:pPr>
            <w:r>
              <w:rPr>
                <w:b/>
                <w:bCs/>
                <w:color w:val="404040"/>
              </w:rPr>
              <w:t>Gráfica: Variador de Carga — CNK</w:t>
            </w:r>
          </w:p>
          <w:p>
            <w:pPr>
              <w:pStyle w:val="Normal"/>
              <w:jc w:val="center"/>
              <w:rPr/>
            </w:pPr>
            <w:r>
              <w:rPr>
                <w:i/>
                <w:iCs/>
                <w:color w:val="808080"/>
                <w:sz w:val="18"/>
                <w:szCs w:val="18"/>
              </w:rPr>
              <w:t>[Espacio reservado para gráfica / captura]</w:t>
            </w:r>
          </w:p>
        </w:tc>
      </w:tr>
    </w:tbl>
    <w:p>
      <w:pPr>
        <w:pStyle w:val="Subtitle"/>
        <w:rPr/>
      </w:pPr>
      <w:r>
        <w:rPr/>
        <w:t>Figura 1.10 Variador de Carga</w:t>
      </w:r>
    </w:p>
    <w:p>
      <w:pPr>
        <w:pStyle w:val="Heading2"/>
        <w:rPr/>
      </w:pPr>
      <w:bookmarkStart w:id="24" w:name="_Toc229922556"/>
      <w:r>
        <w:rPr/>
        <w:t>4.16. Limitador de Carga</w:t>
      </w:r>
      <w:bookmarkEnd w:id="24"/>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0" wp14:anchorId="628A7C15">
                      <wp:simplePos x="0" y="0"/>
                      <wp:positionH relativeFrom="column">
                        <wp:posOffset>74295</wp:posOffset>
                      </wp:positionH>
                      <wp:positionV relativeFrom="paragraph">
                        <wp:posOffset>79375</wp:posOffset>
                      </wp:positionV>
                      <wp:extent cx="708660" cy="635"/>
                      <wp:effectExtent l="0" t="10160" r="0" b="9525"/>
                      <wp:wrapNone/>
                      <wp:docPr id="106"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628A7C15">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1" wp14:anchorId="725D11C0">
                      <wp:simplePos x="0" y="0"/>
                      <wp:positionH relativeFrom="column">
                        <wp:posOffset>0</wp:posOffset>
                      </wp:positionH>
                      <wp:positionV relativeFrom="paragraph">
                        <wp:posOffset>71120</wp:posOffset>
                      </wp:positionV>
                      <wp:extent cx="708660" cy="0"/>
                      <wp:effectExtent l="635" t="10160" r="635" b="10160"/>
                      <wp:wrapNone/>
                      <wp:docPr id="107"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725D11C0">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2" wp14:anchorId="5C0D4E75">
                      <wp:simplePos x="0" y="0"/>
                      <wp:positionH relativeFrom="column">
                        <wp:posOffset>0</wp:posOffset>
                      </wp:positionH>
                      <wp:positionV relativeFrom="paragraph">
                        <wp:posOffset>65405</wp:posOffset>
                      </wp:positionV>
                      <wp:extent cx="708660" cy="635"/>
                      <wp:effectExtent l="635" t="9525" r="635" b="9525"/>
                      <wp:wrapNone/>
                      <wp:docPr id="108"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5C0D4E75">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09" name="Imagen5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55" descr="Badge Tick1 con relleno sólido"/>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10" name="Imagen5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56" descr="Badge Tick1 con relleno sólido"/>
                          <pic:cNvPicPr>
                            <a:picLocks noChangeAspect="1" noChangeArrowheads="1"/>
                          </pic:cNvPicPr>
                        </pic:nvPicPr>
                        <pic:blipFill>
                          <a:blip r:embed="rId117">
                            <a:extLst>
                              <a:ext uri="{96DAC541-7B7A-43D3-8B79-37D633B846F1}">
                                <asvg:svgBlip xmlns:asvg="http://schemas.microsoft.com/office/drawing/2016/SVG/main" r:embed="rId118"/>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11" name="Imagen5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57" descr="Badge Tick1 con relleno sólido"/>
                          <pic:cNvPicPr>
                            <a:picLocks noChangeAspect="1" noChangeArrowheads="1"/>
                          </pic:cNvPicPr>
                        </pic:nvPicPr>
                        <pic:blipFill>
                          <a:blip r:embed="rId119">
                            <a:extLst>
                              <a:ext uri="{96DAC541-7B7A-43D3-8B79-37D633B846F1}">
                                <asvg:svgBlip xmlns:asvg="http://schemas.microsoft.com/office/drawing/2016/SVG/main" r:embed="rId12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12" name="Imagen5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58" descr="Badge Tick1 con relleno sólido"/>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que el </w:t>
      </w:r>
      <w:r>
        <w:rPr>
          <w:rFonts w:ascii="Helvetica Neue Light" w:hAnsi="Helvetica Neue Light"/>
          <w:b/>
          <w:bCs/>
          <w:sz w:val="22"/>
          <w:szCs w:val="22"/>
        </w:rPr>
        <w:t>sistema de control de carga</w:t>
      </w:r>
      <w:r>
        <w:rPr>
          <w:rFonts w:ascii="Helvetica Neue Light" w:hAnsi="Helvetica Neue Light"/>
          <w:sz w:val="22"/>
          <w:szCs w:val="22"/>
        </w:rPr>
        <w:t xml:space="preserve"> limite correctamente la potencia activa de la Unidad de Generación conforme a una consigna máxima configurada.</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donde se establece la verificación del Limitador de Carga desde potencia mínima hasta potencia máxima.</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confirmar que la unidad respete el límite de potencia activa configurado, evitando que la generación supere la consigna máxima establecida por el sistema de control.</w:t>
      </w:r>
    </w:p>
    <w:p>
      <w:pPr>
        <w:pStyle w:val="Normal"/>
        <w:spacing w:before="160" w:after="80"/>
        <w:rPr/>
      </w:pPr>
      <w:r>
        <w:rPr>
          <w:b/>
          <w:bCs/>
          <w:color w:val="312E81"/>
        </w:rPr>
        <w:t>Condiciones y desarrollo de la prueba</w:t>
      </w:r>
    </w:p>
    <w:p>
      <w:pPr>
        <w:pStyle w:val="ListParagraph"/>
        <w:numPr>
          <w:ilvl w:val="0"/>
          <w:numId w:val="15"/>
        </w:numPr>
        <w:jc w:val="both"/>
        <w:rPr/>
      </w:pPr>
      <w:r>
        <w:rPr/>
        <w:t>Verificar que la unidad se encuentre en operación estable y con el sistema de control de carga habilitado.</w:t>
      </w:r>
    </w:p>
    <w:p>
      <w:pPr>
        <w:pStyle w:val="ListParagraph"/>
        <w:numPr>
          <w:ilvl w:val="0"/>
          <w:numId w:val="15"/>
        </w:numPr>
        <w:jc w:val="both"/>
        <w:rPr/>
      </w:pPr>
      <w:r>
        <w:rPr/>
        <w:t>Confirmar que el limitador de carga se encuentre activo y disponible para la prueba.</w:t>
      </w:r>
    </w:p>
    <w:p>
      <w:pPr>
        <w:pStyle w:val="ListParagraph"/>
        <w:numPr>
          <w:ilvl w:val="0"/>
          <w:numId w:val="15"/>
        </w:numPr>
        <w:jc w:val="both"/>
        <w:rPr/>
      </w:pPr>
      <w:r>
        <w:rPr/>
        <w:t>Registrar la condición inicial de operación, incluyendo potencia activa, consigna de potencia y estado del limitador.</w:t>
      </w:r>
    </w:p>
    <w:p>
      <w:pPr>
        <w:pStyle w:val="ListParagraph"/>
        <w:numPr>
          <w:ilvl w:val="0"/>
          <w:numId w:val="15"/>
        </w:numPr>
        <w:jc w:val="both"/>
        <w:rPr/>
      </w:pPr>
      <w:r>
        <w:rPr/>
        <w:t>Configurar el limitador de carga a un valor inferior a la capacidad máxima disponible de la unidad.</w:t>
      </w:r>
    </w:p>
    <w:p>
      <w:pPr>
        <w:pStyle w:val="ListParagraph"/>
        <w:numPr>
          <w:ilvl w:val="0"/>
          <w:numId w:val="15"/>
        </w:numPr>
        <w:jc w:val="both"/>
        <w:rPr/>
      </w:pPr>
      <w:r>
        <w:rPr/>
        <w:t>Incrementar la consigna de potencia activa con el propósito de alcanzar el límite configurado.</w:t>
      </w:r>
    </w:p>
    <w:p>
      <w:pPr>
        <w:pStyle w:val="ListParagraph"/>
        <w:numPr>
          <w:ilvl w:val="0"/>
          <w:numId w:val="15"/>
        </w:numPr>
        <w:jc w:val="both"/>
        <w:rPr/>
      </w:pPr>
      <w:r>
        <w:rPr/>
        <w:t>Verificar que el sistema de control limite la potencia activa al valor establecido.</w:t>
      </w:r>
    </w:p>
    <w:p>
      <w:pPr>
        <w:pStyle w:val="ListParagraph"/>
        <w:numPr>
          <w:ilvl w:val="0"/>
          <w:numId w:val="15"/>
        </w:numPr>
        <w:jc w:val="both"/>
        <w:rPr/>
      </w:pPr>
      <w:r>
        <w:rPr/>
        <w:t>Intentar superar la consigna máxima configurada y confirmar que la potencia activa no exceda el límite.</w:t>
      </w:r>
    </w:p>
    <w:p>
      <w:pPr>
        <w:pStyle w:val="ListParagraph"/>
        <w:numPr>
          <w:ilvl w:val="0"/>
          <w:numId w:val="15"/>
        </w:numPr>
        <w:jc w:val="both"/>
        <w:rPr/>
      </w:pPr>
      <w:r>
        <w:rPr/>
        <w:t>Registrar la respuesta del controlador y la señal de limitador activo durante la prueba.</w:t>
      </w:r>
    </w:p>
    <w:p>
      <w:pPr>
        <w:pStyle w:val="ListParagraph"/>
        <w:numPr>
          <w:ilvl w:val="0"/>
          <w:numId w:val="15"/>
        </w:numPr>
        <w:jc w:val="both"/>
        <w:rPr/>
      </w:pPr>
      <w:r>
        <w:rPr/>
        <w:t>Verificar que la unidad mantenga una operación estable, sin oscilaciones anormales, pérdida de control o actuación indebida de protecciones.</w:t>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Normal"/>
        <w:numPr>
          <w:ilvl w:val="0"/>
          <w:numId w:val="2"/>
        </w:numPr>
        <w:spacing w:lineRule="auto" w:line="480" w:beforeAutospacing="1" w:after="0"/>
        <w:rPr>
          <w:rFonts w:eastAsia="Times New Roman" w:cs="Times New Roman"/>
          <w:sz w:val="20"/>
          <w:szCs w:val="20"/>
        </w:rPr>
      </w:pPr>
      <w:r>
        <w:rPr>
          <w:rFonts w:eastAsia="Times New Roman" w:cs="Times New Roman"/>
          <w:sz w:val="20"/>
          <w:szCs w:val="20"/>
        </w:rPr>
        <w:t>Potencia activa (P)</w:t>
      </w:r>
    </w:p>
    <w:p>
      <w:pPr>
        <w:pStyle w:val="Normal"/>
        <w:numPr>
          <w:ilvl w:val="0"/>
          <w:numId w:val="2"/>
        </w:numPr>
        <w:spacing w:lineRule="auto" w:line="480" w:before="0" w:after="0"/>
        <w:rPr>
          <w:rFonts w:eastAsia="Times New Roman" w:cs="Times New Roman"/>
          <w:sz w:val="20"/>
          <w:szCs w:val="20"/>
        </w:rPr>
      </w:pPr>
      <w:r>
        <w:rPr>
          <w:rFonts w:eastAsia="Times New Roman" w:cs="Times New Roman"/>
          <w:sz w:val="20"/>
          <w:szCs w:val="20"/>
        </w:rPr>
        <w:t>Consigna de potencia</w:t>
      </w:r>
    </w:p>
    <w:p>
      <w:pPr>
        <w:pStyle w:val="Normal"/>
        <w:numPr>
          <w:ilvl w:val="0"/>
          <w:numId w:val="2"/>
        </w:numPr>
        <w:spacing w:lineRule="auto" w:line="480" w:before="0" w:afterAutospacing="1"/>
        <w:rPr>
          <w:rFonts w:eastAsia="Times New Roman" w:cs="Times New Roman"/>
          <w:sz w:val="20"/>
          <w:szCs w:val="20"/>
        </w:rPr>
      </w:pPr>
      <w:r>
        <w:rPr>
          <w:rFonts w:eastAsia="Times New Roman" w:cs="Times New Roman"/>
          <w:sz w:val="20"/>
          <w:szCs w:val="20"/>
        </w:rPr>
        <w:t>Señal de limitador activo</w:t>
      </w:r>
    </w:p>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potencia activa de la unidad no supera el valor configurado en el limitador de carga:</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sSub>
            <m:e>
              <m:r>
                <w:rPr>
                  <w:rFonts w:ascii="Cambria Math" w:hAnsi="Cambria Math"/>
                </w:rPr>
                <m:t xml:space="preserve">P</m:t>
              </m:r>
            </m:e>
            <m:sub>
              <m:r>
                <w:rPr>
                  <w:rFonts w:ascii="Cambria Math" w:hAnsi="Cambria Math"/>
                </w:rPr>
                <m:t xml:space="preserve">limite</m:t>
              </m:r>
            </m:sub>
          </m:sSub>
        </m:oMath>
      </m:oMathPara>
    </w:p>
    <w:p>
      <w:pPr>
        <w:pStyle w:val="Normal"/>
        <w:spacing w:before="160" w:after="80"/>
        <w:rPr/>
      </w:pPr>
      <w:r>
        <w:rPr>
          <w:b/>
          <w:bCs/>
          <w:color w:val="312E81"/>
        </w:rPr>
        <w:t>Resultados de la prueba</w:t>
      </w:r>
    </w:p>
    <w:p>
      <w:pPr>
        <w:pStyle w:val="Normal"/>
        <w:spacing w:before="0" w:after="120"/>
        <w:rPr/>
      </w:pPr>
      <w:r>
        <w:rPr/>
        <w:t>La evidencia de esta prueba corresponderá al registro de la potencia activa, la consigna de potencia y la señal de limitador activo durante la evaluación.</w:t>
      </w:r>
    </w:p>
    <w:p>
      <w:pPr>
        <w:pStyle w:val="Normal"/>
        <w:spacing w:before="0" w:after="120"/>
        <w:rPr/>
      </w:pPr>
      <w:r>
        <w:rPr/>
        <w:t>La información presentada permitirá confirmar que el sistema de control restringe la potencia activa conforme al valor configurado, evitando que la unidad supere la consigna máxima establecida..</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135" w:hRule="atLeast"/>
        </w:trPr>
        <w:tc>
          <w:tcPr>
            <w:tcW w:w="9000" w:type="dxa"/>
            <w:tcBorders/>
            <w:shd w:color="auto" w:fill="D9D9D9" w:val="clear"/>
            <w:vAlign w:val="center"/>
          </w:tcPr>
          <w:p>
            <w:pPr>
              <w:pStyle w:val="Normal"/>
              <w:jc w:val="center"/>
              <w:rPr/>
            </w:pPr>
            <w:r>
              <w:rPr>
                <w:b/>
                <w:bCs/>
                <w:color w:val="404040"/>
              </w:rPr>
              <w:t>Gráfica: Limitador de Carga — CNK</w:t>
            </w:r>
          </w:p>
          <w:p>
            <w:pPr>
              <w:pStyle w:val="Normal"/>
              <w:jc w:val="center"/>
              <w:rPr/>
            </w:pPr>
            <w:r>
              <w:rPr>
                <w:i/>
                <w:iCs/>
                <w:color w:val="808080"/>
                <w:sz w:val="18"/>
                <w:szCs w:val="18"/>
              </w:rPr>
              <w:t>[Espacio reservado para gráfica / captura]</w:t>
            </w:r>
          </w:p>
        </w:tc>
      </w:tr>
    </w:tbl>
    <w:p>
      <w:pPr>
        <w:pStyle w:val="Subtitle"/>
        <w:rPr/>
      </w:pPr>
      <w:r>
        <w:rPr/>
        <w:t>Figura 1.11 Limitador de Carga</w:t>
      </w:r>
    </w:p>
    <w:p>
      <w:pPr>
        <w:pStyle w:val="Heading2"/>
        <w:rPr/>
      </w:pPr>
      <w:bookmarkStart w:id="25" w:name="_Toc229922557"/>
      <w:r>
        <w:rPr/>
        <w:t>4.17. Estatismo</w:t>
      </w:r>
      <w:bookmarkEnd w:id="25"/>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3" wp14:anchorId="0C559792">
                      <wp:simplePos x="0" y="0"/>
                      <wp:positionH relativeFrom="column">
                        <wp:posOffset>74295</wp:posOffset>
                      </wp:positionH>
                      <wp:positionV relativeFrom="paragraph">
                        <wp:posOffset>79375</wp:posOffset>
                      </wp:positionV>
                      <wp:extent cx="708660" cy="635"/>
                      <wp:effectExtent l="0" t="10160" r="0" b="9525"/>
                      <wp:wrapNone/>
                      <wp:docPr id="113"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0C559792">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4" wp14:anchorId="21B8A83B">
                      <wp:simplePos x="0" y="0"/>
                      <wp:positionH relativeFrom="column">
                        <wp:posOffset>0</wp:posOffset>
                      </wp:positionH>
                      <wp:positionV relativeFrom="paragraph">
                        <wp:posOffset>71120</wp:posOffset>
                      </wp:positionV>
                      <wp:extent cx="708660" cy="0"/>
                      <wp:effectExtent l="635" t="10160" r="635" b="10160"/>
                      <wp:wrapNone/>
                      <wp:docPr id="114"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21B8A83B">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mc:AlternateContent>
                <mc:Choice Requires="wps">
                  <w:drawing>
                    <wp:anchor behindDoc="0" distT="12700" distB="12700" distL="0" distR="15240" simplePos="0" locked="0" layoutInCell="1" allowOverlap="1" relativeHeight="105" wp14:anchorId="4C713012">
                      <wp:simplePos x="0" y="0"/>
                      <wp:positionH relativeFrom="column">
                        <wp:posOffset>0</wp:posOffset>
                      </wp:positionH>
                      <wp:positionV relativeFrom="paragraph">
                        <wp:posOffset>65405</wp:posOffset>
                      </wp:positionV>
                      <wp:extent cx="708660" cy="635"/>
                      <wp:effectExtent l="635" t="9525" r="635" b="9525"/>
                      <wp:wrapNone/>
                      <wp:docPr id="11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4C713012">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16" name="Imagen5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59" descr="Badge Tick1 con relleno sólido"/>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17" name="Imagen6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60" descr="Badge Tick1 con relleno sólido"/>
                          <pic:cNvPicPr>
                            <a:picLocks noChangeAspect="1" noChangeArrowheads="1"/>
                          </pic:cNvPicPr>
                        </pic:nvPicPr>
                        <pic:blipFill>
                          <a:blip r:embed="rId125">
                            <a:extLst>
                              <a:ext uri="{96DAC541-7B7A-43D3-8B79-37D633B846F1}">
                                <asvg:svgBlip xmlns:asvg="http://schemas.microsoft.com/office/drawing/2016/SVG/main" r:embed="rId126"/>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18" name="Imagen6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61" descr="Badge Tick1 con relleno sólido"/>
                          <pic:cNvPicPr>
                            <a:picLocks noChangeAspect="1" noChangeArrowheads="1"/>
                          </pic:cNvPicPr>
                        </pic:nvPicPr>
                        <pic:blipFill>
                          <a:blip r:embed="rId127">
                            <a:extLst>
                              <a:ext uri="{96DAC541-7B7A-43D3-8B79-37D633B846F1}">
                                <asvg:svgBlip xmlns:asvg="http://schemas.microsoft.com/office/drawing/2016/SVG/main" r:embed="rId12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val="es-MX" w:eastAsia="es-MX" w:bidi="ar-SA"/>
              </w:rPr>
            </w:pPr>
            <w:r>
              <w:rPr>
                <w:rFonts w:eastAsia="Calibri" w:cs="Calibri"/>
                <w:kern w:val="0"/>
                <w:sz w:val="22"/>
                <w:szCs w:val="22"/>
                <w:lang w:val="es-MX" w:eastAsia="es-MX" w:bidi="ar-SA"/>
              </w:rPr>
              <w:drawing>
                <wp:inline distT="0" distB="0" distL="0" distR="0">
                  <wp:extent cx="220980" cy="220980"/>
                  <wp:effectExtent l="0" t="0" r="0" b="0"/>
                  <wp:docPr id="119" name="Imagen6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62" descr="Badge Tick1 con relleno sólido"/>
                          <pic:cNvPicPr>
                            <a:picLocks noChangeAspect="1" noChangeArrowheads="1"/>
                          </pic:cNvPicPr>
                        </pic:nvPicPr>
                        <pic:blipFill>
                          <a:blip r:embed="rId129">
                            <a:extLst>
                              <a:ext uri="{96DAC541-7B7A-43D3-8B79-37D633B846F1}">
                                <asvg:svgBlip xmlns:asvg="http://schemas.microsoft.com/office/drawing/2016/SVG/main" r:embed="rId130"/>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80"/>
        <w:rPr/>
      </w:pPr>
      <w:r>
        <w:rPr/>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la característica de </w:t>
      </w:r>
      <w:r>
        <w:rPr>
          <w:rFonts w:ascii="Helvetica Neue Light" w:hAnsi="Helvetica Neue Light"/>
          <w:b/>
          <w:bCs/>
          <w:sz w:val="22"/>
          <w:szCs w:val="22"/>
        </w:rPr>
        <w:t xml:space="preserve">estatismo o droop del sistema </w:t>
      </w:r>
      <w:r>
        <w:rPr>
          <w:rFonts w:ascii="Helvetica Neue Light" w:hAnsi="Helvetica Neue Light"/>
          <w:sz w:val="22"/>
          <w:szCs w:val="22"/>
        </w:rPr>
        <w:t>de control de velocidad de la Unidad de Generación, confirmando que la variación de potencia activa sea consistente con el ajuste de regulación configurado.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donde se establece la verificación de la característica de regulación del sistema de control de velocidad.</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comprobar que la unidad no modifique su potencia activa ante variaciones de frecuencia dentro de la banda muerta configurada y que responda de forma proporcional cuando la frecuencia simulada salga de dicha banda.</w:t>
      </w:r>
    </w:p>
    <w:p>
      <w:pPr>
        <w:pStyle w:val="Normal"/>
        <w:spacing w:before="160" w:after="80"/>
        <w:rPr/>
      </w:pPr>
      <w:r>
        <w:rPr>
          <w:b/>
          <w:bCs/>
          <w:color w:val="312E81"/>
        </w:rPr>
        <w:t>Condiciones y desarrollo de la prueba</w:t>
      </w:r>
    </w:p>
    <w:p>
      <w:pPr>
        <w:pStyle w:val="ListParagraph"/>
        <w:numPr>
          <w:ilvl w:val="0"/>
          <w:numId w:val="16"/>
        </w:numPr>
        <w:rPr/>
      </w:pPr>
      <w:r>
        <w:rPr/>
        <w:t>Verificar que la unidad se encuentre sincronizada y operando en condición estable.</w:t>
      </w:r>
    </w:p>
    <w:p>
      <w:pPr>
        <w:pStyle w:val="ListParagraph"/>
        <w:numPr>
          <w:ilvl w:val="0"/>
          <w:numId w:val="16"/>
        </w:numPr>
        <w:rPr/>
      </w:pPr>
      <w:r>
        <w:rPr/>
        <w:t>Operar el generador aproximadamente al 80% de carga nominal, conforme a las condiciones operativas disponibles para la prueba.</w:t>
      </w:r>
    </w:p>
    <w:p>
      <w:pPr>
        <w:pStyle w:val="ListParagraph"/>
        <w:numPr>
          <w:ilvl w:val="0"/>
          <w:numId w:val="16"/>
        </w:numPr>
        <w:rPr/>
      </w:pPr>
      <w:r>
        <w:rPr/>
        <w:t>Confirmar que el modo de control de frecuencia se encuentre habilitado.</w:t>
      </w:r>
    </w:p>
    <w:p>
      <w:pPr>
        <w:pStyle w:val="ListParagraph"/>
        <w:numPr>
          <w:ilvl w:val="0"/>
          <w:numId w:val="16"/>
        </w:numPr>
        <w:rPr/>
      </w:pPr>
      <w:r>
        <w:rPr/>
        <w:t>Verificar que la banda muerta se encuentre configurada en ±30 mHz.</w:t>
      </w:r>
    </w:p>
    <w:p>
      <w:pPr>
        <w:pStyle w:val="ListParagraph"/>
        <w:numPr>
          <w:ilvl w:val="0"/>
          <w:numId w:val="16"/>
        </w:numPr>
        <w:rPr/>
      </w:pPr>
      <w:r>
        <w:rPr/>
        <w:t>Verificar que la característica de regulación del sistema de control de velocidad corresponda a un estatismo del 5%.</w:t>
      </w:r>
    </w:p>
    <w:p>
      <w:pPr>
        <w:pStyle w:val="ListParagraph"/>
        <w:numPr>
          <w:ilvl w:val="0"/>
          <w:numId w:val="16"/>
        </w:numPr>
        <w:rPr/>
      </w:pPr>
      <w:r>
        <w:rPr/>
        <w:t>Registrar la condición inicial de operación, incluyendo frecuencia, frecuencia simulada, potencia activa, velocidad del rotor y voltaje del generador.</w:t>
      </w:r>
    </w:p>
    <w:p>
      <w:pPr>
        <w:pStyle w:val="ListParagraph"/>
        <w:numPr>
          <w:ilvl w:val="0"/>
          <w:numId w:val="16"/>
        </w:numPr>
        <w:rPr/>
      </w:pPr>
      <w:r>
        <w:rPr/>
        <w:t>Inyectar escalones de frecuencia simulada dentro de la banda muerta.</w:t>
      </w:r>
    </w:p>
    <w:p>
      <w:pPr>
        <w:pStyle w:val="ListParagraph"/>
        <w:numPr>
          <w:ilvl w:val="0"/>
          <w:numId w:val="16"/>
        </w:numPr>
        <w:rPr/>
      </w:pPr>
      <w:r>
        <w:rPr/>
        <w:t>Verificar que los cambios de frecuencia dentro de la banda muerta no produzcan variaciones significativas en la potencia activa.</w:t>
      </w:r>
    </w:p>
    <w:p>
      <w:pPr>
        <w:pStyle w:val="ListParagraph"/>
        <w:numPr>
          <w:ilvl w:val="0"/>
          <w:numId w:val="16"/>
        </w:numPr>
        <w:rPr/>
      </w:pPr>
      <w:r>
        <w:rPr/>
        <w:t>Inyectar escalones de frecuencia simulada fuera de la banda muerta.</w:t>
      </w:r>
    </w:p>
    <w:p>
      <w:pPr>
        <w:pStyle w:val="ListParagraph"/>
        <w:numPr>
          <w:ilvl w:val="0"/>
          <w:numId w:val="16"/>
        </w:numPr>
        <w:rPr/>
      </w:pPr>
      <w:r>
        <w:rPr/>
        <w:t>Registrar la respuesta de la potencia activa ante las variaciones de frecuencia aplicadas.</w:t>
      </w:r>
    </w:p>
    <w:p>
      <w:pPr>
        <w:pStyle w:val="ListParagraph"/>
        <w:numPr>
          <w:ilvl w:val="0"/>
          <w:numId w:val="16"/>
        </w:numPr>
        <w:rPr/>
      </w:pPr>
      <w:r>
        <w:rPr/>
        <w:t>Confirmar que la respuesta de la unidad sea proporcional al ajuste de estatismo configurado, sin oscilaciones anormales, pérdida de control o actuación indebida de protecciones.</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Normal"/>
        <w:numPr>
          <w:ilvl w:val="0"/>
          <w:numId w:val="2"/>
        </w:numPr>
        <w:spacing w:lineRule="auto" w:line="480" w:beforeAutospacing="1" w:after="0"/>
        <w:jc w:val="left"/>
        <w:rPr>
          <w:rFonts w:eastAsia="Times New Roman" w:cs="Times New Roman"/>
          <w:sz w:val="20"/>
          <w:szCs w:val="20"/>
        </w:rPr>
      </w:pPr>
      <w:r>
        <w:rPr>
          <w:rFonts w:eastAsia="Times New Roman" w:cs="Times New Roman"/>
          <w:sz w:val="20"/>
          <w:szCs w:val="20"/>
        </w:rPr>
        <w:t>Velocidad del rotor</w:t>
      </w:r>
    </w:p>
    <w:p>
      <w:pPr>
        <w:pStyle w:val="Normal"/>
        <w:numPr>
          <w:ilvl w:val="0"/>
          <w:numId w:val="2"/>
        </w:numPr>
        <w:spacing w:lineRule="auto" w:line="480" w:before="0" w:after="0"/>
        <w:jc w:val="left"/>
        <w:rPr>
          <w:rFonts w:eastAsia="Times New Roman" w:cs="Times New Roman"/>
          <w:sz w:val="20"/>
          <w:szCs w:val="20"/>
        </w:rPr>
      </w:pPr>
      <w:r>
        <w:rPr>
          <w:rFonts w:eastAsia="Times New Roman" w:cs="Times New Roman"/>
          <w:sz w:val="20"/>
          <w:szCs w:val="20"/>
        </w:rPr>
        <w:t>Potencia activa (P)</w:t>
      </w:r>
    </w:p>
    <w:p>
      <w:pPr>
        <w:pStyle w:val="Normal"/>
        <w:numPr>
          <w:ilvl w:val="0"/>
          <w:numId w:val="2"/>
        </w:numPr>
        <w:spacing w:lineRule="auto" w:line="480" w:before="0" w:after="0"/>
        <w:jc w:val="left"/>
        <w:rPr>
          <w:rFonts w:eastAsia="Times New Roman" w:cs="Times New Roman"/>
          <w:sz w:val="20"/>
          <w:szCs w:val="20"/>
        </w:rPr>
      </w:pPr>
      <w:r>
        <w:rPr>
          <w:rFonts w:eastAsia="Times New Roman" w:cs="Times New Roman"/>
          <w:sz w:val="20"/>
          <w:szCs w:val="20"/>
        </w:rPr>
        <w:t>Frecuencia (f)</w:t>
      </w:r>
    </w:p>
    <w:p>
      <w:pPr>
        <w:pStyle w:val="Normal"/>
        <w:numPr>
          <w:ilvl w:val="0"/>
          <w:numId w:val="2"/>
        </w:numPr>
        <w:spacing w:lineRule="auto" w:line="480" w:before="0" w:after="0"/>
        <w:jc w:val="left"/>
        <w:rPr>
          <w:rFonts w:eastAsia="Times New Roman" w:cs="Times New Roman"/>
          <w:sz w:val="20"/>
          <w:szCs w:val="20"/>
        </w:rPr>
      </w:pPr>
      <w:r>
        <w:rPr>
          <w:rFonts w:eastAsia="Times New Roman" w:cs="Times New Roman"/>
          <w:sz w:val="20"/>
          <w:szCs w:val="20"/>
        </w:rPr>
        <w:t>Frecuencia simulada</w:t>
      </w:r>
    </w:p>
    <w:p>
      <w:pPr>
        <w:pStyle w:val="Normal"/>
        <w:numPr>
          <w:ilvl w:val="0"/>
          <w:numId w:val="2"/>
        </w:numPr>
        <w:spacing w:lineRule="auto" w:line="480" w:before="0" w:afterAutospacing="1"/>
        <w:jc w:val="left"/>
        <w:rPr>
          <w:rFonts w:eastAsia="Times New Roman" w:cs="Times New Roman"/>
          <w:sz w:val="20"/>
          <w:szCs w:val="20"/>
        </w:rPr>
      </w:pPr>
      <w:r>
        <w:rPr>
          <w:rFonts w:eastAsia="Times New Roman" w:cs="Times New Roman"/>
          <w:sz w:val="20"/>
          <w:szCs w:val="20"/>
        </w:rPr>
        <w:t xml:space="preserve">Voltaje del generador </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se verifica una característica de regulación correspondiente a:</w:t>
      </w:r>
    </w:p>
    <w:p>
      <w:pPr>
        <w:pStyle w:val="Normal"/>
        <w:spacing w:before="160" w:after="80"/>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droop</m:t>
              </m:r>
            </m:sub>
          </m:sSub>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m:oMathPara>
    </w:p>
    <w:p>
      <w:pPr>
        <w:pStyle w:val="Normal"/>
        <w:spacing w:before="160" w:after="80"/>
        <w:rPr/>
      </w:pPr>
      <w:r>
        <w:rPr/>
        <w:t>conforme a la tolerancia definida para la prueba.</w:t>
      </w:r>
    </w:p>
    <w:p>
      <w:pPr>
        <w:pStyle w:val="Normal"/>
        <w:spacing w:before="160" w:after="80"/>
        <w:rPr/>
      </w:pPr>
      <w:r>
        <w:rPr/>
        <w:t xml:space="preserve">Asimismo, la banda muerta de frecuencia deberá operar correctamente en: </w:t>
      </w:r>
      <w:r>
        <w:rPr/>
      </w:r>
      <m:oMath xmlns:m="http://schemas.openxmlformats.org/officeDocument/2006/math">
        <m:r>
          <w:rPr>
            <w:rFonts w:ascii="Cambria Math" w:hAnsi="Cambria Math"/>
          </w:rPr>
          <m:t xml:space="preserve">±</m:t>
        </m:r>
        <m:r>
          <w:rPr>
            <w:rFonts w:ascii="Cambria Math" w:hAnsi="Cambria Math"/>
          </w:rPr>
          <m:t xml:space="preserve">30</m:t>
        </m:r>
        <m:r>
          <w:rPr>
            <w:rFonts w:ascii="Cambria Math" w:hAnsi="Cambria Math"/>
          </w:rPr>
          <m:t xml:space="preserve">mHz</m:t>
        </m:r>
      </m:oMath>
      <w:r>
        <w:rPr/>
        <w:t xml:space="preserve"> de forma que las variaciones de frecuencia dentro de dicha banda no produzcan cambios significativos en la potencia activa, mientras que las variaciones fuera de la banda generen la respuesta correspondiente del control de velocidad.</w:t>
      </w:r>
    </w:p>
    <w:p>
      <w:pPr>
        <w:pStyle w:val="Normal"/>
        <w:spacing w:before="160" w:after="80"/>
        <w:rPr/>
      </w:pPr>
      <w:r>
        <w:rPr/>
      </w:r>
    </w:p>
    <w:p>
      <w:pPr>
        <w:pStyle w:val="Normal"/>
        <w:spacing w:before="160" w:after="80"/>
        <w:rPr/>
      </w:pPr>
      <w:r>
        <w:rPr>
          <w:b/>
          <w:bCs/>
          <w:color w:val="312E81"/>
        </w:rPr>
        <w:t>Resultados de la prueba</w:t>
      </w:r>
    </w:p>
    <w:p>
      <w:pPr>
        <w:pStyle w:val="Normal"/>
        <w:spacing w:before="0" w:after="120"/>
        <w:rPr/>
      </w:pPr>
      <w:r>
        <w:rPr/>
        <w:t>La evidencia de esta prueba corresponderá al registro de la frecuencia simulada, frecuencia real, potencia activa, velocidad del rotor y voltaje del generador durante los escalones aplicados dentro y fuera de la banda muerta.</w:t>
      </w:r>
    </w:p>
    <w:p>
      <w:pPr>
        <w:pStyle w:val="Normal"/>
        <w:spacing w:before="0" w:after="120"/>
        <w:rPr/>
      </w:pPr>
      <w:r>
        <w:rPr/>
      </w:r>
    </w:p>
    <w:p>
      <w:pPr>
        <w:pStyle w:val="Normal"/>
        <w:spacing w:before="0" w:after="120"/>
        <w:rPr/>
      </w:pPr>
      <w:r>
        <w:rPr/>
        <w:t>La información presentada permitirá verificar la actuación de la banda muerta de ±30 mHz y la respuesta de potencia activa asociada al 5% de estatismo, confirmando la correcta operación del modo de control de frecuencia.</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4233" w:hRule="atLeast"/>
        </w:trPr>
        <w:tc>
          <w:tcPr>
            <w:tcW w:w="9000" w:type="dxa"/>
            <w:tcBorders/>
            <w:shd w:color="auto" w:fill="D9D9D9" w:val="clear"/>
            <w:vAlign w:val="center"/>
          </w:tcPr>
          <w:p>
            <w:pPr>
              <w:pStyle w:val="Normal"/>
              <w:jc w:val="center"/>
              <w:rPr/>
            </w:pPr>
            <w:r>
              <w:rPr>
                <w:b/>
                <w:bCs/>
                <w:color w:val="404040"/>
              </w:rPr>
              <w:t>Gráfica: Estatismo — CNK Unidad 01</w:t>
            </w:r>
          </w:p>
          <w:p>
            <w:pPr>
              <w:pStyle w:val="Normal"/>
              <w:jc w:val="center"/>
              <w:rPr/>
            </w:pPr>
            <w:r>
              <w:rPr>
                <w:i/>
                <w:iCs/>
                <w:color w:val="808080"/>
                <w:sz w:val="18"/>
                <w:szCs w:val="18"/>
              </w:rPr>
              <w:t>[Espacio reservado para gráfica / captura]</w:t>
            </w:r>
          </w:p>
        </w:tc>
      </w:tr>
    </w:tbl>
    <w:p>
      <w:pPr>
        <w:pStyle w:val="Subtitle"/>
        <w:rPr/>
      </w:pPr>
      <w:r>
        <w:rPr/>
        <w:t xml:space="preserve">Figura 1.12 </w:t>
      </w:r>
      <w:r>
        <w:rPr>
          <w:b/>
          <w:bCs/>
          <w:color w:val="404040"/>
        </w:rPr>
        <w:t>Estatismo</w:t>
      </w:r>
    </w:p>
    <w:p>
      <w:pPr>
        <w:pStyle w:val="Normal"/>
        <w:rPr/>
      </w:pPr>
      <w:r>
        <w:rPr/>
      </w:r>
    </w:p>
    <w:p>
      <w:pPr>
        <w:pStyle w:val="Normal"/>
        <w:rPr/>
      </w:pPr>
      <w:r>
        <w:rPr/>
      </w:r>
    </w:p>
    <w:p>
      <w:pPr>
        <w:pStyle w:val="Normal"/>
        <w:rPr/>
      </w:pPr>
      <w:r>
        <w:rPr/>
      </w:r>
    </w:p>
    <w:p>
      <w:pPr>
        <w:pStyle w:val="Heading2"/>
        <w:rPr/>
      </w:pPr>
      <w:r>
        <w:rPr/>
        <w:t>4.18. Escalones de potencia</w:t>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la </w:t>
      </w:r>
      <w:r>
        <w:rPr>
          <w:rFonts w:ascii="Helvetica Neue Light" w:hAnsi="Helvetica Neue Light"/>
          <w:b/>
          <w:bCs/>
          <w:sz w:val="22"/>
          <w:szCs w:val="22"/>
        </w:rPr>
        <w:t>respuesta dinámica</w:t>
      </w:r>
      <w:r>
        <w:rPr>
          <w:rFonts w:ascii="Helvetica Neue Light" w:hAnsi="Helvetica Neue Light"/>
          <w:sz w:val="22"/>
          <w:szCs w:val="22"/>
        </w:rPr>
        <w:t xml:space="preserve"> de la Unidad de Generación ante cambios escalonados de potencia activa equivalentes al 10% de la potencia nominal (Pnom).</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donde se establece la prueba de Escalones de Potencia (10% de Pnom), considerando como parámetros de evaluación el sobrepaso (SP) y el tiempo de estabilización (Ts).</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comprobar que el sistema de control de carga de la unidad responda de forma estable ante incrementos y decrementos de potencia, sin oscilaciones anormales, pérdida de control o actuación indebida de protecciones.</w:t>
      </w:r>
    </w:p>
    <w:p>
      <w:pPr>
        <w:pStyle w:val="Normal"/>
        <w:spacing w:before="160" w:after="80"/>
        <w:rPr/>
      </w:pPr>
      <w:r>
        <w:rPr>
          <w:b/>
          <w:bCs/>
          <w:color w:val="312E81"/>
        </w:rPr>
        <w:t>Condiciones y desarrollo de la prueba</w:t>
      </w:r>
    </w:p>
    <w:p>
      <w:pPr>
        <w:pStyle w:val="ListParagraph"/>
        <w:numPr>
          <w:ilvl w:val="0"/>
          <w:numId w:val="21"/>
        </w:numPr>
        <w:rPr/>
      </w:pPr>
      <w:r>
        <w:rPr/>
        <w:t>Verificar que la unidad se encuentre sincronizada, en operación estable y con el sistema de control de carga habilitado.</w:t>
      </w:r>
    </w:p>
    <w:p>
      <w:pPr>
        <w:pStyle w:val="ListParagraph"/>
        <w:numPr>
          <w:ilvl w:val="0"/>
          <w:numId w:val="21"/>
        </w:numPr>
        <w:rPr/>
      </w:pPr>
      <w:r>
        <w:rPr/>
        <w:t>Registrar la condición inicial de operación, incluyendo potencia activa, frecuencia y consigna de potencia.</w:t>
      </w:r>
    </w:p>
    <w:p>
      <w:pPr>
        <w:pStyle w:val="ListParagraph"/>
        <w:numPr>
          <w:ilvl w:val="0"/>
          <w:numId w:val="21"/>
        </w:numPr>
        <w:rPr/>
      </w:pPr>
      <w:r>
        <w:rPr/>
        <w:t>Aplicar un escalón positivo de potencia activa equivalente al 10% de Pnom.</w:t>
      </w:r>
    </w:p>
    <w:p>
      <w:pPr>
        <w:pStyle w:val="ListParagraph"/>
        <w:numPr>
          <w:ilvl w:val="0"/>
          <w:numId w:val="21"/>
        </w:numPr>
        <w:rPr/>
      </w:pPr>
      <w:r>
        <w:rPr/>
        <w:t>Registrar la respuesta de la unidad hasta alcanzar una condición estable.</w:t>
      </w:r>
    </w:p>
    <w:p>
      <w:pPr>
        <w:pStyle w:val="ListParagraph"/>
        <w:numPr>
          <w:ilvl w:val="0"/>
          <w:numId w:val="21"/>
        </w:numPr>
        <w:rPr/>
      </w:pPr>
      <w:r>
        <w:rPr/>
        <w:t>Restablecer la condición de operación definida para la prueba, cuando aplique.</w:t>
      </w:r>
    </w:p>
    <w:p>
      <w:pPr>
        <w:pStyle w:val="ListParagraph"/>
        <w:numPr>
          <w:ilvl w:val="0"/>
          <w:numId w:val="21"/>
        </w:numPr>
        <w:rPr/>
      </w:pPr>
      <w:r>
        <w:rPr/>
        <w:t>Aplicar un escalón negativo de potencia activa equivalente al 10% de Pnom.</w:t>
      </w:r>
    </w:p>
    <w:p>
      <w:pPr>
        <w:pStyle w:val="ListParagraph"/>
        <w:numPr>
          <w:ilvl w:val="0"/>
          <w:numId w:val="21"/>
        </w:numPr>
        <w:rPr/>
      </w:pPr>
      <w:r>
        <w:rPr/>
        <w:t>Registrar nuevamente la respuesta de la unidad hasta alcanzar una condición estable.</w:t>
      </w:r>
    </w:p>
    <w:p>
      <w:pPr>
        <w:pStyle w:val="ListParagraph"/>
        <w:numPr>
          <w:ilvl w:val="0"/>
          <w:numId w:val="21"/>
        </w:numPr>
        <w:rPr/>
      </w:pPr>
      <w:r>
        <w:rPr/>
        <w:t>Determinar los parámetros de desempeño de la respuesta: sobrepaso (SP) y tiempo de estabilización (Ts).</w:t>
      </w:r>
    </w:p>
    <w:p>
      <w:pPr>
        <w:pStyle w:val="ListParagraph"/>
        <w:numPr>
          <w:ilvl w:val="0"/>
          <w:numId w:val="21"/>
        </w:numPr>
        <w:rPr/>
      </w:pPr>
      <w:r>
        <w:rPr/>
        <w:t>Verificar que la respuesta de potencia activa sea estable, sin oscilaciones anormales, pérdida de control del sistema de carga o actuación indebida de protecciones.</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Normal"/>
        <w:numPr>
          <w:ilvl w:val="0"/>
          <w:numId w:val="22"/>
        </w:numPr>
        <w:spacing w:beforeAutospacing="1" w:after="0"/>
        <w:jc w:val="left"/>
        <w:rPr>
          <w:rFonts w:eastAsia="Times New Roman" w:cs="Times New Roman"/>
        </w:rPr>
      </w:pPr>
      <w:r>
        <w:rPr>
          <w:rFonts w:eastAsia="Times New Roman" w:cs="Times New Roman"/>
        </w:rPr>
        <w:t>Potencia activa (P)</w:t>
      </w:r>
    </w:p>
    <w:p>
      <w:pPr>
        <w:pStyle w:val="Normal"/>
        <w:numPr>
          <w:ilvl w:val="0"/>
          <w:numId w:val="22"/>
        </w:numPr>
        <w:spacing w:before="0" w:after="0"/>
        <w:jc w:val="left"/>
        <w:rPr>
          <w:rFonts w:eastAsia="Times New Roman" w:cs="Times New Roman"/>
        </w:rPr>
      </w:pPr>
      <w:r>
        <w:rPr>
          <w:rFonts w:eastAsia="Times New Roman" w:cs="Times New Roman"/>
        </w:rPr>
        <w:t>Consigna de potencia</w:t>
      </w:r>
    </w:p>
    <w:p>
      <w:pPr>
        <w:pStyle w:val="Normal"/>
        <w:numPr>
          <w:ilvl w:val="0"/>
          <w:numId w:val="22"/>
        </w:numPr>
        <w:spacing w:before="0" w:after="0"/>
        <w:jc w:val="left"/>
        <w:rPr>
          <w:rFonts w:eastAsia="Times New Roman" w:cs="Times New Roman"/>
        </w:rPr>
      </w:pPr>
      <w:r>
        <w:rPr>
          <w:rFonts w:eastAsia="Times New Roman" w:cs="Times New Roman"/>
        </w:rPr>
        <w:t>Frecuencia (f)</w:t>
      </w:r>
    </w:p>
    <w:p>
      <w:pPr>
        <w:pStyle w:val="Normal"/>
        <w:numPr>
          <w:ilvl w:val="0"/>
          <w:numId w:val="22"/>
        </w:numPr>
        <w:spacing w:before="0" w:afterAutospacing="1"/>
        <w:jc w:val="left"/>
        <w:rPr>
          <w:rFonts w:eastAsia="Times New Roman" w:cs="Times New Roman"/>
        </w:rPr>
      </w:pPr>
      <w:r>
        <w:rPr>
          <w:rFonts w:eastAsia="Times New Roman" w:cs="Times New Roman"/>
        </w:rPr>
        <w:t>Velocidad del rotor, si está disponible</w:t>
      </w:r>
    </w:p>
    <w:p>
      <w:pPr>
        <w:sectPr>
          <w:type w:val="continuous"/>
          <w:pgSz w:w="12240" w:h="15840"/>
          <w:pgMar w:left="1440" w:right="1440" w:gutter="0" w:header="708" w:top="1434" w:footer="708" w:bottom="1440"/>
          <w:cols w:num="2"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se verifica una característica de regulación correspondiente a:</w:t>
      </w:r>
    </w:p>
    <w:p>
      <w:pPr>
        <w:pStyle w:val="Normal"/>
        <w:spacing w:before="160" w:after="80"/>
        <w:jc w:val="center"/>
        <w:rPr/>
      </w:pPr>
      <w:r>
        <w:rPr/>
      </w:r>
      <m:oMath xmlns:m="http://schemas.openxmlformats.org/officeDocument/2006/math">
        <m:r>
          <w:rPr>
            <w:rFonts w:ascii="Cambria Math" w:hAnsi="Cambria Math"/>
          </w:rPr>
          <m:t xml:space="preserve">SP</m:t>
        </m:r>
        <m:r>
          <w:rPr>
            <w:rFonts w:ascii="Cambria Math" w:hAnsi="Cambria Math"/>
          </w:rPr>
          <m:t xml:space="preserve">&lt;</m:t>
        </m:r>
        <m:r>
          <w:rPr>
            <w:rFonts w:ascii="Cambria Math" w:hAnsi="Cambria Math"/>
          </w:rPr>
          <m:t xml:space="preserve">30</m:t>
        </m:r>
        <m:r>
          <m:rPr>
            <m:lit/>
            <m:nor/>
          </m:rPr>
          <w:rPr>
            <w:rFonts w:ascii="Cambria Math" w:hAnsi="Cambria Math"/>
          </w:rPr>
          <m:t xml:space="preserve">%</m:t>
        </m:r>
      </m:oMath>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&lt;</m:t>
        </m:r>
        <m:r>
          <w:rPr>
            <w:rFonts w:ascii="Cambria Math" w:hAnsi="Cambria Math"/>
          </w:rPr>
          <m:t xml:space="preserve">60</m:t>
        </m:r>
        <m:r>
          <w:rPr>
            <w:rFonts w:ascii="Cambria Math" w:hAnsi="Cambria Math"/>
          </w:rPr>
          <m:t xml:space="preserve">s</m:t>
        </m:r>
      </m:oMath>
    </w:p>
    <w:p>
      <w:pPr>
        <w:pStyle w:val="Normal"/>
        <w:spacing w:before="160" w:after="80"/>
        <w:rPr/>
      </w:pPr>
      <w:r>
        <w:rPr/>
        <w:t>conforme a la tolerancia definida para la prueba.</w:t>
      </w:r>
    </w:p>
    <w:p>
      <w:pPr>
        <w:pStyle w:val="Normal"/>
        <w:spacing w:before="160" w:after="80"/>
        <w:rPr/>
      </w:pPr>
      <w:r>
        <w:rPr/>
        <w:t xml:space="preserve">Asimismo, la banda muerta de frecuencia deberá operar correctamente en: </w:t>
      </w:r>
      <w:r>
        <w:rPr/>
      </w:r>
      <m:oMath xmlns:m="http://schemas.openxmlformats.org/officeDocument/2006/math">
        <m:r>
          <w:rPr>
            <w:rFonts w:ascii="Cambria Math" w:hAnsi="Cambria Math"/>
          </w:rPr>
          <m:t xml:space="preserve">±</m:t>
        </m:r>
        <m:r>
          <w:rPr>
            <w:rFonts w:ascii="Cambria Math" w:hAnsi="Cambria Math"/>
          </w:rPr>
          <m:t xml:space="preserve">30</m:t>
        </m:r>
        <m:r>
          <w:rPr>
            <w:rFonts w:ascii="Cambria Math" w:hAnsi="Cambria Math"/>
          </w:rPr>
          <m:t xml:space="preserve">mHz</m:t>
        </m:r>
      </m:oMath>
      <w:r>
        <w:rPr/>
        <w:t xml:space="preserve"> de forma que las variaciones de frecuencia dentro de dicha banda no produzcan cambios significativos en la potencia activa, mientras que las variaciones fuera de la banda generen la respuesta correspondiente del control de velocidad.</w:t>
      </w:r>
    </w:p>
    <w:p>
      <w:pPr>
        <w:pStyle w:val="Normal"/>
        <w:spacing w:before="160" w:after="80"/>
        <w:rPr/>
      </w:pPr>
      <w:r>
        <w:rPr/>
      </w:r>
    </w:p>
    <w:p>
      <w:pPr>
        <w:pStyle w:val="Normal"/>
        <w:spacing w:before="160" w:after="80"/>
        <w:rPr/>
      </w:pPr>
      <w:r>
        <w:rPr>
          <w:b/>
          <w:bCs/>
          <w:color w:val="312E81"/>
        </w:rPr>
        <w:t>Resultados de la prueba</w:t>
      </w:r>
    </w:p>
    <w:p>
      <w:pPr>
        <w:pStyle w:val="Normal"/>
        <w:spacing w:before="0" w:after="120"/>
        <w:rPr/>
      </w:pPr>
      <w:r>
        <w:rPr/>
        <w:t>La evidencia de esta prueba corresponderá al registro de potencia activa, consigna de potencia y frecuencia durante los escalones aplicados de ±10% de Pnom.</w:t>
      </w:r>
    </w:p>
    <w:p>
      <w:pPr>
        <w:pStyle w:val="Normal"/>
        <w:spacing w:before="0" w:after="120"/>
        <w:rPr/>
      </w:pPr>
      <w:r>
        <w:rPr/>
      </w:r>
    </w:p>
    <w:p>
      <w:pPr>
        <w:pStyle w:val="Normal"/>
        <w:spacing w:before="0" w:after="120"/>
        <w:rPr/>
      </w:pPr>
      <w:r>
        <w:rPr/>
        <w:t>La información presentada permitirá determinar el sobrepaso (SP) y el tiempo de estabilización (Ts), así como verificar que la unidad mantiene una respuesta estable ante los cambios escalonados de potencia activa.</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4233" w:hRule="atLeast"/>
        </w:trPr>
        <w:tc>
          <w:tcPr>
            <w:tcW w:w="9000" w:type="dxa"/>
            <w:tcBorders/>
            <w:shd w:color="auto" w:fill="D9D9D9" w:val="clear"/>
            <w:vAlign w:val="center"/>
          </w:tcPr>
          <w:p>
            <w:pPr>
              <w:pStyle w:val="Normal"/>
              <w:jc w:val="center"/>
              <w:rPr/>
            </w:pPr>
            <w:r>
              <w:rPr>
                <w:b/>
                <w:bCs/>
                <w:color w:val="404040"/>
              </w:rPr>
              <w:t xml:space="preserve">Gráfica: Escalones de potencia — CNK </w:t>
            </w:r>
          </w:p>
          <w:p>
            <w:pPr>
              <w:pStyle w:val="Normal"/>
              <w:jc w:val="center"/>
              <w:rPr/>
            </w:pPr>
            <w:r>
              <w:rPr>
                <w:i/>
                <w:iCs/>
                <w:color w:val="808080"/>
                <w:sz w:val="18"/>
                <w:szCs w:val="18"/>
              </w:rPr>
              <w:t>[Espacio reservado para gráfica / captura]</w:t>
            </w:r>
          </w:p>
        </w:tc>
      </w:tr>
    </w:tbl>
    <w:p>
      <w:pPr>
        <w:pStyle w:val="Subtitle"/>
        <w:rPr/>
      </w:pPr>
      <w:r>
        <w:rPr/>
        <w:t>Figura 1.13 Escalones de potencia</w:t>
      </w:r>
    </w:p>
    <w:p>
      <w:pPr>
        <w:pStyle w:val="Normal"/>
        <w:rPr/>
      </w:pPr>
      <w:r>
        <w:rPr/>
      </w:r>
    </w:p>
    <w:p>
      <w:pPr>
        <w:pStyle w:val="Heading2"/>
        <w:rPr/>
      </w:pPr>
      <w:r>
        <w:rPr/>
        <w:t xml:space="preserve">4.19. Rechazo de Carga </w:t>
      </w:r>
    </w:p>
    <w:p>
      <w:pPr>
        <w:pStyle w:val="Normal"/>
        <w:spacing w:before="160" w:after="80"/>
        <w:rPr/>
      </w:pPr>
      <w:r>
        <w:rPr>
          <w:b/>
          <w:bCs/>
          <w:color w:val="312E81"/>
        </w:rPr>
        <w:t>Objetivo</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Esta prueba verifica la respuesta de la Unidad de Generación ante una condición de rechazo de carga, comprobando que el </w:t>
      </w:r>
      <w:r>
        <w:rPr>
          <w:rFonts w:ascii="Helvetica Neue Light" w:hAnsi="Helvetica Neue Light"/>
          <w:b/>
          <w:bCs/>
          <w:sz w:val="22"/>
          <w:szCs w:val="22"/>
        </w:rPr>
        <w:t>sistema de control de velocidad y excitación</w:t>
      </w:r>
      <w:r>
        <w:rPr>
          <w:rFonts w:ascii="Helvetica Neue Light" w:hAnsi="Helvetica Neue Light"/>
          <w:sz w:val="22"/>
          <w:szCs w:val="22"/>
        </w:rPr>
        <w:t xml:space="preserve"> mantenga a la unidad en una condición estable posterior a la pérdida súbita de carga.</w:t>
      </w:r>
    </w:p>
    <w:p>
      <w:pPr>
        <w:pStyle w:val="p1"/>
        <w:spacing w:lineRule="auto" w:line="360" w:before="280" w:after="280"/>
        <w:jc w:val="both"/>
        <w:rPr>
          <w:rFonts w:ascii="Helvetica Neue Light" w:hAnsi="Helvetica Neue Light"/>
          <w:b/>
          <w:bCs/>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unidad para </w:t>
      </w:r>
      <w:r>
        <w:rPr>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prueba de Rechazo de Carga, considerando como criterio que la unidad quede excitada, a velocidad nominal y con un </w:t>
      </w:r>
      <w:r>
        <w:rPr>
          <w:rFonts w:ascii="Helvetica Neue Light" w:hAnsi="Helvetica Neue Light"/>
          <w:b/>
          <w:bCs/>
          <w:sz w:val="22"/>
          <w:szCs w:val="22"/>
        </w:rPr>
        <w:t>tiempo de estabilización menor a 90 s.</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se enfoca en confirmar que, posterior al rechazo de carga, la unidad conserva condiciones operativas adecuadas, sin pérdida de excitación, sin sobrevelocidad sostenida, sin oscilaciones anormales y sin actuación indebida de protecciones.</w:t>
      </w:r>
    </w:p>
    <w:p>
      <w:pPr>
        <w:pStyle w:val="Normal"/>
        <w:spacing w:before="160" w:after="80"/>
        <w:rPr/>
      </w:pPr>
      <w:r>
        <w:rPr>
          <w:b/>
          <w:bCs/>
          <w:color w:val="312E81"/>
        </w:rPr>
        <w:t>Condiciones y desarrollo de la prueba</w:t>
      </w:r>
    </w:p>
    <w:p>
      <w:pPr>
        <w:pStyle w:val="ListParagraph"/>
        <w:numPr>
          <w:ilvl w:val="0"/>
          <w:numId w:val="23"/>
        </w:numPr>
        <w:jc w:val="both"/>
        <w:rPr/>
      </w:pPr>
      <w:r>
        <w:rPr/>
        <w:t>Verificar que la unidad se encuentre sincronizada, en operación estable y con carga conforme a la condición definida para la prueba.</w:t>
      </w:r>
    </w:p>
    <w:p>
      <w:pPr>
        <w:pStyle w:val="ListParagraph"/>
        <w:numPr>
          <w:ilvl w:val="0"/>
          <w:numId w:val="23"/>
        </w:numPr>
        <w:jc w:val="both"/>
        <w:rPr/>
      </w:pPr>
      <w:r>
        <w:rPr/>
        <w:t>Registrar la condición inicial de operación, incluyendo potencia activa, frecuencia, voltaje del generador y corriente de campo.</w:t>
      </w:r>
    </w:p>
    <w:p>
      <w:pPr>
        <w:pStyle w:val="ListParagraph"/>
        <w:numPr>
          <w:ilvl w:val="0"/>
          <w:numId w:val="23"/>
        </w:numPr>
        <w:jc w:val="both"/>
        <w:rPr/>
      </w:pPr>
      <w:r>
        <w:rPr/>
        <w:t>Ejecutar la maniobra de rechazo de carga conforme al procedimiento operativo establecido.</w:t>
      </w:r>
    </w:p>
    <w:p>
      <w:pPr>
        <w:pStyle w:val="ListParagraph"/>
        <w:numPr>
          <w:ilvl w:val="0"/>
          <w:numId w:val="23"/>
        </w:numPr>
        <w:jc w:val="both"/>
        <w:rPr/>
      </w:pPr>
      <w:r>
        <w:rPr/>
        <w:t>Registrar la respuesta transitoria de la unidad posterior a la pérdida súbita de carga.</w:t>
      </w:r>
    </w:p>
    <w:p>
      <w:pPr>
        <w:pStyle w:val="ListParagraph"/>
        <w:numPr>
          <w:ilvl w:val="0"/>
          <w:numId w:val="23"/>
        </w:numPr>
        <w:jc w:val="both"/>
        <w:rPr/>
      </w:pPr>
      <w:r>
        <w:rPr/>
        <w:t>Verificar la evolución de la frecuencia, velocidad del rotor, voltaje del generador y corriente de campo durante el evento.</w:t>
      </w:r>
    </w:p>
    <w:p>
      <w:pPr>
        <w:pStyle w:val="ListParagraph"/>
        <w:numPr>
          <w:ilvl w:val="0"/>
          <w:numId w:val="23"/>
        </w:numPr>
        <w:jc w:val="both"/>
        <w:rPr/>
      </w:pPr>
      <w:r>
        <w:rPr/>
        <w:t>Medir el tiempo requerido para que la unidad alcance una condición estable posterior al rechazo de carga.</w:t>
      </w:r>
    </w:p>
    <w:p>
      <w:pPr>
        <w:pStyle w:val="ListParagraph"/>
        <w:numPr>
          <w:ilvl w:val="0"/>
          <w:numId w:val="23"/>
        </w:numPr>
        <w:jc w:val="both"/>
        <w:rPr/>
      </w:pPr>
      <w:r>
        <w:rPr/>
        <w:t>Confirmar que la unidad permanezca excitada y alcance nuevamente una condición cercana a velocidad nominal.</w:t>
      </w:r>
    </w:p>
    <w:p>
      <w:pPr>
        <w:pStyle w:val="ListParagraph"/>
        <w:numPr>
          <w:ilvl w:val="0"/>
          <w:numId w:val="23"/>
        </w:numPr>
        <w:jc w:val="both"/>
        <w:rPr/>
      </w:pPr>
      <w:r>
        <w:rPr/>
        <w:t>Verificar que no se presenten oscilaciones anormales, pérdida de control del sistema de velocidad o excitación, ni actuación indebida de protecciones.</w:t>
      </w:r>
    </w:p>
    <w:p>
      <w:pPr>
        <w:pStyle w:val="Normal"/>
        <w:spacing w:before="160" w:after="80"/>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600" w:charSpace="36864"/>
        </w:sectPr>
      </w:pPr>
    </w:p>
    <w:p>
      <w:pPr>
        <w:pStyle w:val="Normal"/>
        <w:numPr>
          <w:ilvl w:val="0"/>
          <w:numId w:val="2"/>
        </w:numPr>
        <w:spacing w:lineRule="auto" w:line="480" w:beforeAutospacing="1" w:after="0"/>
        <w:jc w:val="left"/>
        <w:rPr>
          <w:rFonts w:eastAsia="Times New Roman" w:cs="Times New Roman"/>
        </w:rPr>
      </w:pPr>
      <w:r>
        <w:rPr>
          <w:rFonts w:eastAsia="Times New Roman" w:cs="Times New Roman"/>
        </w:rPr>
        <w:t>Potencia activa (P)</w:t>
      </w:r>
    </w:p>
    <w:p>
      <w:pPr>
        <w:pStyle w:val="Normal"/>
        <w:numPr>
          <w:ilvl w:val="0"/>
          <w:numId w:val="2"/>
        </w:numPr>
        <w:spacing w:lineRule="auto" w:line="480" w:before="0" w:after="0"/>
        <w:jc w:val="left"/>
        <w:rPr>
          <w:rFonts w:eastAsia="Times New Roman" w:cs="Times New Roman"/>
        </w:rPr>
      </w:pPr>
      <w:r>
        <w:rPr>
          <w:rFonts w:eastAsia="Times New Roman" w:cs="Times New Roman"/>
        </w:rPr>
        <w:t>Frecuencia (f)</w:t>
      </w:r>
    </w:p>
    <w:p>
      <w:pPr>
        <w:pStyle w:val="Normal"/>
        <w:numPr>
          <w:ilvl w:val="0"/>
          <w:numId w:val="2"/>
        </w:numPr>
        <w:spacing w:lineRule="auto" w:line="480" w:before="0" w:after="0"/>
        <w:jc w:val="left"/>
        <w:rPr>
          <w:rFonts w:eastAsia="Times New Roman" w:cs="Times New Roman"/>
        </w:rPr>
      </w:pPr>
      <w:r>
        <w:rPr>
          <w:rFonts w:eastAsia="Times New Roman" w:cs="Times New Roman"/>
        </w:rPr>
        <w:t>Velocidad del rotor</w:t>
      </w:r>
    </w:p>
    <w:p>
      <w:pPr>
        <w:pStyle w:val="Normal"/>
        <w:numPr>
          <w:ilvl w:val="0"/>
          <w:numId w:val="2"/>
        </w:numPr>
        <w:spacing w:lineRule="auto" w:line="480" w:before="0" w:after="0"/>
        <w:jc w:val="left"/>
        <w:rPr>
          <w:rFonts w:eastAsia="Times New Roman" w:cs="Times New Roman"/>
        </w:rPr>
      </w:pPr>
      <w:r>
        <w:rPr>
          <w:rFonts w:eastAsia="Times New Roman" w:cs="Times New Roman"/>
        </w:rPr>
        <w:t>Voltaje de generador (Vg)</w:t>
      </w:r>
    </w:p>
    <w:p>
      <w:pPr>
        <w:pStyle w:val="Normal"/>
        <w:numPr>
          <w:ilvl w:val="0"/>
          <w:numId w:val="2"/>
        </w:numPr>
        <w:spacing w:lineRule="auto" w:line="480" w:before="0" w:after="0"/>
        <w:jc w:val="left"/>
        <w:rPr>
          <w:rFonts w:eastAsia="Times New Roman" w:cs="Times New Roman"/>
        </w:rPr>
      </w:pPr>
      <w:r>
        <w:rPr>
          <w:rFonts w:eastAsia="Times New Roman" w:cs="Times New Roman"/>
        </w:rPr>
        <w:t>Corriente de campo (If)</w:t>
      </w:r>
    </w:p>
    <w:p>
      <w:pPr>
        <w:pStyle w:val="Normal"/>
        <w:numPr>
          <w:ilvl w:val="0"/>
          <w:numId w:val="2"/>
        </w:numPr>
        <w:spacing w:lineRule="auto" w:line="480" w:before="0" w:afterAutospacing="1"/>
        <w:jc w:val="left"/>
        <w:rPr>
          <w:rFonts w:eastAsia="Times New Roman" w:cs="Times New Roman"/>
        </w:rPr>
      </w:pPr>
      <w:r>
        <w:rPr>
          <w:rFonts w:eastAsia="Times New Roman" w:cs="Times New Roman"/>
        </w:rPr>
        <w:t>Estado del interruptor / señal de rechazo de carga</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600" w:charSpace="36864"/>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jc w:val="center"/>
        <w:rPr/>
      </w:pPr>
      <w:r>
        <w:rPr/>
        <w:t>La prueba se considera satisfactoria cuando, posterior al rechazo de carga, la unidad permanece excitada, alcanza condición de velocidad nominal y se estabiliza en un tiempo menor a:</w:t>
        <w:br/>
      </w:r>
      <w:r>
        <w:rPr/>
      </w:r>
      <m:oMath xmlns:m="http://schemas.openxmlformats.org/officeDocument/2006/math"/>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&lt;</m:t>
        </m:r>
        <m:r>
          <w:rPr>
            <w:rFonts w:ascii="Cambria Math" w:hAnsi="Cambria Math"/>
          </w:rPr>
          <m:t xml:space="preserve">90</m:t>
        </m:r>
        <m:r>
          <w:rPr>
            <w:rFonts w:ascii="Cambria Math" w:hAnsi="Cambria Math"/>
          </w:rPr>
          <m:t xml:space="preserve">s</m:t>
        </m:r>
      </m:oMath>
    </w:p>
    <w:p>
      <w:pPr>
        <w:pStyle w:val="Normal"/>
        <w:spacing w:before="160" w:after="80"/>
        <w:rPr/>
      </w:pPr>
      <w:r>
        <w:rPr/>
        <w:t>sin pérdida de control ni actuación indebida de protecciones.</w:t>
      </w:r>
    </w:p>
    <w:p>
      <w:pPr>
        <w:pStyle w:val="Normal"/>
        <w:spacing w:before="160" w:after="80"/>
        <w:rPr/>
      </w:pPr>
      <w:r>
        <w:rPr/>
      </w:r>
    </w:p>
    <w:p>
      <w:pPr>
        <w:pStyle w:val="Normal"/>
        <w:spacing w:before="160" w:after="80"/>
        <w:rPr/>
      </w:pPr>
      <w:r>
        <w:rPr>
          <w:b/>
          <w:bCs/>
          <w:color w:val="312E81"/>
        </w:rPr>
        <w:t>Resultados de la prueba</w:t>
      </w:r>
    </w:p>
    <w:p>
      <w:pPr>
        <w:pStyle w:val="Normal"/>
        <w:spacing w:before="0" w:after="120"/>
        <w:rPr/>
      </w:pPr>
      <w:r>
        <w:rPr/>
        <w:t>La evidencia de esta prueba corresponderá al registro de potencia activa, frecuencia, velocidad del rotor, voltaje del generador, corriente de campo y estado del interruptor durante el evento de rechazo de carga.</w:t>
      </w:r>
    </w:p>
    <w:p>
      <w:pPr>
        <w:pStyle w:val="Normal"/>
        <w:spacing w:before="0" w:after="120"/>
        <w:rPr/>
      </w:pPr>
      <w:r>
        <w:rPr/>
      </w:r>
    </w:p>
    <w:p>
      <w:pPr>
        <w:pStyle w:val="Normal"/>
        <w:spacing w:before="0" w:after="120"/>
        <w:rPr/>
      </w:pPr>
      <w:r>
        <w:rPr/>
        <w:t>La información presentada permitirá verificar la respuesta transitoria de la unidad, el tiempo de estabilización posterior al evento y la permanencia de la unidad excitada y a velocidad nominal.</w:t>
      </w:r>
    </w:p>
    <w:p>
      <w:pPr>
        <w:pStyle w:val="Normal"/>
        <w:spacing w:before="0" w:after="80"/>
        <w:rPr/>
      </w:pPr>
      <w:r>
        <w:rPr/>
      </w:r>
    </w:p>
    <w:tbl>
      <w:tblPr>
        <w:tblW w:w="9000" w:type="dxa"/>
        <w:jc w:val="left"/>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4233" w:hRule="atLeast"/>
        </w:trPr>
        <w:tc>
          <w:tcPr>
            <w:tcW w:w="9000" w:type="dxa"/>
            <w:tcBorders/>
            <w:shd w:color="auto" w:fill="D9D9D9" w:val="clear"/>
            <w:vAlign w:val="center"/>
          </w:tcPr>
          <w:p>
            <w:pPr>
              <w:pStyle w:val="Normal"/>
              <w:jc w:val="center"/>
              <w:rPr/>
            </w:pPr>
            <w:r>
              <w:rPr>
                <w:b/>
                <w:bCs/>
                <w:color w:val="404040"/>
              </w:rPr>
              <w:t xml:space="preserve">Gráfica: Rechazo de carga — CNK </w:t>
            </w:r>
          </w:p>
          <w:p>
            <w:pPr>
              <w:pStyle w:val="Normal"/>
              <w:jc w:val="center"/>
              <w:rPr/>
            </w:pPr>
            <w:r>
              <w:rPr>
                <w:i/>
                <w:iCs/>
                <w:color w:val="808080"/>
                <w:sz w:val="18"/>
                <w:szCs w:val="18"/>
              </w:rPr>
              <w:t>[Espacio reservado para gráfica / captura]</w:t>
            </w:r>
          </w:p>
        </w:tc>
      </w:tr>
    </w:tbl>
    <w:p>
      <w:pPr>
        <w:pStyle w:val="Subtitle"/>
        <w:rPr/>
      </w:pPr>
      <w:r>
        <w:rPr/>
        <w:t>Figura 1.14 Rechazo de carga</w:t>
      </w:r>
    </w:p>
    <w:p>
      <w:pPr>
        <w:pStyle w:val="Normal"/>
        <w:rPr/>
      </w:pPr>
      <w:r>
        <w:rPr/>
      </w:r>
    </w:p>
    <w:p>
      <w:pPr>
        <w:pStyle w:val="Heading1"/>
        <w:rPr/>
      </w:pPr>
      <w:bookmarkStart w:id="26" w:name="_Toc229922558"/>
      <w:r>
        <w:rPr/>
        <w:t>5. Datos de pruebas</w:t>
      </w:r>
      <w:bookmarkEnd w:id="26"/>
    </w:p>
    <w:p>
      <w:pPr>
        <w:pStyle w:val="Normal"/>
        <w:spacing w:before="0" w:after="120"/>
        <w:rPr/>
      </w:pPr>
      <w:r>
        <w:rPr/>
        <w:t>Las mediciones de las pruebas se pueden encontrar en el folder compartido entregado de forma electrónica.</w:t>
      </w:r>
    </w:p>
    <w:p>
      <w:pPr>
        <w:pStyle w:val="Normal"/>
        <w:spacing w:before="0" w:after="120"/>
        <w:rPr/>
      </w:pPr>
      <w:r>
        <w:rPr/>
      </w:r>
    </w:p>
    <w:p>
      <w:pPr>
        <w:pStyle w:val="Heading1"/>
        <w:rPr/>
      </w:pPr>
      <w:bookmarkStart w:id="27" w:name="_Toc229922559"/>
      <w:r>
        <w:rPr/>
        <w:t>6. Certificados de Calibración de Equipos de Medición</w:t>
      </w:r>
      <w:bookmarkEnd w:id="27"/>
    </w:p>
    <w:p>
      <w:pPr>
        <w:pStyle w:val="Normal"/>
        <w:spacing w:before="0" w:after="120"/>
        <w:rPr/>
      </w:pPr>
      <w:r>
        <w:rPr/>
        <w:t>Los equipos de medición utilizados para las pruebas por Unidad son los siguientes; en cada nombre listado se entregara el certificado de calibración:</w:t>
      </w:r>
    </w:p>
    <w:p>
      <w:pPr>
        <w:pStyle w:val="ListParagraph"/>
        <w:numPr>
          <w:ilvl w:val="0"/>
          <w:numId w:val="17"/>
        </w:numPr>
        <w:spacing w:lineRule="auto" w:line="240"/>
        <w:rPr/>
      </w:pPr>
      <w:r>
        <w:rPr/>
        <w:t>HIOKI MR8847A-100</w:t>
      </w:r>
    </w:p>
    <w:p>
      <w:pPr>
        <w:pStyle w:val="ListParagraph"/>
        <w:numPr>
          <w:ilvl w:val="0"/>
          <w:numId w:val="17"/>
        </w:numPr>
        <w:spacing w:lineRule="auto" w:line="240"/>
        <w:rPr/>
      </w:pPr>
      <w:r>
        <w:rPr/>
        <w:t>HIOKI PW3390-114</w:t>
      </w:r>
    </w:p>
    <w:p>
      <w:pPr>
        <w:pStyle w:val="Normal"/>
        <w:spacing w:before="0" w:after="120"/>
        <w:rPr/>
      </w:pPr>
      <w:r>
        <w:rPr/>
      </w:r>
    </w:p>
    <w:p>
      <w:pPr>
        <w:pStyle w:val="Heading1"/>
        <w:rPr/>
      </w:pPr>
      <w:bookmarkStart w:id="28" w:name="_Toc229922560"/>
      <w:r>
        <w:rPr/>
        <w:t>7. Referencias</w:t>
      </w:r>
      <w:bookmarkEnd w:id="28"/>
    </w:p>
    <w:p>
      <w:pPr>
        <w:pStyle w:val="ListParagraph"/>
        <w:numPr>
          <w:ilvl w:val="0"/>
          <w:numId w:val="3"/>
        </w:numPr>
        <w:ind w:hanging="360" w:left="709"/>
        <w:rPr/>
      </w:pPr>
      <w:r>
        <w:rPr/>
        <w:t>Código de Red, Resolución RES/550/2021 de la Comisión Reguladora de Energía. https://dof.gob.mx/2021/CRE/CRE_311221.pdf</w:t>
      </w:r>
    </w:p>
    <w:p>
      <w:pPr>
        <w:pStyle w:val="ListParagraph"/>
        <w:numPr>
          <w:ilvl w:val="0"/>
          <w:numId w:val="3"/>
        </w:numPr>
        <w:ind w:hanging="360" w:left="709"/>
        <w:rPr/>
      </w:pPr>
      <w:r>
        <w:rPr/>
        <w:t>Manual para la Interconexión de Centrales Eléctricas y Conexión de Centros de Carga. https://www.diputados.gob.mx/LeyesBiblio/regla/n565.pdf</w:t>
      </w:r>
    </w:p>
    <w:p>
      <w:pPr>
        <w:pStyle w:val="ListParagraph"/>
        <w:numPr>
          <w:ilvl w:val="0"/>
          <w:numId w:val="3"/>
        </w:numPr>
        <w:ind w:hanging="360" w:left="709"/>
        <w:rPr/>
      </w:pPr>
      <w:r>
        <w:rPr/>
        <w:t>Procedimiento de operación para la declaración de entrada en operación comercial de centrales eléctricas y centros de carga. Resolución 02/2019.</w:t>
      </w:r>
    </w:p>
    <w:p>
      <w:pPr>
        <w:pStyle w:val="ListParagraph"/>
        <w:numPr>
          <w:ilvl w:val="0"/>
          <w:numId w:val="3"/>
        </w:numPr>
        <w:spacing w:before="0" w:after="120"/>
        <w:ind w:hanging="360" w:left="709"/>
        <w:rPr/>
      </w:pPr>
      <w:r>
        <w:rPr/>
        <w:t>Norma Mexicana NMX-J-501-ANCE.</w:t>
      </w:r>
    </w:p>
    <w:sectPr>
      <w:type w:val="continuous"/>
      <w:pgSz w:w="12240" w:h="15840"/>
      <w:pgMar w:left="1440" w:right="1440" w:gutter="0" w:header="708" w:top="1434" w:footer="708" w:bottom="1440"/>
      <w:formProt w:val="false"/>
      <w:titlePg/>
      <w:textDirection w:val="lrTb"/>
      <w:docGrid w:type="default" w:linePitch="600" w:charSpace="36864"/>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daniel martinez perez" w:date="2026-07-03T21:21:00Z" w:initials="dm">
    <w:p>
      <w:pPr>
        <w:overflowPunct w:val="false"/>
        <w:spacing w:lineRule="auto" w:line="240"/>
        <w:jc w:val="left"/>
        <w:rPr/>
      </w:pPr>
      <w:r>
        <w:annotationRef/>
      </w:r>
      <w:r>
        <w:rPr>
          <w:rFonts w:eastAsia="Segoe UI" w:ascii="Liberation Serif" w:hAnsi="Liberation Serif" w:cs="Tahoma"/>
          <w:sz w:val="24"/>
          <w:szCs w:val="24"/>
          <w:lang w:eastAsia="en-US" w:val="en-US" w:bidi="en-US"/>
        </w:rPr>
        <w:t>Toda esta Tabla no corresponde a las pruebas por Unidad</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Helvetica Neue Light">
    <w:charset w:val="00"/>
    <w:family w:val="swiss"/>
    <w:pitch w:val="variable"/>
  </w:font>
  <w:font w:name="Montserrat Medium">
    <w:charset w:val="00"/>
    <w:family w:val="swiss"/>
    <w:pitch w:val="variable"/>
  </w:font>
  <w:font w:name="Montserrat Light">
    <w:charset w:val="00"/>
    <w:family w:val="swiss"/>
    <w:pitch w:val="variable"/>
  </w:font>
  <w:font w:name="Liberation Sans">
    <w:altName w:val="Arial"/>
    <w:charset w:val="00"/>
    <w:family w:val="swiss"/>
    <w:pitch w:val="variable"/>
  </w:font>
  <w:font w:name="Aptos Display">
    <w:charset w:val="00"/>
    <w:family w:val="swiss"/>
    <w:pitch w:val="variable"/>
  </w:font>
  <w:font w:name="Aptos">
    <w:charset w:val="00"/>
    <w:family w:val="swiss"/>
    <w:pitch w:val="variable"/>
  </w:font>
  <w:font w:name="Montserrat">
    <w:charset w:val="00"/>
    <w:family w:val="swiss"/>
    <w:pitch w:val="variable"/>
  </w:font>
  <w:font w:name="Helvetica Neue">
    <w:charset w:val="00"/>
    <w:family w:val="swiss"/>
    <w:pitch w:val="variable"/>
  </w:font>
  <w:font w:name="Helvetica Neue Thin">
    <w:charset w:val="00"/>
    <w:family w:val="swiss"/>
    <w:pitch w:val="variable"/>
  </w:font>
  <w:font w:name="Helvetica Neue">
    <w:charset w:val="00"/>
    <w:family w:val="auto"/>
    <w:pitch w:val="default"/>
  </w:font>
  <w:font w:name="Calibri Light">
    <w:charset w:val="01"/>
    <w:family w:val="swiss"/>
    <w:pitch w:val="variable"/>
  </w:font>
  <w:font w:name="Cambria Math">
    <w:charset w:val="00"/>
    <w:family w:val="roman"/>
    <w:pitch w:val="variable"/>
  </w:font>
  <w:font w:name="Helvetica Neue Light">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312E81"/>
      </w:pBdr>
      <w:tabs>
        <w:tab w:val="clear" w:pos="708"/>
        <w:tab w:val="right" w:pos="9026" w:leader="none"/>
      </w:tabs>
      <w:rPr>
        <w:color w:val="808080"/>
        <w:sz w:val="16"/>
        <w:szCs w:val="16"/>
      </w:rPr>
    </w:pPr>
    <w:r>
      <w:rPr>
        <w:color w:val="808080"/>
        <w:sz w:val="16"/>
        <w:szCs w:val="16"/>
      </w:rPr>
      <w:t>Reporte Pruebas por Unidad rev1.0</w:t>
    </w:r>
    <w:r>
      <w:rPr/>
      <w:tab/>
    </w:r>
    <w:r>
      <w:rPr>
        <w:color w:val="808080"/>
        <w:sz w:val="16"/>
        <w:szCs w:val="16"/>
      </w:rPr>
      <w:t xml:space="preserve">Página </w:t>
    </w:r>
    <w:r>
      <w:rPr>
        <w:color w:val="808080"/>
        <w:sz w:val="16"/>
        <w:szCs w:val="16"/>
      </w:rPr>
      <w:fldChar w:fldCharType="begin"/>
    </w:r>
    <w:r>
      <w:rPr>
        <w:sz w:val="16"/>
        <w:szCs w:val="16"/>
        <w:color w:val="808080"/>
      </w:rPr>
      <w:instrText xml:space="preserve"> PAGE </w:instrText>
    </w:r>
    <w:r>
      <w:rPr>
        <w:sz w:val="16"/>
        <w:szCs w:val="16"/>
        <w:color w:val="808080"/>
      </w:rPr>
      <w:fldChar w:fldCharType="separate"/>
    </w:r>
    <w:r>
      <w:rPr>
        <w:sz w:val="16"/>
        <w:szCs w:val="16"/>
        <w:color w:val="808080"/>
      </w:rPr>
      <w:t>56</w:t>
    </w:r>
    <w:r>
      <w:rPr>
        <w:sz w:val="16"/>
        <w:szCs w:val="16"/>
        <w:color w:val="808080"/>
      </w:rPr>
      <w:fldChar w:fldCharType="end"/>
    </w:r>
    <w:r>
      <w:rPr>
        <w:color w:val="808080"/>
        <w:sz w:val="16"/>
        <w:szCs w:val="16"/>
      </w:rPr>
      <w:t xml:space="preserve"> de </w:t>
    </w:r>
    <w:r>
      <w:rPr>
        <w:color w:val="808080"/>
        <w:sz w:val="16"/>
        <w:szCs w:val="16"/>
      </w:rPr>
      <w:fldChar w:fldCharType="begin"/>
    </w:r>
    <w:r>
      <w:rPr>
        <w:sz w:val="16"/>
        <w:szCs w:val="16"/>
        <w:color w:val="808080"/>
      </w:rPr>
      <w:instrText xml:space="preserve"> NUMPAGES </w:instrText>
    </w:r>
    <w:r>
      <w:rPr>
        <w:sz w:val="16"/>
        <w:szCs w:val="16"/>
        <w:color w:val="808080"/>
      </w:rPr>
      <w:fldChar w:fldCharType="separate"/>
    </w:r>
    <w:r>
      <w:rPr>
        <w:sz w:val="16"/>
        <w:szCs w:val="16"/>
        <w:color w:val="808080"/>
      </w:rPr>
      <w:t>56</w:t>
    </w:r>
    <w:r>
      <w:rPr>
        <w:sz w:val="16"/>
        <w:szCs w:val="16"/>
        <w:color w:val="80808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12" w:space="4" w:color="312E81"/>
      </w:pBdr>
      <w:tabs>
        <w:tab w:val="clear" w:pos="708"/>
        <w:tab w:val="right" w:pos="9026" w:leader="none"/>
      </w:tabs>
      <w:rPr>
        <w:color w:val="404040"/>
        <w:sz w:val="16"/>
        <w:szCs w:val="16"/>
      </w:rPr>
    </w:pPr>
    <w:r>
      <w:rPr>
        <w:color w:val="404040"/>
        <w:sz w:val="16"/>
        <w:szCs w:val="16"/>
      </w:rPr>
      <w:t>REPORTE DE PRUEBAS DE CÓDIGO DE RED POR UNIDAD</w:t>
    </w:r>
    <w:r>
      <w:rPr/>
      <w:tab/>
    </w:r>
    <w:r>
      <w:rPr>
        <w:color w:val="312E81"/>
        <w:sz w:val="16"/>
        <w:szCs w:val="16"/>
      </w:rPr>
      <w:t>CNK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1440" w:hanging="360"/>
      </w:pPr>
      <w:rPr>
        <w:rFonts w:ascii="Symbol" w:hAnsi="Symbol" w:cs="Symbol" w:hint="default"/>
        <w:sz w:val="20"/>
        <w:i w:val="false"/>
        <w:b/>
        <w:color w:val="312E81"/>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bullet"/>
      <w:lvlText w:val=""/>
      <w:lvlJc w:val="left"/>
      <w:pPr>
        <w:tabs>
          <w:tab w:val="num" w:pos="0"/>
        </w:tabs>
        <w:ind w:left="720" w:hanging="360"/>
      </w:pPr>
      <w:rPr>
        <w:rFonts w:ascii="Symbol" w:hAnsi="Symbol" w:cs="Symbol" w:hint="default"/>
        <w:color w:val="312E81"/>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bullet"/>
      <w:lvlText w:val=""/>
      <w:lvlJc w:val="left"/>
      <w:pPr>
        <w:tabs>
          <w:tab w:val="num" w:pos="0"/>
        </w:tabs>
        <w:ind w:left="720" w:hanging="360"/>
      </w:pPr>
      <w:rPr>
        <w:rFonts w:ascii="Symbol" w:hAnsi="Symbol" w:cs="Symbol" w:hint="default"/>
        <w:sz w:val="20"/>
        <w:i w:val="false"/>
        <w:b/>
        <w:color w:val="312E81"/>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7014"/>
    <w:pPr>
      <w:widowControl/>
      <w:bidi w:val="0"/>
      <w:spacing w:lineRule="auto" w:line="360" w:before="0" w:after="0"/>
      <w:jc w:val="both"/>
    </w:pPr>
    <w:rPr>
      <w:rFonts w:ascii="Helvetica Neue Light" w:hAnsi="Helvetica Neue Light" w:eastAsia="Calibri" w:cs="Calibri"/>
      <w:color w:val="auto"/>
      <w:kern w:val="0"/>
      <w:sz w:val="22"/>
      <w:szCs w:val="22"/>
      <w:lang w:val="es-MX" w:eastAsia="es-MX" w:bidi="ar-SA"/>
    </w:rPr>
  </w:style>
  <w:style w:type="paragraph" w:styleId="Heading1">
    <w:name w:val="heading 1"/>
    <w:basedOn w:val="Title"/>
    <w:next w:val="Normal"/>
    <w:uiPriority w:val="9"/>
    <w:qFormat/>
    <w:rsid w:val="003541d3"/>
    <w:pPr>
      <w:pBdr>
        <w:bottom w:val="single" w:sz="12" w:space="4" w:color="312E81"/>
      </w:pBdr>
      <w:spacing w:lineRule="auto" w:line="360" w:before="360" w:after="200"/>
      <w:outlineLvl w:val="0"/>
    </w:pPr>
    <w:rPr>
      <w:rFonts w:ascii="Montserrat Medium" w:hAnsi="Montserrat Medium"/>
      <w:color w:val="312E81"/>
      <w:sz w:val="24"/>
      <w:szCs w:val="28"/>
    </w:rPr>
  </w:style>
  <w:style w:type="paragraph" w:styleId="Heading2">
    <w:name w:val="heading 2"/>
    <w:uiPriority w:val="9"/>
    <w:unhideWhenUsed/>
    <w:qFormat/>
    <w:rsid w:val="002b0820"/>
    <w:pPr>
      <w:widowControl/>
      <w:bidi w:val="0"/>
      <w:spacing w:lineRule="auto" w:line="360" w:before="280" w:after="160"/>
      <w:jc w:val="left"/>
      <w:outlineLvl w:val="1"/>
    </w:pPr>
    <w:rPr>
      <w:rFonts w:ascii="Montserrat Light" w:hAnsi="Montserrat Light" w:eastAsia="Calibri" w:cs="Calibri"/>
      <w:b/>
      <w:bCs/>
      <w:color w:val="312E81"/>
      <w:kern w:val="0"/>
      <w:sz w:val="24"/>
      <w:szCs w:val="24"/>
      <w:lang w:val="es-MX" w:eastAsia="es-MX" w:bidi="ar-SA"/>
    </w:rPr>
  </w:style>
  <w:style w:type="paragraph" w:styleId="Heading3">
    <w:name w:val="heading 3"/>
    <w:uiPriority w:val="9"/>
    <w:unhideWhenUsed/>
    <w:qFormat/>
    <w:pPr>
      <w:widowControl/>
      <w:bidi w:val="0"/>
      <w:spacing w:before="0" w:after="0"/>
      <w:jc w:val="left"/>
      <w:outlineLvl w:val="2"/>
    </w:pPr>
    <w:rPr>
      <w:rFonts w:ascii="Calibri" w:hAnsi="Calibri" w:eastAsia="Calibri" w:cs="Calibri"/>
      <w:color w:val="1F4D78"/>
      <w:kern w:val="0"/>
      <w:sz w:val="24"/>
      <w:szCs w:val="24"/>
      <w:lang w:val="es-MX" w:eastAsia="es-MX"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2"/>
      <w:szCs w:val="22"/>
      <w:lang w:val="es-MX" w:eastAsia="es-MX"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2"/>
      <w:szCs w:val="22"/>
      <w:lang w:val="es-MX" w:eastAsia="es-MX"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2"/>
      <w:szCs w:val="22"/>
      <w:lang w:val="es-MX" w:eastAsia="es-MX"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character" w:styleId="EncabezadoCar" w:customStyle="1">
    <w:name w:val="Encabezado Car"/>
    <w:basedOn w:val="DefaultParagraphFont"/>
    <w:uiPriority w:val="99"/>
    <w:qFormat/>
    <w:rsid w:val="00967416"/>
    <w:rPr/>
  </w:style>
  <w:style w:type="character" w:styleId="PiedepginaCar" w:customStyle="1">
    <w:name w:val="Pie de página Car"/>
    <w:basedOn w:val="DefaultParagraphFont"/>
    <w:uiPriority w:val="99"/>
    <w:qFormat/>
    <w:rsid w:val="00967416"/>
    <w:rPr/>
  </w:style>
  <w:style w:type="character" w:styleId="SubttuloCar" w:customStyle="1">
    <w:name w:val="Subtítulo Car"/>
    <w:basedOn w:val="DefaultParagraphFont"/>
    <w:uiPriority w:val="11"/>
    <w:qFormat/>
    <w:rsid w:val="00532a0c"/>
    <w:rPr>
      <w:rFonts w:ascii="Helvetica Neue Light" w:hAnsi="Helvetica Neue Light"/>
      <w:sz w:val="20"/>
      <w:szCs w:val="20"/>
    </w:rPr>
  </w:style>
  <w:style w:type="character" w:styleId="SubtleEmphasis">
    <w:name w:val="Subtle Emphasis"/>
    <w:uiPriority w:val="19"/>
    <w:qFormat/>
    <w:rsid w:val="005e525a"/>
    <w:rPr>
      <w:rFonts w:ascii="Helvetica Neue Light" w:hAnsi="Helvetica Neue Light"/>
      <w:color w:val="404040"/>
      <w:sz w:val="16"/>
      <w:szCs w:val="16"/>
    </w:rPr>
  </w:style>
  <w:style w:type="character" w:styleId="s1" w:customStyle="1">
    <w:name w:val="s1"/>
    <w:basedOn w:val="DefaultParagraphFont"/>
    <w:qFormat/>
    <w:rsid w:val="005e0c88"/>
    <w:rPr/>
  </w:style>
  <w:style w:type="character" w:styleId="apple-converted-space" w:customStyle="1">
    <w:name w:val="apple-converted-space"/>
    <w:basedOn w:val="DefaultParagraphFont"/>
    <w:qFormat/>
    <w:rsid w:val="005e0c88"/>
    <w:rPr/>
  </w:style>
  <w:style w:type="character" w:styleId="s2" w:customStyle="1">
    <w:name w:val="s2"/>
    <w:basedOn w:val="DefaultParagraphFont"/>
    <w:qFormat/>
    <w:rsid w:val="005e0c88"/>
    <w:rPr/>
  </w:style>
  <w:style w:type="character" w:styleId="PlaceholderText">
    <w:name w:val="Placeholder Text"/>
    <w:basedOn w:val="DefaultParagraphFont"/>
    <w:uiPriority w:val="99"/>
    <w:semiHidden/>
    <w:qFormat/>
    <w:rsid w:val="00f82da7"/>
    <w:rPr>
      <w:color w:val="666666"/>
    </w:rPr>
  </w:style>
  <w:style w:type="character" w:styleId="CommentReference">
    <w:name w:val="annotation reference"/>
    <w:basedOn w:val="DefaultParagraphFont"/>
    <w:uiPriority w:val="99"/>
    <w:semiHidden/>
    <w:unhideWhenUsed/>
    <w:qFormat/>
    <w:rsid w:val="00171f43"/>
    <w:rPr>
      <w:sz w:val="16"/>
      <w:szCs w:val="16"/>
    </w:rPr>
  </w:style>
  <w:style w:type="character" w:styleId="TextocomentarioCar" w:customStyle="1">
    <w:name w:val="Texto comentario Car"/>
    <w:basedOn w:val="DefaultParagraphFont"/>
    <w:uiPriority w:val="99"/>
    <w:qFormat/>
    <w:rsid w:val="00171f43"/>
    <w:rPr>
      <w:rFonts w:ascii="Helvetica Neue Light" w:hAnsi="Helvetica Neue Light"/>
      <w:sz w:val="20"/>
      <w:szCs w:val="20"/>
    </w:rPr>
  </w:style>
  <w:style w:type="character" w:styleId="AsuntodelcomentarioCar" w:customStyle="1">
    <w:name w:val="Asunto del comentario Car"/>
    <w:basedOn w:val="TextocomentarioCar"/>
    <w:link w:val="annotationsubject"/>
    <w:uiPriority w:val="99"/>
    <w:semiHidden/>
    <w:qFormat/>
    <w:rsid w:val="00171f43"/>
    <w:rPr>
      <w:rFonts w:ascii="Helvetica Neue Light" w:hAnsi="Helvetica Neue Light"/>
      <w:b/>
      <w:bCs/>
      <w:sz w:val="20"/>
      <w:szCs w:val="20"/>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uiPriority w:val="10"/>
    <w:qFormat/>
    <w:pPr>
      <w:widowControl/>
      <w:bidi w:val="0"/>
      <w:spacing w:before="0" w:after="0"/>
      <w:jc w:val="left"/>
    </w:pPr>
    <w:rPr>
      <w:rFonts w:ascii="Calibri" w:hAnsi="Calibri" w:eastAsia="Calibri" w:cs="Calibri"/>
      <w:color w:val="auto"/>
      <w:kern w:val="0"/>
      <w:sz w:val="56"/>
      <w:szCs w:val="56"/>
      <w:lang w:val="es-MX" w:eastAsia="es-MX" w:bidi="ar-SA"/>
    </w:rPr>
  </w:style>
  <w:style w:type="paragraph" w:styleId="Fuerte1" w:customStyle="1">
    <w:name w:val="Fuerte1"/>
    <w:qFormat/>
    <w:pPr>
      <w:widowControl/>
      <w:bidi w:val="0"/>
      <w:spacing w:before="0" w:after="0"/>
      <w:jc w:val="left"/>
    </w:pPr>
    <w:rPr>
      <w:rFonts w:ascii="Calibri" w:hAnsi="Calibri" w:eastAsia="Calibri" w:cs="Calibri"/>
      <w:b/>
      <w:bCs/>
      <w:color w:val="auto"/>
      <w:kern w:val="0"/>
      <w:sz w:val="22"/>
      <w:szCs w:val="22"/>
      <w:lang w:val="es-MX" w:eastAsia="es-MX" w:bidi="ar-SA"/>
    </w:rPr>
  </w:style>
  <w:style w:type="paragraph" w:styleId="ListParagraph">
    <w:name w:val="List Paragraph"/>
    <w:qFormat/>
    <w:rsid w:val="00047014"/>
    <w:pPr>
      <w:widowControl/>
      <w:numPr>
        <w:ilvl w:val="0"/>
        <w:numId w:val="1"/>
      </w:numPr>
      <w:bidi w:val="0"/>
      <w:spacing w:lineRule="auto" w:line="360" w:before="0" w:after="120"/>
      <w:jc w:val="left"/>
    </w:pPr>
    <w:rPr>
      <w:rFonts w:ascii="Helvetica Neue Light" w:hAnsi="Helvetica Neue Light" w:eastAsia="Calibri" w:cs="Calibri"/>
      <w:color w:val="auto"/>
      <w:kern w:val="0"/>
      <w:sz w:val="20"/>
      <w:szCs w:val="20"/>
      <w:lang w:val="es-MX" w:eastAsia="es-MX" w:bidi="ar-SA"/>
    </w:rPr>
  </w:style>
  <w:style w:type="paragraph" w:styleId="FootnoteText">
    <w:name w:val="footnote text"/>
    <w:link w:val="TextonotapieCar"/>
    <w:uiPriority w:val="99"/>
    <w:semiHidden/>
    <w:unhideWhenUsed/>
    <w:pPr>
      <w:widowControl/>
      <w:bidi w:val="0"/>
      <w:spacing w:before="0" w:after="0"/>
      <w:jc w:val="left"/>
    </w:pPr>
    <w:rPr>
      <w:rFonts w:ascii="Calibri" w:hAnsi="Calibri" w:eastAsia="Calibri" w:cs="Calibri"/>
      <w:color w:val="auto"/>
      <w:kern w:val="0"/>
      <w:sz w:val="20"/>
      <w:szCs w:val="20"/>
      <w:lang w:val="es-MX" w:eastAsia="es-MX" w:bidi="ar-SA"/>
    </w:rPr>
  </w:style>
  <w:style w:type="paragraph" w:styleId="EndnoteText">
    <w:name w:val="endnote text"/>
    <w:link w:val="TextonotaalfinalCar"/>
    <w:uiPriority w:val="99"/>
    <w:semiHidden/>
    <w:unhideWhenUsed/>
    <w:pPr>
      <w:widowControl/>
      <w:bidi w:val="0"/>
      <w:spacing w:before="0" w:after="0"/>
      <w:jc w:val="left"/>
    </w:pPr>
    <w:rPr>
      <w:rFonts w:ascii="Calibri" w:hAnsi="Calibri" w:eastAsia="Calibri" w:cs="Calibri"/>
      <w:color w:val="auto"/>
      <w:kern w:val="0"/>
      <w:sz w:val="20"/>
      <w:szCs w:val="20"/>
      <w:lang w:val="es-MX" w:eastAsia="es-MX" w:bidi="ar-SA"/>
    </w:rPr>
  </w:style>
  <w:style w:type="paragraph" w:styleId="Cabeceraypie">
    <w:name w:val="Cabecera y pie"/>
    <w:basedOn w:val="Normal"/>
    <w:qFormat/>
    <w:pPr/>
    <w:rPr/>
  </w:style>
  <w:style w:type="paragraph" w:styleId="Header">
    <w:name w:val="header"/>
    <w:basedOn w:val="Normal"/>
    <w:link w:val="EncabezadoCar"/>
    <w:uiPriority w:val="99"/>
    <w:unhideWhenUsed/>
    <w:rsid w:val="00967416"/>
    <w:pPr>
      <w:tabs>
        <w:tab w:val="clear" w:pos="708"/>
        <w:tab w:val="center" w:pos="4419" w:leader="none"/>
        <w:tab w:val="right" w:pos="8838" w:leader="none"/>
      </w:tabs>
    </w:pPr>
    <w:rPr/>
  </w:style>
  <w:style w:type="paragraph" w:styleId="Footer">
    <w:name w:val="footer"/>
    <w:basedOn w:val="Normal"/>
    <w:link w:val="PiedepginaCar"/>
    <w:uiPriority w:val="99"/>
    <w:unhideWhenUsed/>
    <w:rsid w:val="00967416"/>
    <w:pPr>
      <w:tabs>
        <w:tab w:val="clear" w:pos="708"/>
        <w:tab w:val="center" w:pos="4419" w:leader="none"/>
        <w:tab w:val="right" w:pos="8838" w:leader="none"/>
      </w:tabs>
    </w:pPr>
    <w:rPr/>
  </w:style>
  <w:style w:type="paragraph" w:styleId="IndexHeading">
    <w:name w:val="index heading"/>
    <w:basedOn w:val="Ttulo"/>
    <w:pPr/>
    <w:rPr/>
  </w:style>
  <w:style w:type="paragraph" w:styleId="TOCHeading">
    <w:name w:val="TOC Heading"/>
    <w:basedOn w:val="Heading1"/>
    <w:next w:val="Normal"/>
    <w:uiPriority w:val="39"/>
    <w:unhideWhenUsed/>
    <w:qFormat/>
    <w:rsid w:val="00845c4f"/>
    <w:pPr>
      <w:keepNext w:val="true"/>
      <w:keepLines/>
      <w:pBdr>
        <w:bottom w:val="nil"/>
      </w:pBdr>
      <w:spacing w:lineRule="auto" w:line="276" w:before="480" w:after="0"/>
      <w:outlineLvl w:val="9"/>
    </w:pPr>
    <w:rPr>
      <w:rFonts w:ascii="Aptos Display" w:hAnsi="Aptos Display" w:eastAsia="" w:cs="" w:asciiTheme="majorHAnsi" w:cstheme="majorBidi" w:eastAsiaTheme="majorEastAsia" w:hAnsiTheme="majorHAnsi"/>
      <w:b/>
      <w:bCs/>
      <w:color w:themeColor="accent1" w:themeShade="bf" w:val="0F4761"/>
    </w:rPr>
  </w:style>
  <w:style w:type="paragraph" w:styleId="TOC1">
    <w:name w:val="toc 1"/>
    <w:basedOn w:val="Normal"/>
    <w:next w:val="Normal"/>
    <w:autoRedefine/>
    <w:uiPriority w:val="39"/>
    <w:unhideWhenUsed/>
    <w:rsid w:val="00845c4f"/>
    <w:pPr>
      <w:spacing w:before="120" w:after="0"/>
      <w:jc w:val="left"/>
    </w:pPr>
    <w:rPr>
      <w:rFonts w:ascii="Aptos" w:hAnsi="Aptos" w:asciiTheme="minorHAnsi" w:hAnsiTheme="minorHAnsi"/>
      <w:b/>
      <w:bCs/>
      <w:i/>
      <w:iCs/>
      <w:sz w:val="24"/>
      <w:szCs w:val="24"/>
    </w:rPr>
  </w:style>
  <w:style w:type="paragraph" w:styleId="TOC2">
    <w:name w:val="toc 2"/>
    <w:basedOn w:val="Normal"/>
    <w:next w:val="Normal"/>
    <w:autoRedefine/>
    <w:uiPriority w:val="39"/>
    <w:unhideWhenUsed/>
    <w:rsid w:val="00845c4f"/>
    <w:pPr>
      <w:spacing w:before="120" w:after="0"/>
      <w:ind w:left="220"/>
      <w:jc w:val="left"/>
    </w:pPr>
    <w:rPr>
      <w:rFonts w:ascii="Aptos" w:hAnsi="Aptos" w:asciiTheme="minorHAnsi" w:hAnsiTheme="minorHAnsi"/>
      <w:b/>
      <w:bCs/>
    </w:rPr>
  </w:style>
  <w:style w:type="paragraph" w:styleId="TOC3">
    <w:name w:val="toc 3"/>
    <w:basedOn w:val="Normal"/>
    <w:next w:val="Normal"/>
    <w:autoRedefine/>
    <w:uiPriority w:val="39"/>
    <w:unhideWhenUsed/>
    <w:rsid w:val="00845c4f"/>
    <w:pPr>
      <w:ind w:left="440"/>
      <w:jc w:val="left"/>
    </w:pPr>
    <w:rPr>
      <w:rFonts w:ascii="Aptos" w:hAnsi="Aptos" w:asciiTheme="minorHAnsi" w:hAnsiTheme="minorHAnsi"/>
      <w:sz w:val="20"/>
      <w:szCs w:val="20"/>
    </w:rPr>
  </w:style>
  <w:style w:type="paragraph" w:styleId="TOC4">
    <w:name w:val="toc 4"/>
    <w:basedOn w:val="Normal"/>
    <w:next w:val="Normal"/>
    <w:autoRedefine/>
    <w:uiPriority w:val="39"/>
    <w:unhideWhenUsed/>
    <w:rsid w:val="00845c4f"/>
    <w:pPr>
      <w:ind w:left="660"/>
      <w:jc w:val="left"/>
    </w:pPr>
    <w:rPr>
      <w:rFonts w:ascii="Aptos" w:hAnsi="Aptos" w:asciiTheme="minorHAnsi" w:hAnsiTheme="minorHAnsi"/>
      <w:sz w:val="20"/>
      <w:szCs w:val="20"/>
    </w:rPr>
  </w:style>
  <w:style w:type="paragraph" w:styleId="TOC5">
    <w:name w:val="toc 5"/>
    <w:basedOn w:val="Normal"/>
    <w:next w:val="Normal"/>
    <w:autoRedefine/>
    <w:uiPriority w:val="39"/>
    <w:unhideWhenUsed/>
    <w:rsid w:val="00845c4f"/>
    <w:pPr>
      <w:ind w:left="880"/>
      <w:jc w:val="left"/>
    </w:pPr>
    <w:rPr>
      <w:rFonts w:ascii="Aptos" w:hAnsi="Aptos" w:asciiTheme="minorHAnsi" w:hAnsiTheme="minorHAnsi"/>
      <w:sz w:val="20"/>
      <w:szCs w:val="20"/>
    </w:rPr>
  </w:style>
  <w:style w:type="paragraph" w:styleId="TOC6">
    <w:name w:val="toc 6"/>
    <w:basedOn w:val="Normal"/>
    <w:next w:val="Normal"/>
    <w:autoRedefine/>
    <w:uiPriority w:val="39"/>
    <w:unhideWhenUsed/>
    <w:rsid w:val="00845c4f"/>
    <w:pPr>
      <w:ind w:left="1100"/>
      <w:jc w:val="left"/>
    </w:pPr>
    <w:rPr>
      <w:rFonts w:ascii="Aptos" w:hAnsi="Aptos" w:asciiTheme="minorHAnsi" w:hAnsiTheme="minorHAnsi"/>
      <w:sz w:val="20"/>
      <w:szCs w:val="20"/>
    </w:rPr>
  </w:style>
  <w:style w:type="paragraph" w:styleId="TOC7">
    <w:name w:val="toc 7"/>
    <w:basedOn w:val="Normal"/>
    <w:next w:val="Normal"/>
    <w:autoRedefine/>
    <w:uiPriority w:val="39"/>
    <w:unhideWhenUsed/>
    <w:rsid w:val="00845c4f"/>
    <w:pPr>
      <w:ind w:left="1320"/>
      <w:jc w:val="left"/>
    </w:pPr>
    <w:rPr>
      <w:rFonts w:ascii="Aptos" w:hAnsi="Aptos" w:asciiTheme="minorHAnsi" w:hAnsiTheme="minorHAnsi"/>
      <w:sz w:val="20"/>
      <w:szCs w:val="20"/>
    </w:rPr>
  </w:style>
  <w:style w:type="paragraph" w:styleId="TOC8">
    <w:name w:val="toc 8"/>
    <w:basedOn w:val="Normal"/>
    <w:next w:val="Normal"/>
    <w:autoRedefine/>
    <w:uiPriority w:val="39"/>
    <w:unhideWhenUsed/>
    <w:rsid w:val="00845c4f"/>
    <w:pPr>
      <w:ind w:left="1540"/>
      <w:jc w:val="left"/>
    </w:pPr>
    <w:rPr>
      <w:rFonts w:ascii="Aptos" w:hAnsi="Aptos" w:asciiTheme="minorHAnsi" w:hAnsiTheme="minorHAnsi"/>
      <w:sz w:val="20"/>
      <w:szCs w:val="20"/>
    </w:rPr>
  </w:style>
  <w:style w:type="paragraph" w:styleId="TOC9">
    <w:name w:val="toc 9"/>
    <w:basedOn w:val="Normal"/>
    <w:next w:val="Normal"/>
    <w:autoRedefine/>
    <w:uiPriority w:val="39"/>
    <w:unhideWhenUsed/>
    <w:rsid w:val="00845c4f"/>
    <w:pPr>
      <w:ind w:left="1760"/>
      <w:jc w:val="left"/>
    </w:pPr>
    <w:rPr>
      <w:rFonts w:ascii="Aptos" w:hAnsi="Aptos" w:asciiTheme="minorHAnsi" w:hAnsiTheme="minorHAnsi"/>
      <w:sz w:val="20"/>
      <w:szCs w:val="20"/>
    </w:rPr>
  </w:style>
  <w:style w:type="paragraph" w:styleId="Subtitle">
    <w:name w:val="Subtitle"/>
    <w:basedOn w:val="Normal"/>
    <w:next w:val="Normal"/>
    <w:link w:val="SubttuloCar"/>
    <w:uiPriority w:val="11"/>
    <w:qFormat/>
    <w:rsid w:val="00532a0c"/>
    <w:pPr>
      <w:spacing w:lineRule="auto" w:line="240" w:before="40" w:after="0"/>
      <w:jc w:val="center"/>
    </w:pPr>
    <w:rPr>
      <w:sz w:val="20"/>
      <w:szCs w:val="20"/>
    </w:rPr>
  </w:style>
  <w:style w:type="paragraph" w:styleId="p1" w:customStyle="1">
    <w:name w:val="p1"/>
    <w:basedOn w:val="Normal"/>
    <w:qFormat/>
    <w:rsid w:val="005e0c88"/>
    <w:pPr>
      <w:spacing w:lineRule="auto" w:line="240" w:beforeAutospacing="1" w:afterAutospacing="1"/>
      <w:jc w:val="left"/>
    </w:pPr>
    <w:rPr>
      <w:rFonts w:ascii="Times New Roman" w:hAnsi="Times New Roman" w:eastAsia="Times New Roman" w:cs="Times New Roman"/>
      <w:sz w:val="24"/>
      <w:szCs w:val="24"/>
    </w:rPr>
  </w:style>
  <w:style w:type="paragraph" w:styleId="p2" w:customStyle="1">
    <w:name w:val="p2"/>
    <w:basedOn w:val="Normal"/>
    <w:qFormat/>
    <w:rsid w:val="005e0c88"/>
    <w:pPr>
      <w:spacing w:lineRule="auto" w:line="240" w:beforeAutospacing="1" w:afterAutospacing="1"/>
      <w:jc w:val="left"/>
    </w:pPr>
    <w:rPr>
      <w:rFonts w:ascii="Times New Roman" w:hAnsi="Times New Roman" w:eastAsia="Times New Roman" w:cs="Times New Roman"/>
      <w:sz w:val="24"/>
      <w:szCs w:val="24"/>
    </w:rPr>
  </w:style>
  <w:style w:type="paragraph" w:styleId="CommentText">
    <w:name w:val="annotation text"/>
    <w:basedOn w:val="Normal"/>
    <w:link w:val="TextocomentarioCar"/>
    <w:uiPriority w:val="99"/>
    <w:unhideWhenUsed/>
    <w:rsid w:val="00171f43"/>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171f43"/>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434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svg"/><Relationship Id="rId11" Type="http://schemas.openxmlformats.org/officeDocument/2006/relationships/image" Target="media/image2.png"/><Relationship Id="rId12" Type="http://schemas.openxmlformats.org/officeDocument/2006/relationships/image" Target="media/image3.svg"/><Relationship Id="rId13" Type="http://schemas.openxmlformats.org/officeDocument/2006/relationships/image" Target="media/image2.png"/><Relationship Id="rId14" Type="http://schemas.openxmlformats.org/officeDocument/2006/relationships/image" Target="media/image3.svg"/><Relationship Id="rId15" Type="http://schemas.openxmlformats.org/officeDocument/2006/relationships/image" Target="media/image2.png"/><Relationship Id="rId16" Type="http://schemas.openxmlformats.org/officeDocument/2006/relationships/image" Target="media/image3.svg"/><Relationship Id="rId17" Type="http://schemas.openxmlformats.org/officeDocument/2006/relationships/image" Target="media/image2.png"/><Relationship Id="rId18" Type="http://schemas.openxmlformats.org/officeDocument/2006/relationships/image" Target="media/image3.svg"/><Relationship Id="rId19" Type="http://schemas.openxmlformats.org/officeDocument/2006/relationships/image" Target="media/image2.png"/><Relationship Id="rId20" Type="http://schemas.openxmlformats.org/officeDocument/2006/relationships/image" Target="media/image3.svg"/><Relationship Id="rId21" Type="http://schemas.openxmlformats.org/officeDocument/2006/relationships/image" Target="media/image2.png"/><Relationship Id="rId22" Type="http://schemas.openxmlformats.org/officeDocument/2006/relationships/image" Target="media/image3.svg"/><Relationship Id="rId23" Type="http://schemas.openxmlformats.org/officeDocument/2006/relationships/image" Target="media/image2.png"/><Relationship Id="rId24" Type="http://schemas.openxmlformats.org/officeDocument/2006/relationships/image" Target="media/image3.svg"/><Relationship Id="rId25" Type="http://schemas.openxmlformats.org/officeDocument/2006/relationships/image" Target="media/image2.png"/><Relationship Id="rId26" Type="http://schemas.openxmlformats.org/officeDocument/2006/relationships/image" Target="media/image3.svg"/><Relationship Id="rId27" Type="http://schemas.openxmlformats.org/officeDocument/2006/relationships/image" Target="media/image2.png"/><Relationship Id="rId28" Type="http://schemas.openxmlformats.org/officeDocument/2006/relationships/image" Target="media/image3.svg"/><Relationship Id="rId29" Type="http://schemas.openxmlformats.org/officeDocument/2006/relationships/image" Target="media/image2.png"/><Relationship Id="rId30" Type="http://schemas.openxmlformats.org/officeDocument/2006/relationships/image" Target="media/image3.svg"/><Relationship Id="rId31" Type="http://schemas.openxmlformats.org/officeDocument/2006/relationships/image" Target="media/image2.png"/><Relationship Id="rId32" Type="http://schemas.openxmlformats.org/officeDocument/2006/relationships/image" Target="media/image3.svg"/><Relationship Id="rId33" Type="http://schemas.openxmlformats.org/officeDocument/2006/relationships/image" Target="media/image2.png"/><Relationship Id="rId34" Type="http://schemas.openxmlformats.org/officeDocument/2006/relationships/image" Target="media/image3.svg"/><Relationship Id="rId35" Type="http://schemas.openxmlformats.org/officeDocument/2006/relationships/image" Target="media/image2.png"/><Relationship Id="rId36" Type="http://schemas.openxmlformats.org/officeDocument/2006/relationships/image" Target="media/image3.svg"/><Relationship Id="rId37" Type="http://schemas.openxmlformats.org/officeDocument/2006/relationships/image" Target="media/image2.png"/><Relationship Id="rId38" Type="http://schemas.openxmlformats.org/officeDocument/2006/relationships/image" Target="media/image3.svg"/><Relationship Id="rId39" Type="http://schemas.openxmlformats.org/officeDocument/2006/relationships/image" Target="media/image2.png"/><Relationship Id="rId40" Type="http://schemas.openxmlformats.org/officeDocument/2006/relationships/image" Target="media/image3.svg"/><Relationship Id="rId41" Type="http://schemas.openxmlformats.org/officeDocument/2006/relationships/image" Target="media/image2.png"/><Relationship Id="rId42" Type="http://schemas.openxmlformats.org/officeDocument/2006/relationships/image" Target="media/image3.svg"/><Relationship Id="rId43" Type="http://schemas.openxmlformats.org/officeDocument/2006/relationships/image" Target="media/image2.png"/><Relationship Id="rId44" Type="http://schemas.openxmlformats.org/officeDocument/2006/relationships/image" Target="media/image3.svg"/><Relationship Id="rId45" Type="http://schemas.openxmlformats.org/officeDocument/2006/relationships/image" Target="media/image2.png"/><Relationship Id="rId46" Type="http://schemas.openxmlformats.org/officeDocument/2006/relationships/image" Target="media/image3.svg"/><Relationship Id="rId47" Type="http://schemas.openxmlformats.org/officeDocument/2006/relationships/image" Target="media/image2.png"/><Relationship Id="rId48" Type="http://schemas.openxmlformats.org/officeDocument/2006/relationships/image" Target="media/image3.svg"/><Relationship Id="rId49" Type="http://schemas.openxmlformats.org/officeDocument/2006/relationships/image" Target="media/image2.png"/><Relationship Id="rId50" Type="http://schemas.openxmlformats.org/officeDocument/2006/relationships/image" Target="media/image3.svg"/><Relationship Id="rId51" Type="http://schemas.openxmlformats.org/officeDocument/2006/relationships/image" Target="media/image2.png"/><Relationship Id="rId52" Type="http://schemas.openxmlformats.org/officeDocument/2006/relationships/image" Target="media/image3.svg"/><Relationship Id="rId53" Type="http://schemas.openxmlformats.org/officeDocument/2006/relationships/image" Target="media/image2.png"/><Relationship Id="rId54" Type="http://schemas.openxmlformats.org/officeDocument/2006/relationships/image" Target="media/image3.svg"/><Relationship Id="rId55" Type="http://schemas.openxmlformats.org/officeDocument/2006/relationships/image" Target="media/image2.png"/><Relationship Id="rId56" Type="http://schemas.openxmlformats.org/officeDocument/2006/relationships/image" Target="media/image3.svg"/><Relationship Id="rId57" Type="http://schemas.openxmlformats.org/officeDocument/2006/relationships/image" Target="media/image2.png"/><Relationship Id="rId58" Type="http://schemas.openxmlformats.org/officeDocument/2006/relationships/image" Target="media/image3.svg"/><Relationship Id="rId59" Type="http://schemas.openxmlformats.org/officeDocument/2006/relationships/image" Target="media/image2.png"/><Relationship Id="rId60" Type="http://schemas.openxmlformats.org/officeDocument/2006/relationships/image" Target="media/image3.svg"/><Relationship Id="rId61" Type="http://schemas.openxmlformats.org/officeDocument/2006/relationships/image" Target="media/image2.png"/><Relationship Id="rId62" Type="http://schemas.openxmlformats.org/officeDocument/2006/relationships/image" Target="media/image3.svg"/><Relationship Id="rId63" Type="http://schemas.openxmlformats.org/officeDocument/2006/relationships/image" Target="media/image2.png"/><Relationship Id="rId64" Type="http://schemas.openxmlformats.org/officeDocument/2006/relationships/image" Target="media/image3.svg"/><Relationship Id="rId65" Type="http://schemas.openxmlformats.org/officeDocument/2006/relationships/image" Target="media/image2.png"/><Relationship Id="rId66" Type="http://schemas.openxmlformats.org/officeDocument/2006/relationships/image" Target="media/image3.svg"/><Relationship Id="rId67" Type="http://schemas.openxmlformats.org/officeDocument/2006/relationships/image" Target="media/image2.png"/><Relationship Id="rId68" Type="http://schemas.openxmlformats.org/officeDocument/2006/relationships/image" Target="media/image3.svg"/><Relationship Id="rId69" Type="http://schemas.openxmlformats.org/officeDocument/2006/relationships/image" Target="media/image2.png"/><Relationship Id="rId70" Type="http://schemas.openxmlformats.org/officeDocument/2006/relationships/image" Target="media/image3.svg"/><Relationship Id="rId71" Type="http://schemas.openxmlformats.org/officeDocument/2006/relationships/image" Target="media/image2.png"/><Relationship Id="rId72" Type="http://schemas.openxmlformats.org/officeDocument/2006/relationships/image" Target="media/image3.svg"/><Relationship Id="rId73" Type="http://schemas.openxmlformats.org/officeDocument/2006/relationships/image" Target="media/image2.png"/><Relationship Id="rId74" Type="http://schemas.openxmlformats.org/officeDocument/2006/relationships/image" Target="media/image3.svg"/><Relationship Id="rId75" Type="http://schemas.openxmlformats.org/officeDocument/2006/relationships/image" Target="media/image2.png"/><Relationship Id="rId76" Type="http://schemas.openxmlformats.org/officeDocument/2006/relationships/image" Target="media/image3.svg"/><Relationship Id="rId77" Type="http://schemas.openxmlformats.org/officeDocument/2006/relationships/image" Target="media/image2.png"/><Relationship Id="rId78" Type="http://schemas.openxmlformats.org/officeDocument/2006/relationships/image" Target="media/image3.svg"/><Relationship Id="rId79" Type="http://schemas.openxmlformats.org/officeDocument/2006/relationships/image" Target="media/image2.png"/><Relationship Id="rId80" Type="http://schemas.openxmlformats.org/officeDocument/2006/relationships/image" Target="media/image3.svg"/><Relationship Id="rId81" Type="http://schemas.openxmlformats.org/officeDocument/2006/relationships/image" Target="media/image2.png"/><Relationship Id="rId82" Type="http://schemas.openxmlformats.org/officeDocument/2006/relationships/image" Target="media/image3.svg"/><Relationship Id="rId83" Type="http://schemas.openxmlformats.org/officeDocument/2006/relationships/image" Target="media/image2.png"/><Relationship Id="rId84" Type="http://schemas.openxmlformats.org/officeDocument/2006/relationships/image" Target="media/image3.svg"/><Relationship Id="rId85" Type="http://schemas.openxmlformats.org/officeDocument/2006/relationships/image" Target="media/image2.png"/><Relationship Id="rId86" Type="http://schemas.openxmlformats.org/officeDocument/2006/relationships/image" Target="media/image3.svg"/><Relationship Id="rId87" Type="http://schemas.openxmlformats.org/officeDocument/2006/relationships/image" Target="media/image2.png"/><Relationship Id="rId88" Type="http://schemas.openxmlformats.org/officeDocument/2006/relationships/image" Target="media/image3.svg"/><Relationship Id="rId89" Type="http://schemas.openxmlformats.org/officeDocument/2006/relationships/image" Target="media/image2.png"/><Relationship Id="rId90" Type="http://schemas.openxmlformats.org/officeDocument/2006/relationships/image" Target="media/image3.svg"/><Relationship Id="rId91" Type="http://schemas.openxmlformats.org/officeDocument/2006/relationships/image" Target="media/image2.png"/><Relationship Id="rId92" Type="http://schemas.openxmlformats.org/officeDocument/2006/relationships/image" Target="media/image3.svg"/><Relationship Id="rId93" Type="http://schemas.openxmlformats.org/officeDocument/2006/relationships/image" Target="media/image2.png"/><Relationship Id="rId94" Type="http://schemas.openxmlformats.org/officeDocument/2006/relationships/image" Target="media/image3.svg"/><Relationship Id="rId95" Type="http://schemas.openxmlformats.org/officeDocument/2006/relationships/image" Target="media/image2.png"/><Relationship Id="rId96" Type="http://schemas.openxmlformats.org/officeDocument/2006/relationships/image" Target="media/image3.svg"/><Relationship Id="rId97" Type="http://schemas.openxmlformats.org/officeDocument/2006/relationships/image" Target="media/image2.png"/><Relationship Id="rId98" Type="http://schemas.openxmlformats.org/officeDocument/2006/relationships/image" Target="media/image3.svg"/><Relationship Id="rId99" Type="http://schemas.openxmlformats.org/officeDocument/2006/relationships/image" Target="media/image2.png"/><Relationship Id="rId100" Type="http://schemas.openxmlformats.org/officeDocument/2006/relationships/image" Target="media/image3.svg"/><Relationship Id="rId101" Type="http://schemas.openxmlformats.org/officeDocument/2006/relationships/image" Target="media/image2.png"/><Relationship Id="rId102" Type="http://schemas.openxmlformats.org/officeDocument/2006/relationships/image" Target="media/image3.svg"/><Relationship Id="rId103" Type="http://schemas.openxmlformats.org/officeDocument/2006/relationships/image" Target="media/image2.png"/><Relationship Id="rId104" Type="http://schemas.openxmlformats.org/officeDocument/2006/relationships/image" Target="media/image3.svg"/><Relationship Id="rId105" Type="http://schemas.openxmlformats.org/officeDocument/2006/relationships/image" Target="media/image2.png"/><Relationship Id="rId106" Type="http://schemas.openxmlformats.org/officeDocument/2006/relationships/image" Target="media/image3.svg"/><Relationship Id="rId107" Type="http://schemas.openxmlformats.org/officeDocument/2006/relationships/image" Target="media/image2.png"/><Relationship Id="rId108" Type="http://schemas.openxmlformats.org/officeDocument/2006/relationships/image" Target="media/image3.svg"/><Relationship Id="rId109" Type="http://schemas.openxmlformats.org/officeDocument/2006/relationships/image" Target="media/image2.png"/><Relationship Id="rId110" Type="http://schemas.openxmlformats.org/officeDocument/2006/relationships/image" Target="media/image3.svg"/><Relationship Id="rId111" Type="http://schemas.openxmlformats.org/officeDocument/2006/relationships/image" Target="media/image2.png"/><Relationship Id="rId112" Type="http://schemas.openxmlformats.org/officeDocument/2006/relationships/image" Target="media/image3.svg"/><Relationship Id="rId113" Type="http://schemas.openxmlformats.org/officeDocument/2006/relationships/image" Target="media/image2.png"/><Relationship Id="rId114" Type="http://schemas.openxmlformats.org/officeDocument/2006/relationships/image" Target="media/image3.svg"/><Relationship Id="rId115" Type="http://schemas.openxmlformats.org/officeDocument/2006/relationships/image" Target="media/image2.png"/><Relationship Id="rId116" Type="http://schemas.openxmlformats.org/officeDocument/2006/relationships/image" Target="media/image3.svg"/><Relationship Id="rId117" Type="http://schemas.openxmlformats.org/officeDocument/2006/relationships/image" Target="media/image2.png"/><Relationship Id="rId118" Type="http://schemas.openxmlformats.org/officeDocument/2006/relationships/image" Target="media/image3.svg"/><Relationship Id="rId119" Type="http://schemas.openxmlformats.org/officeDocument/2006/relationships/image" Target="media/image2.png"/><Relationship Id="rId120" Type="http://schemas.openxmlformats.org/officeDocument/2006/relationships/image" Target="media/image3.svg"/><Relationship Id="rId121" Type="http://schemas.openxmlformats.org/officeDocument/2006/relationships/image" Target="media/image2.png"/><Relationship Id="rId122" Type="http://schemas.openxmlformats.org/officeDocument/2006/relationships/image" Target="media/image3.svg"/><Relationship Id="rId123" Type="http://schemas.openxmlformats.org/officeDocument/2006/relationships/image" Target="media/image2.png"/><Relationship Id="rId124" Type="http://schemas.openxmlformats.org/officeDocument/2006/relationships/image" Target="media/image3.svg"/><Relationship Id="rId125" Type="http://schemas.openxmlformats.org/officeDocument/2006/relationships/image" Target="media/image2.png"/><Relationship Id="rId126" Type="http://schemas.openxmlformats.org/officeDocument/2006/relationships/image" Target="media/image3.svg"/><Relationship Id="rId127" Type="http://schemas.openxmlformats.org/officeDocument/2006/relationships/image" Target="media/image2.png"/><Relationship Id="rId128" Type="http://schemas.openxmlformats.org/officeDocument/2006/relationships/image" Target="media/image3.svg"/><Relationship Id="rId129" Type="http://schemas.openxmlformats.org/officeDocument/2006/relationships/image" Target="media/image2.png"/><Relationship Id="rId130" Type="http://schemas.openxmlformats.org/officeDocument/2006/relationships/image" Target="media/image3.svg"/><Relationship Id="rId131" Type="http://schemas.openxmlformats.org/officeDocument/2006/relationships/comments" Target="comments.xml"/><Relationship Id="rId132" Type="http://schemas.openxmlformats.org/officeDocument/2006/relationships/numbering" Target="numbering.xml"/><Relationship Id="rId133" Type="http://schemas.openxmlformats.org/officeDocument/2006/relationships/fontTable" Target="fontTable.xml"/><Relationship Id="rId134" Type="http://schemas.openxmlformats.org/officeDocument/2006/relationships/settings" Target="settings.xml"/><Relationship Id="rId135" Type="http://schemas.openxmlformats.org/officeDocument/2006/relationships/theme" Target="theme/theme1.xml"/><Relationship Id="rId1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26D63-1D76-9644-988A-B1F26C2C0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2016</TotalTime>
  <Application>LibreOffice/25.2.7.2$Windows_X86_64 LibreOffice_project/5cbfd1ab6520636bb5f7b99185aa69bd7456825d</Application>
  <AppVersion>15.0000</AppVersion>
  <Pages>56</Pages>
  <Words>10583</Words>
  <Characters>57629</Characters>
  <CharactersWithSpaces>67146</CharactersWithSpaces>
  <Paragraphs>966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2026-05-09T02:46:00Z</dcterms:created>
  <dc:creator>Reporte Técnico</dc:creator>
  <dc:description>Reporte de Pruebas Código de Red — LABASA</dc:description>
  <dc:language>es-MX</dc:language>
  <cp:lastModifiedBy/>
  <dcterms:modified xsi:type="dcterms:W3CDTF">2026-07-06T17:00:25Z</dcterms:modified>
  <cp:revision>25</cp:revision>
  <dc:subject/>
  <dc:title>Reporte LABASA - Pruebas por Central</dc:title>
</cp:coreProperties>
</file>

<file path=docProps/custom.xml><?xml version="1.0" encoding="utf-8"?>
<Properties xmlns="http://schemas.openxmlformats.org/officeDocument/2006/custom-properties" xmlns:vt="http://schemas.openxmlformats.org/officeDocument/2006/docPropsVTypes"/>
</file>