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9BD14" w14:textId="77607B66" w:rsidR="00B11D44" w:rsidRDefault="007149D8">
      <w:pPr>
        <w:pStyle w:val="Ttulo"/>
        <w:ind w:left="269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PROJETO </w:t>
      </w:r>
      <w:r w:rsidR="00AF1C4F">
        <w:rPr>
          <w:rFonts w:ascii="Times New Roman" w:eastAsia="Times New Roman" w:hAnsi="Times New Roman" w:cs="Times New Roman"/>
          <w:b/>
          <w:bCs/>
          <w:sz w:val="24"/>
          <w:szCs w:val="24"/>
        </w:rPr>
        <w:t>PARCIAL</w:t>
      </w:r>
      <w:r w:rsidR="00A945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ATIVIDADE 1</w:t>
      </w:r>
    </w:p>
    <w:p w14:paraId="49C79822" w14:textId="77777777" w:rsidR="00B11D44" w:rsidRDefault="007149D8">
      <w:pPr>
        <w:spacing w:before="1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DISCIPLINA: </w:t>
      </w:r>
      <w:r>
        <w:rPr>
          <w:rFonts w:ascii="Times New Roman" w:eastAsia="Times New Roman" w:hAnsi="Times New Roman" w:cs="Times New Roman"/>
          <w:sz w:val="24"/>
          <w:szCs w:val="24"/>
        </w:rPr>
        <w:t>Introdução ao Machine Learning</w:t>
      </w:r>
    </w:p>
    <w:p w14:paraId="09243176" w14:textId="77777777" w:rsidR="00B11D44" w:rsidRDefault="007149D8">
      <w:pPr>
        <w:tabs>
          <w:tab w:val="left" w:pos="1843"/>
        </w:tabs>
        <w:spacing w:before="9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CURSO: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Mestrado em Administração Pública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</w:p>
    <w:p w14:paraId="4C8A3EED" w14:textId="77777777" w:rsidR="00B11D44" w:rsidRDefault="007149D8">
      <w:pPr>
        <w:tabs>
          <w:tab w:val="left" w:pos="1843"/>
        </w:tabs>
        <w:spacing w:before="9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ÁREA DE CONCENTRAÇÃO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Ciência de Dados e Inteligência Artificial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E9CF9BD" w14:textId="77777777" w:rsidR="00B11D44" w:rsidRDefault="007149D8">
      <w:pPr>
        <w:spacing w:before="10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DOCENTE RESPONSÁVEL: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Roberta Moreira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Wichmann</w:t>
      </w:r>
      <w:proofErr w:type="spellEnd"/>
    </w:p>
    <w:p w14:paraId="1725BA3A" w14:textId="77777777" w:rsidR="00B11D44" w:rsidRDefault="007149D8">
      <w:pPr>
        <w:spacing w:before="1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E-MAIL: </w:t>
      </w:r>
      <w:hyperlink r:id="rId8">
        <w:r w:rsidR="00B11D44">
          <w:rPr>
            <w:rFonts w:ascii="Times New Roman" w:eastAsia="Times New Roman" w:hAnsi="Times New Roman" w:cs="Times New Roman"/>
            <w:sz w:val="24"/>
            <w:szCs w:val="24"/>
          </w:rPr>
          <w:t>roberta.wichmann@idp.edu.br</w:t>
        </w:r>
      </w:hyperlink>
    </w:p>
    <w:p w14:paraId="1D661292" w14:textId="77777777" w:rsidR="00B11D44" w:rsidRDefault="007149D8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01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ANO E BIMESTRE DE REFERÊNCIA: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202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6FE33A29" w14:textId="26A6A8BF" w:rsidR="00B11D44" w:rsidRDefault="007149D8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0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ENTREGA PARA A PROFESSORA: </w:t>
      </w: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16C27476" wp14:editId="3CFA84C5">
                <wp:simplePos x="0" y="0"/>
                <wp:positionH relativeFrom="column">
                  <wp:posOffset>-49248</wp:posOffset>
                </wp:positionH>
                <wp:positionV relativeFrom="paragraph">
                  <wp:posOffset>216174</wp:posOffset>
                </wp:positionV>
                <wp:extent cx="6956515" cy="102960"/>
                <wp:effectExtent l="0" t="0" r="0" b="0"/>
                <wp:wrapTopAndBottom distT="0" distB="0"/>
                <wp:docPr id="3" name="Forma Livre: Form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6680" y="3757458"/>
                          <a:ext cx="689864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62" h="120000" extrusionOk="0">
                              <a:moveTo>
                                <a:pt x="0" y="0"/>
                              </a:moveTo>
                              <a:lnTo>
                                <a:pt x="1810" y="0"/>
                              </a:lnTo>
                              <a:moveTo>
                                <a:pt x="1812" y="0"/>
                              </a:moveTo>
                              <a:lnTo>
                                <a:pt x="2369" y="0"/>
                              </a:lnTo>
                              <a:moveTo>
                                <a:pt x="2371" y="0"/>
                              </a:moveTo>
                              <a:lnTo>
                                <a:pt x="4181" y="0"/>
                              </a:lnTo>
                              <a:moveTo>
                                <a:pt x="4183" y="0"/>
                              </a:moveTo>
                              <a:lnTo>
                                <a:pt x="4740" y="0"/>
                              </a:lnTo>
                              <a:moveTo>
                                <a:pt x="4742" y="0"/>
                              </a:moveTo>
                              <a:lnTo>
                                <a:pt x="6551" y="0"/>
                              </a:lnTo>
                              <a:moveTo>
                                <a:pt x="6554" y="0"/>
                              </a:moveTo>
                              <a:lnTo>
                                <a:pt x="7110" y="0"/>
                              </a:lnTo>
                              <a:moveTo>
                                <a:pt x="7113" y="0"/>
                              </a:moveTo>
                              <a:lnTo>
                                <a:pt x="8922" y="0"/>
                              </a:lnTo>
                              <a:moveTo>
                                <a:pt x="8925" y="0"/>
                              </a:moveTo>
                              <a:lnTo>
                                <a:pt x="9481" y="0"/>
                              </a:lnTo>
                              <a:moveTo>
                                <a:pt x="9484" y="0"/>
                              </a:moveTo>
                              <a:lnTo>
                                <a:pt x="9762" y="0"/>
                              </a:lnTo>
                            </a:path>
                          </a:pathLst>
                        </a:custGeom>
                        <a:noFill/>
                        <a:ln w="11575" cap="flat" cmpd="sng">
                          <a:solidFill>
                            <a:srgbClr val="4370C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-49248</wp:posOffset>
                </wp:positionH>
                <wp:positionV relativeFrom="paragraph">
                  <wp:posOffset>216174</wp:posOffset>
                </wp:positionV>
                <wp:extent cx="6956515" cy="102960"/>
                <wp:effectExtent b="0" l="0" r="0" t="0"/>
                <wp:wrapTopAndBottom distB="0" dist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56515" cy="102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DF0B4F">
        <w:rPr>
          <w:rFonts w:ascii="Times New Roman" w:eastAsia="Times New Roman" w:hAnsi="Times New Roman" w:cs="Times New Roman"/>
          <w:color w:val="000000"/>
          <w:sz w:val="24"/>
          <w:szCs w:val="24"/>
        </w:rPr>
        <w:t>conforme plano de ensino</w:t>
      </w:r>
      <w:r w:rsidR="008270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(até 28/09/2026)</w:t>
      </w:r>
      <w:r w:rsidR="00DF0B4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8E93DC6" w14:textId="77777777" w:rsidR="003500FE" w:rsidRDefault="003500FE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500FE">
        <w:rPr>
          <w:rFonts w:ascii="Times New Roman" w:eastAsia="Times New Roman" w:hAnsi="Times New Roman" w:cs="Times New Roman"/>
          <w:b/>
          <w:bCs/>
          <w:sz w:val="24"/>
          <w:szCs w:val="24"/>
        </w:rPr>
        <w:t>Título do Projeto:</w:t>
      </w:r>
      <w:r w:rsidRPr="003500FE">
        <w:rPr>
          <w:rFonts w:ascii="Times New Roman" w:eastAsia="Times New Roman" w:hAnsi="Times New Roman" w:cs="Times New Roman"/>
          <w:sz w:val="24"/>
          <w:szCs w:val="24"/>
        </w:rPr>
        <w:t xml:space="preserve"> Modelagem Preditiva de Faixas de Atraso em Voos Comerciais Regulares no Brasil: Uma Abordagem de Aprendizado de Máquina Supervisionado Aplicada à Regulação e Governança do Setor Aéreo</w:t>
      </w:r>
    </w:p>
    <w:p w14:paraId="61D52190" w14:textId="77777777" w:rsidR="00C45926" w:rsidRPr="00C45926" w:rsidRDefault="00C45926" w:rsidP="00C45926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5926">
        <w:rPr>
          <w:rFonts w:ascii="Times New Roman" w:eastAsia="Times New Roman" w:hAnsi="Times New Roman" w:cs="Times New Roman"/>
          <w:b/>
          <w:bCs/>
          <w:sz w:val="24"/>
          <w:szCs w:val="24"/>
        </w:rPr>
        <w:t>Nome dos Alunos(as):</w:t>
      </w:r>
    </w:p>
    <w:p w14:paraId="4875811B" w14:textId="77777777" w:rsidR="00C45926" w:rsidRPr="00C45926" w:rsidRDefault="00C45926" w:rsidP="00C45926">
      <w:pPr>
        <w:numPr>
          <w:ilvl w:val="0"/>
          <w:numId w:val="2"/>
        </w:num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5926">
        <w:rPr>
          <w:rFonts w:ascii="Times New Roman" w:eastAsia="Times New Roman" w:hAnsi="Times New Roman" w:cs="Times New Roman"/>
          <w:sz w:val="24"/>
          <w:szCs w:val="24"/>
        </w:rPr>
        <w:t>Francisco Fonseca</w:t>
      </w:r>
    </w:p>
    <w:p w14:paraId="5EE6C2F2" w14:textId="77777777" w:rsidR="00C45926" w:rsidRPr="00C45926" w:rsidRDefault="00C45926" w:rsidP="00C45926">
      <w:pPr>
        <w:numPr>
          <w:ilvl w:val="0"/>
          <w:numId w:val="2"/>
        </w:num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5926">
        <w:rPr>
          <w:rFonts w:ascii="Times New Roman" w:eastAsia="Times New Roman" w:hAnsi="Times New Roman" w:cs="Times New Roman"/>
          <w:sz w:val="24"/>
          <w:szCs w:val="24"/>
        </w:rPr>
        <w:t>Lucimar Nascimento</w:t>
      </w:r>
    </w:p>
    <w:p w14:paraId="55D1AB75" w14:textId="77777777" w:rsidR="00C45926" w:rsidRPr="00C45926" w:rsidRDefault="00C45926" w:rsidP="00C45926">
      <w:pPr>
        <w:numPr>
          <w:ilvl w:val="0"/>
          <w:numId w:val="2"/>
        </w:num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5926">
        <w:rPr>
          <w:rFonts w:ascii="Times New Roman" w:eastAsia="Times New Roman" w:hAnsi="Times New Roman" w:cs="Times New Roman"/>
          <w:sz w:val="24"/>
          <w:szCs w:val="24"/>
        </w:rPr>
        <w:t>Osvaldo Souza</w:t>
      </w:r>
    </w:p>
    <w:p w14:paraId="6376B52C" w14:textId="77777777" w:rsidR="004A592F" w:rsidRDefault="004A592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08F0C6" w14:textId="79F5BD93" w:rsidR="00B11D44" w:rsidRDefault="007149D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Introdução</w:t>
      </w:r>
    </w:p>
    <w:p w14:paraId="167DAD82" w14:textId="1F6DFA60" w:rsidR="00B11D44" w:rsidRDefault="004A592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592F">
        <w:rPr>
          <w:rFonts w:ascii="Times New Roman" w:eastAsia="Times New Roman" w:hAnsi="Times New Roman" w:cs="Times New Roman"/>
          <w:sz w:val="24"/>
          <w:szCs w:val="24"/>
        </w:rPr>
        <w:t>A infraestrutura de transporte aéreo desempenha um papel fulcral no desenvolvimento socioeconômico e na integração territorial do Brasil. No entanto, a pontualidade operacional dos voos comerciais regulares representa um dos principais desafios regulatórios e logísticos enfrentados pela administração pública setorial. Atrasos sistemáticos e não programados impõem severos custos de transação à economia nacional, geram ineficiências na alocação de slots em aeroportos saturados e acarretam prejuízos econômicos e desassistência aos usuários dos serviços de transporte público aéreo. Nesse cenário, o monitoramento preventivo e a capacidade preditiva estatal configuram instrumentos indispensáveis para aprimorar a fiscalização contratual e a formulação de intervenções regulatórias informadas por evidências.</w:t>
      </w:r>
    </w:p>
    <w:p w14:paraId="034DFA73" w14:textId="77777777" w:rsidR="0010505B" w:rsidRDefault="0010505B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A9CB3B" w14:textId="3BE79DB1" w:rsidR="00B11D44" w:rsidRDefault="00E6351C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E6351C">
        <w:rPr>
          <w:rFonts w:ascii="Times New Roman" w:eastAsia="Times New Roman" w:hAnsi="Times New Roman" w:cs="Times New Roman"/>
          <w:sz w:val="24"/>
          <w:szCs w:val="24"/>
        </w:rPr>
        <w:t xml:space="preserve">Com a finalidade de mitigar essas falhas de coordenação e estruturar subsídios empíricos para a atuação regulatória, este projeto utiliza o microdado público de voos disponibilizado pela </w:t>
      </w:r>
      <w:r w:rsidRPr="00E6351C">
        <w:rPr>
          <w:rFonts w:ascii="Times New Roman" w:eastAsia="Times New Roman" w:hAnsi="Times New Roman" w:cs="Times New Roman"/>
          <w:b/>
          <w:bCs/>
          <w:sz w:val="24"/>
          <w:szCs w:val="24"/>
        </w:rPr>
        <w:t>Agência Nacional de Aviação Civil (ANAC)</w:t>
      </w:r>
      <w:r w:rsidRPr="00E6351C">
        <w:rPr>
          <w:rFonts w:ascii="Times New Roman" w:eastAsia="Times New Roman" w:hAnsi="Times New Roman" w:cs="Times New Roman"/>
          <w:sz w:val="24"/>
          <w:szCs w:val="24"/>
        </w:rPr>
        <w:t xml:space="preserve">, especificamente a base do sistema de </w:t>
      </w:r>
      <w:r w:rsidRPr="00E6351C">
        <w:rPr>
          <w:rFonts w:ascii="Times New Roman" w:eastAsia="Times New Roman" w:hAnsi="Times New Roman" w:cs="Times New Roman"/>
          <w:b/>
          <w:bCs/>
          <w:sz w:val="24"/>
          <w:szCs w:val="24"/>
        </w:rPr>
        <w:t>Voo Regular Ativo (VRA)</w:t>
      </w:r>
      <w:r w:rsidRPr="00E6351C">
        <w:rPr>
          <w:rFonts w:ascii="Times New Roman" w:eastAsia="Times New Roman" w:hAnsi="Times New Roman" w:cs="Times New Roman"/>
          <w:sz w:val="24"/>
          <w:szCs w:val="24"/>
        </w:rPr>
        <w:t xml:space="preserve">. O objetivo precípuo da utilização dessa base é desenvolver um modelo preditivo capaz de estimar antecipadamente — no momento do </w:t>
      </w:r>
      <w:r w:rsidRPr="00E6351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planejamento e autorização operacional do voo — a probabilidade de ocorrência e a magnitude de atrasos na partida dos voos que integram a malha aérea nacional. A pergunta central que orienta esta pesquisa é: </w:t>
      </w:r>
      <w:r w:rsidRPr="00E6351C">
        <w:rPr>
          <w:rFonts w:ascii="Times New Roman" w:eastAsia="Times New Roman" w:hAnsi="Times New Roman" w:cs="Times New Roman"/>
          <w:i/>
          <w:iCs/>
          <w:sz w:val="24"/>
          <w:szCs w:val="24"/>
        </w:rPr>
        <w:t>quais fatores operacionais, temporais, geográficos e concorrenciais (como rota, aeroporto de origem/destino, empresa aérea, horário programado e dia da semana) exercem maior influência sobre a degradação da pontualidade dos voos comerciais no Brasil?</w:t>
      </w:r>
    </w:p>
    <w:p w14:paraId="65D6F98F" w14:textId="77777777" w:rsidR="0010505B" w:rsidRDefault="0010505B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DC67FC" w14:textId="77777777" w:rsidR="002975E9" w:rsidRPr="002975E9" w:rsidRDefault="002975E9" w:rsidP="002975E9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75E9">
        <w:rPr>
          <w:rFonts w:ascii="Times New Roman" w:eastAsia="Times New Roman" w:hAnsi="Times New Roman" w:cs="Times New Roman"/>
          <w:sz w:val="24"/>
          <w:szCs w:val="24"/>
        </w:rPr>
        <w:t xml:space="preserve">O problema de aprendizado supervisionado configura-se essencialmente como uma tarefa de classificação </w:t>
      </w:r>
      <w:proofErr w:type="spellStart"/>
      <w:r w:rsidRPr="002975E9">
        <w:rPr>
          <w:rFonts w:ascii="Times New Roman" w:eastAsia="Times New Roman" w:hAnsi="Times New Roman" w:cs="Times New Roman"/>
          <w:sz w:val="24"/>
          <w:szCs w:val="24"/>
        </w:rPr>
        <w:t>multiclasse</w:t>
      </w:r>
      <w:proofErr w:type="spellEnd"/>
      <w:r w:rsidRPr="002975E9">
        <w:rPr>
          <w:rFonts w:ascii="Times New Roman" w:eastAsia="Times New Roman" w:hAnsi="Times New Roman" w:cs="Times New Roman"/>
          <w:sz w:val="24"/>
          <w:szCs w:val="24"/>
        </w:rPr>
        <w:t xml:space="preserve">/ordinal, admitindo como </w:t>
      </w:r>
      <w:r w:rsidRPr="002975E9">
        <w:rPr>
          <w:rFonts w:ascii="Times New Roman" w:eastAsia="Times New Roman" w:hAnsi="Times New Roman" w:cs="Times New Roman"/>
          <w:i/>
          <w:iCs/>
          <w:sz w:val="24"/>
          <w:szCs w:val="24"/>
        </w:rPr>
        <w:t>benchmark</w:t>
      </w:r>
      <w:r w:rsidRPr="002975E9">
        <w:rPr>
          <w:rFonts w:ascii="Times New Roman" w:eastAsia="Times New Roman" w:hAnsi="Times New Roman" w:cs="Times New Roman"/>
          <w:sz w:val="24"/>
          <w:szCs w:val="24"/>
        </w:rPr>
        <w:t xml:space="preserve"> comparativo a formulação de classificação binária. A variável alvo principal (</w:t>
      </w:r>
      <w:r w:rsidRPr="002975E9">
        <w:rPr>
          <w:rFonts w:ascii="Times New Roman" w:eastAsia="Times New Roman" w:hAnsi="Times New Roman" w:cs="Times New Roman"/>
          <w:i/>
          <w:iCs/>
          <w:sz w:val="24"/>
          <w:szCs w:val="24"/>
        </w:rPr>
        <w:t>target</w:t>
      </w:r>
      <w:r w:rsidRPr="002975E9">
        <w:rPr>
          <w:rFonts w:ascii="Times New Roman" w:eastAsia="Times New Roman" w:hAnsi="Times New Roman" w:cs="Times New Roman"/>
          <w:sz w:val="24"/>
          <w:szCs w:val="24"/>
        </w:rPr>
        <w:t>) modelada é a faixa de atraso na partida (</w:t>
      </w:r>
      <w:proofErr w:type="spellStart"/>
      <w:r w:rsidRPr="002975E9">
        <w:rPr>
          <w:rFonts w:ascii="Times New Roman" w:eastAsia="Times New Roman" w:hAnsi="Times New Roman" w:cs="Times New Roman"/>
          <w:sz w:val="24"/>
          <w:szCs w:val="24"/>
        </w:rPr>
        <w:t>faixa_atraso_partida</w:t>
      </w:r>
      <w:proofErr w:type="spellEnd"/>
      <w:r w:rsidRPr="002975E9">
        <w:rPr>
          <w:rFonts w:ascii="Times New Roman" w:eastAsia="Times New Roman" w:hAnsi="Times New Roman" w:cs="Times New Roman"/>
          <w:sz w:val="24"/>
          <w:szCs w:val="24"/>
        </w:rPr>
        <w:t>), uma variável categórica ordinal estruturada a partir do atraso líquido em minutos (</w:t>
      </w:r>
      <w:proofErr w:type="spellStart"/>
      <w:r w:rsidRPr="002975E9">
        <w:rPr>
          <w:rFonts w:ascii="Times New Roman" w:eastAsia="Times New Roman" w:hAnsi="Times New Roman" w:cs="Times New Roman"/>
          <w:sz w:val="24"/>
          <w:szCs w:val="24"/>
        </w:rPr>
        <w:t>atraso_partida_minutos</w:t>
      </w:r>
      <w:proofErr w:type="spellEnd"/>
      <w:r w:rsidRPr="002975E9">
        <w:rPr>
          <w:rFonts w:ascii="Times New Roman" w:eastAsia="Times New Roman" w:hAnsi="Times New Roman" w:cs="Times New Roman"/>
          <w:sz w:val="24"/>
          <w:szCs w:val="24"/>
        </w:rPr>
        <w:t>), dividida em seis classes operacionais e regulatórias progressivas (FAIXAS de 0 a 5):</w:t>
      </w:r>
    </w:p>
    <w:p w14:paraId="008E387E" w14:textId="1D439E0E" w:rsidR="002975E9" w:rsidRPr="002975E9" w:rsidRDefault="002975E9" w:rsidP="002975E9">
      <w:pPr>
        <w:numPr>
          <w:ilvl w:val="0"/>
          <w:numId w:val="5"/>
        </w:num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75E9">
        <w:rPr>
          <w:rFonts w:ascii="Times New Roman" w:eastAsia="Times New Roman" w:hAnsi="Times New Roman" w:cs="Times New Roman"/>
          <w:b/>
          <w:bCs/>
          <w:sz w:val="24"/>
          <w:szCs w:val="24"/>
        </w:rPr>
        <w:t>Faixa 0 — Pontual ou antecipado:</w:t>
      </w:r>
      <w:r w:rsidRPr="002975E9">
        <w:rPr>
          <w:rFonts w:ascii="Times New Roman" w:eastAsia="Times New Roman" w:hAnsi="Times New Roman" w:cs="Times New Roman"/>
          <w:sz w:val="24"/>
          <w:szCs w:val="24"/>
        </w:rPr>
        <w:t xml:space="preserve"> voos com partida no horário exato programado ou adiantada (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≤0</m:t>
        </m:r>
      </m:oMath>
      <w:r w:rsidRPr="002975E9">
        <w:rPr>
          <w:rFonts w:ascii="Times New Roman" w:eastAsia="Times New Roman" w:hAnsi="Times New Roman" w:cs="Times New Roman"/>
          <w:sz w:val="24"/>
          <w:szCs w:val="24"/>
        </w:rPr>
        <w:t xml:space="preserve"> min);</w:t>
      </w:r>
    </w:p>
    <w:p w14:paraId="6B19FCAF" w14:textId="02B87544" w:rsidR="002975E9" w:rsidRPr="002975E9" w:rsidRDefault="002975E9" w:rsidP="002975E9">
      <w:pPr>
        <w:numPr>
          <w:ilvl w:val="0"/>
          <w:numId w:val="5"/>
        </w:num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75E9">
        <w:rPr>
          <w:rFonts w:ascii="Times New Roman" w:eastAsia="Times New Roman" w:hAnsi="Times New Roman" w:cs="Times New Roman"/>
          <w:b/>
          <w:bCs/>
          <w:sz w:val="24"/>
          <w:szCs w:val="24"/>
        </w:rPr>
        <w:t>Faixa 1 — Atraso inferior a 15 min:</w:t>
      </w:r>
      <w:r w:rsidRPr="002975E9">
        <w:rPr>
          <w:rFonts w:ascii="Times New Roman" w:eastAsia="Times New Roman" w:hAnsi="Times New Roman" w:cs="Times New Roman"/>
          <w:sz w:val="24"/>
          <w:szCs w:val="24"/>
        </w:rPr>
        <w:t xml:space="preserve"> voos com partida após o horário previsto, porém dentro da margem internacional de tolerância operacional da aviação civil (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0&lt;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</w:rPr>
          <m:t>atraso</m:t>
        </m:r>
        <m:r>
          <w:rPr>
            <w:rFonts w:ascii="Cambria Math" w:eastAsia="Times New Roman" w:hAnsi="Cambria Math" w:cs="Times New Roman"/>
            <w:sz w:val="24"/>
            <w:szCs w:val="24"/>
          </w:rPr>
          <m:t>&lt;15</m:t>
        </m:r>
      </m:oMath>
      <w:r w:rsidRPr="002975E9">
        <w:rPr>
          <w:rFonts w:ascii="Times New Roman" w:eastAsia="Times New Roman" w:hAnsi="Times New Roman" w:cs="Times New Roman"/>
          <w:sz w:val="24"/>
          <w:szCs w:val="24"/>
        </w:rPr>
        <w:t xml:space="preserve"> min);</w:t>
      </w:r>
    </w:p>
    <w:p w14:paraId="5EFFA748" w14:textId="01C53D73" w:rsidR="002975E9" w:rsidRPr="002975E9" w:rsidRDefault="002975E9" w:rsidP="002975E9">
      <w:pPr>
        <w:numPr>
          <w:ilvl w:val="0"/>
          <w:numId w:val="5"/>
        </w:num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75E9">
        <w:rPr>
          <w:rFonts w:ascii="Times New Roman" w:eastAsia="Times New Roman" w:hAnsi="Times New Roman" w:cs="Times New Roman"/>
          <w:b/>
          <w:bCs/>
          <w:sz w:val="24"/>
          <w:szCs w:val="24"/>
        </w:rPr>
        <w:t>Faixa 2 — Atraso de 15 a 30 min:</w:t>
      </w:r>
      <w:r w:rsidRPr="002975E9">
        <w:rPr>
          <w:rFonts w:ascii="Times New Roman" w:eastAsia="Times New Roman" w:hAnsi="Times New Roman" w:cs="Times New Roman"/>
          <w:sz w:val="24"/>
          <w:szCs w:val="24"/>
        </w:rPr>
        <w:t xml:space="preserve"> atrasos iniciais acima do limiar de tolerância (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15≤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</w:rPr>
          <m:t>atraso</m:t>
        </m:r>
        <m:r>
          <w:rPr>
            <w:rFonts w:ascii="Cambria Math" w:eastAsia="Times New Roman" w:hAnsi="Cambria Math" w:cs="Times New Roman"/>
            <w:sz w:val="24"/>
            <w:szCs w:val="24"/>
          </w:rPr>
          <m:t>≤30</m:t>
        </m:r>
      </m:oMath>
      <w:r w:rsidRPr="002975E9">
        <w:rPr>
          <w:rFonts w:ascii="Times New Roman" w:eastAsia="Times New Roman" w:hAnsi="Times New Roman" w:cs="Times New Roman"/>
          <w:sz w:val="24"/>
          <w:szCs w:val="24"/>
        </w:rPr>
        <w:t xml:space="preserve"> min);</w:t>
      </w:r>
    </w:p>
    <w:p w14:paraId="10C15525" w14:textId="3AB4256A" w:rsidR="002975E9" w:rsidRPr="002975E9" w:rsidRDefault="002975E9" w:rsidP="002975E9">
      <w:pPr>
        <w:numPr>
          <w:ilvl w:val="0"/>
          <w:numId w:val="5"/>
        </w:num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75E9">
        <w:rPr>
          <w:rFonts w:ascii="Times New Roman" w:eastAsia="Times New Roman" w:hAnsi="Times New Roman" w:cs="Times New Roman"/>
          <w:b/>
          <w:bCs/>
          <w:sz w:val="24"/>
          <w:szCs w:val="24"/>
        </w:rPr>
        <w:t>Faixa 3 — Atraso superior a 30 até 45 min:</w:t>
      </w:r>
      <w:r w:rsidRPr="002975E9">
        <w:rPr>
          <w:rFonts w:ascii="Times New Roman" w:eastAsia="Times New Roman" w:hAnsi="Times New Roman" w:cs="Times New Roman"/>
          <w:sz w:val="24"/>
          <w:szCs w:val="24"/>
        </w:rPr>
        <w:t xml:space="preserve"> atrasos moderados com potencial de impacto em conexões curtas (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30&lt;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</w:rPr>
          <m:t>atraso</m:t>
        </m:r>
        <m:r>
          <w:rPr>
            <w:rFonts w:ascii="Cambria Math" w:eastAsia="Times New Roman" w:hAnsi="Cambria Math" w:cs="Times New Roman"/>
            <w:sz w:val="24"/>
            <w:szCs w:val="24"/>
          </w:rPr>
          <m:t>≤45</m:t>
        </m:r>
      </m:oMath>
      <w:r w:rsidRPr="002975E9">
        <w:rPr>
          <w:rFonts w:ascii="Times New Roman" w:eastAsia="Times New Roman" w:hAnsi="Times New Roman" w:cs="Times New Roman"/>
          <w:sz w:val="24"/>
          <w:szCs w:val="24"/>
        </w:rPr>
        <w:t xml:space="preserve"> min);</w:t>
      </w:r>
    </w:p>
    <w:p w14:paraId="63EC13B4" w14:textId="667A1891" w:rsidR="002975E9" w:rsidRPr="002975E9" w:rsidRDefault="002975E9" w:rsidP="002975E9">
      <w:pPr>
        <w:numPr>
          <w:ilvl w:val="0"/>
          <w:numId w:val="5"/>
        </w:num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75E9">
        <w:rPr>
          <w:rFonts w:ascii="Times New Roman" w:eastAsia="Times New Roman" w:hAnsi="Times New Roman" w:cs="Times New Roman"/>
          <w:b/>
          <w:bCs/>
          <w:sz w:val="24"/>
          <w:szCs w:val="24"/>
        </w:rPr>
        <w:t>Faixa 4 — Atraso superior a 45 até 60 min:</w:t>
      </w:r>
      <w:r w:rsidRPr="002975E9">
        <w:rPr>
          <w:rFonts w:ascii="Times New Roman" w:eastAsia="Times New Roman" w:hAnsi="Times New Roman" w:cs="Times New Roman"/>
          <w:sz w:val="24"/>
          <w:szCs w:val="24"/>
        </w:rPr>
        <w:t xml:space="preserve"> atrasos intermediários próximos a uma hora (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45&lt;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</w:rPr>
          <m:t>atraso</m:t>
        </m:r>
        <m:r>
          <w:rPr>
            <w:rFonts w:ascii="Cambria Math" w:eastAsia="Times New Roman" w:hAnsi="Cambria Math" w:cs="Times New Roman"/>
            <w:sz w:val="24"/>
            <w:szCs w:val="24"/>
          </w:rPr>
          <m:t>≤60</m:t>
        </m:r>
      </m:oMath>
      <w:r w:rsidRPr="002975E9">
        <w:rPr>
          <w:rFonts w:ascii="Times New Roman" w:eastAsia="Times New Roman" w:hAnsi="Times New Roman" w:cs="Times New Roman"/>
          <w:sz w:val="24"/>
          <w:szCs w:val="24"/>
        </w:rPr>
        <w:t xml:space="preserve"> min);</w:t>
      </w:r>
    </w:p>
    <w:p w14:paraId="72BCC11F" w14:textId="1DD22C5F" w:rsidR="002975E9" w:rsidRPr="002975E9" w:rsidRDefault="002975E9" w:rsidP="002975E9">
      <w:pPr>
        <w:numPr>
          <w:ilvl w:val="0"/>
          <w:numId w:val="5"/>
        </w:num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75E9">
        <w:rPr>
          <w:rFonts w:ascii="Times New Roman" w:eastAsia="Times New Roman" w:hAnsi="Times New Roman" w:cs="Times New Roman"/>
          <w:b/>
          <w:bCs/>
          <w:sz w:val="24"/>
          <w:szCs w:val="24"/>
        </w:rPr>
        <w:t>Faixa 5 — Atraso superior a 60 min:</w:t>
      </w:r>
      <w:r w:rsidRPr="002975E9">
        <w:rPr>
          <w:rFonts w:ascii="Times New Roman" w:eastAsia="Times New Roman" w:hAnsi="Times New Roman" w:cs="Times New Roman"/>
          <w:sz w:val="24"/>
          <w:szCs w:val="24"/>
        </w:rPr>
        <w:t xml:space="preserve"> atrasos severos e críticos (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&gt;60</m:t>
        </m:r>
      </m:oMath>
      <w:r w:rsidRPr="002975E9">
        <w:rPr>
          <w:rFonts w:ascii="Times New Roman" w:eastAsia="Times New Roman" w:hAnsi="Times New Roman" w:cs="Times New Roman"/>
          <w:sz w:val="24"/>
          <w:szCs w:val="24"/>
        </w:rPr>
        <w:t xml:space="preserve"> min), patamar a partir do qual se intensificam a degradação de </w:t>
      </w:r>
      <w:r w:rsidRPr="002975E9">
        <w:rPr>
          <w:rFonts w:ascii="Times New Roman" w:eastAsia="Times New Roman" w:hAnsi="Times New Roman" w:cs="Times New Roman"/>
          <w:i/>
          <w:iCs/>
          <w:sz w:val="24"/>
          <w:szCs w:val="24"/>
        </w:rPr>
        <w:t>slots</w:t>
      </w:r>
      <w:r w:rsidRPr="002975E9">
        <w:rPr>
          <w:rFonts w:ascii="Times New Roman" w:eastAsia="Times New Roman" w:hAnsi="Times New Roman" w:cs="Times New Roman"/>
          <w:sz w:val="24"/>
          <w:szCs w:val="24"/>
        </w:rPr>
        <w:t xml:space="preserve"> na malha aérea e o escalonamento das obrigações regulatórias de assistência material previstas na Resolução ANAC nº 400.</w:t>
      </w:r>
    </w:p>
    <w:p w14:paraId="4E49AF35" w14:textId="3F4E6A91" w:rsidR="002975E9" w:rsidRPr="002975E9" w:rsidRDefault="002975E9" w:rsidP="002975E9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75E9">
        <w:rPr>
          <w:rFonts w:ascii="Times New Roman" w:eastAsia="Times New Roman" w:hAnsi="Times New Roman" w:cs="Times New Roman"/>
          <w:sz w:val="24"/>
          <w:szCs w:val="24"/>
        </w:rPr>
        <w:t xml:space="preserve">Secundariamente, avalia-se a variável binária </w:t>
      </w:r>
      <w:proofErr w:type="spellStart"/>
      <w:r w:rsidRPr="002975E9">
        <w:rPr>
          <w:rFonts w:ascii="Times New Roman" w:eastAsia="Times New Roman" w:hAnsi="Times New Roman" w:cs="Times New Roman"/>
          <w:sz w:val="24"/>
          <w:szCs w:val="24"/>
        </w:rPr>
        <w:t>atraso_bi</w:t>
      </w:r>
      <w:proofErr w:type="spellEnd"/>
      <w:r w:rsidRPr="002975E9">
        <w:rPr>
          <w:rFonts w:ascii="Times New Roman" w:eastAsia="Times New Roman" w:hAnsi="Times New Roman" w:cs="Times New Roman"/>
          <w:sz w:val="24"/>
          <w:szCs w:val="24"/>
        </w:rPr>
        <w:t xml:space="preserve"> (1 para atrasos comerciais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≥15</m:t>
        </m:r>
      </m:oMath>
      <w:r w:rsidRPr="002975E9">
        <w:rPr>
          <w:rFonts w:ascii="Times New Roman" w:eastAsia="Times New Roman" w:hAnsi="Times New Roman" w:cs="Times New Roman"/>
          <w:sz w:val="24"/>
          <w:szCs w:val="24"/>
        </w:rPr>
        <w:t xml:space="preserve"> minutos, englobando as faixas 2 a 5, e 0 para operações pontuais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&lt;15</m:t>
        </m:r>
      </m:oMath>
      <w:r w:rsidRPr="002975E9">
        <w:rPr>
          <w:rFonts w:ascii="Times New Roman" w:eastAsia="Times New Roman" w:hAnsi="Times New Roman" w:cs="Times New Roman"/>
          <w:sz w:val="24"/>
          <w:szCs w:val="24"/>
        </w:rPr>
        <w:t xml:space="preserve"> minutos, correspondentes às faixas 0 e 1).</w:t>
      </w:r>
    </w:p>
    <w:p w14:paraId="0E7EDC54" w14:textId="77777777" w:rsidR="0010505B" w:rsidRDefault="0010505B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C385C8" w14:textId="12A475BA" w:rsidR="00B11D44" w:rsidRDefault="00133DA9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3DA9">
        <w:rPr>
          <w:rFonts w:ascii="Times New Roman" w:eastAsia="Times New Roman" w:hAnsi="Times New Roman" w:cs="Times New Roman"/>
          <w:sz w:val="24"/>
          <w:szCs w:val="24"/>
        </w:rPr>
        <w:t>A presente entrega preliminar está estruturada em quatro seções: esta introdução, a formulação dos objetivos gerais e específicos da pesquisa, a fundamentação teórica que contextualiza a regulação setorial e as técnicas de aprendizado supervisionado adotadas, e as respectivas referências bibliográficas formatadas sob as normas da ABNT.</w:t>
      </w:r>
    </w:p>
    <w:p w14:paraId="17B73237" w14:textId="77777777" w:rsidR="0010505B" w:rsidRDefault="0010505B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F00620" w14:textId="77777777" w:rsidR="00B11D44" w:rsidRDefault="007149D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 Objetivos</w:t>
      </w:r>
    </w:p>
    <w:p w14:paraId="62840972" w14:textId="77777777" w:rsidR="00B11D44" w:rsidRDefault="007149D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2.1 Objetivo Geral</w:t>
      </w:r>
    </w:p>
    <w:p w14:paraId="50B6029B" w14:textId="77777777" w:rsidR="00CD19D8" w:rsidRDefault="00CD19D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19D8">
        <w:rPr>
          <w:rFonts w:ascii="Times New Roman" w:eastAsia="Times New Roman" w:hAnsi="Times New Roman" w:cs="Times New Roman"/>
          <w:sz w:val="24"/>
          <w:szCs w:val="24"/>
        </w:rPr>
        <w:t>Desenvolver, validar e comparar modelos preditivos baseados em algoritmos de aprendizado de máquina supervisionado para a classificação de faixas de atraso de voos comerciais regulares no Brasil, a partir dos microdados públicos da ANAC, gerando insumos analíticos para a governança regulatória e a mitigação de ineficiências na malha aeroviária nacional.</w:t>
      </w:r>
    </w:p>
    <w:p w14:paraId="0FE8E993" w14:textId="77777777" w:rsidR="00CD19D8" w:rsidRDefault="00CD19D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C2799A" w14:textId="215B9028" w:rsidR="00B11D44" w:rsidRDefault="007149D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2.2 Objetivo Específicos</w:t>
      </w:r>
    </w:p>
    <w:p w14:paraId="1DC00C26" w14:textId="77777777" w:rsidR="00B11D44" w:rsidRDefault="007149D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Para alcançar o objetivo geral proposto, definem-se as seguintes metas específicas:</w:t>
      </w:r>
    </w:p>
    <w:p w14:paraId="5A697486" w14:textId="77777777" w:rsidR="000E20A9" w:rsidRPr="000E20A9" w:rsidRDefault="000E20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99"/>
        </w:tabs>
        <w:spacing w:after="0" w:line="360" w:lineRule="auto"/>
        <w:jc w:val="both"/>
        <w:rPr>
          <w:color w:val="000000"/>
        </w:rPr>
      </w:pPr>
      <w:r w:rsidRPr="000E20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Executar a análise exploratória e descritiva dos microdados do VRA/ANAC:</w:t>
      </w:r>
      <w:r w:rsidRPr="000E20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mensurar medidas de posição, dispersão e assimetria do tempo de atraso, bem como mapear a distribuição de frequência entre as classes e investigar o desbalanceamento intrínseco aos atrasos aéreos graves;</w:t>
      </w:r>
    </w:p>
    <w:p w14:paraId="011B9DC9" w14:textId="77777777" w:rsidR="002865DC" w:rsidRPr="002865DC" w:rsidRDefault="002865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99"/>
        </w:tabs>
        <w:spacing w:after="0" w:line="360" w:lineRule="auto"/>
        <w:jc w:val="both"/>
        <w:rPr>
          <w:color w:val="000000"/>
        </w:rPr>
      </w:pPr>
      <w:r w:rsidRPr="002865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Estruturar um pipeline robusto de auditoria, limpeza e pré-processamento de dados:</w:t>
      </w:r>
      <w:r w:rsidRPr="002865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tratar inconsistências de calendário, isolar voos cancelados/desviados e aplicar técnicas de codificação categórica de alta cardinalidade (</w:t>
      </w:r>
      <w:r w:rsidRPr="002865D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Target </w:t>
      </w:r>
      <w:proofErr w:type="spellStart"/>
      <w:r w:rsidRPr="002865D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Encoding</w:t>
      </w:r>
      <w:proofErr w:type="spellEnd"/>
      <w:r w:rsidRPr="002865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 regularização para aeroportos e rotas) evitando vazamento de dados (</w:t>
      </w:r>
      <w:r w:rsidRPr="002865D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data </w:t>
      </w:r>
      <w:proofErr w:type="spellStart"/>
      <w:r w:rsidRPr="002865D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leakage</w:t>
      </w:r>
      <w:proofErr w:type="spellEnd"/>
      <w:r w:rsidRPr="002865DC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2F093938" w14:textId="77777777" w:rsidR="00BD400E" w:rsidRPr="00BD400E" w:rsidRDefault="002865DC" w:rsidP="00BD40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40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Implementar e comparar modelos supervisionados de classificação </w:t>
      </w:r>
      <w:proofErr w:type="spellStart"/>
      <w:r w:rsidRPr="00BD40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multiclasse</w:t>
      </w:r>
      <w:proofErr w:type="spellEnd"/>
      <w:r w:rsidRPr="00BD40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 w:rsidRPr="00BD4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treinar modelos baselines (regressão logística e classificadores </w:t>
      </w:r>
      <w:proofErr w:type="spellStart"/>
      <w:r w:rsidRPr="00BD400E">
        <w:rPr>
          <w:rFonts w:ascii="Times New Roman" w:eastAsia="Times New Roman" w:hAnsi="Times New Roman" w:cs="Times New Roman"/>
          <w:color w:val="000000"/>
          <w:sz w:val="24"/>
          <w:szCs w:val="24"/>
        </w:rPr>
        <w:t>dummy</w:t>
      </w:r>
      <w:proofErr w:type="spellEnd"/>
      <w:r w:rsidRPr="00BD4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e algoritmos avançados baseados em árvores e </w:t>
      </w:r>
      <w:proofErr w:type="spellStart"/>
      <w:r w:rsidRPr="00BD400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gradient</w:t>
      </w:r>
      <w:proofErr w:type="spellEnd"/>
      <w:r w:rsidRPr="00BD400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BD400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boosting</w:t>
      </w:r>
      <w:proofErr w:type="spellEnd"/>
      <w:r w:rsidRPr="00BD4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BD400E">
        <w:rPr>
          <w:rFonts w:ascii="Times New Roman" w:eastAsia="Times New Roman" w:hAnsi="Times New Roman" w:cs="Times New Roman"/>
          <w:color w:val="000000"/>
          <w:sz w:val="24"/>
          <w:szCs w:val="24"/>
        </w:rPr>
        <w:t>HistGradientBoosting</w:t>
      </w:r>
      <w:proofErr w:type="spellEnd"/>
      <w:r w:rsidRPr="00BD4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Random Forest), avaliando-os por meio de métricas resilientes ao desbalanceamento, tais como </w:t>
      </w:r>
      <w:proofErr w:type="spellStart"/>
      <w:r w:rsidRPr="00BD400E">
        <w:rPr>
          <w:rFonts w:ascii="Times New Roman" w:eastAsia="Times New Roman" w:hAnsi="Times New Roman" w:cs="Times New Roman"/>
          <w:color w:val="000000"/>
          <w:sz w:val="24"/>
          <w:szCs w:val="24"/>
        </w:rPr>
        <w:t>Balanced</w:t>
      </w:r>
      <w:proofErr w:type="spellEnd"/>
      <w:r w:rsidRPr="00BD4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D400E">
        <w:rPr>
          <w:rFonts w:ascii="Times New Roman" w:eastAsia="Times New Roman" w:hAnsi="Times New Roman" w:cs="Times New Roman"/>
          <w:color w:val="000000"/>
          <w:sz w:val="24"/>
          <w:szCs w:val="24"/>
        </w:rPr>
        <w:t>Accuracy</w:t>
      </w:r>
      <w:proofErr w:type="spellEnd"/>
      <w:r w:rsidRPr="00BD400E">
        <w:rPr>
          <w:rFonts w:ascii="Times New Roman" w:eastAsia="Times New Roman" w:hAnsi="Times New Roman" w:cs="Times New Roman"/>
          <w:color w:val="000000"/>
          <w:sz w:val="24"/>
          <w:szCs w:val="24"/>
        </w:rPr>
        <w:t>, F1-Score Macro e Matriz de Confusão;</w:t>
      </w:r>
    </w:p>
    <w:p w14:paraId="2C973BCA" w14:textId="040AD7E6" w:rsidR="00BD400E" w:rsidRPr="00BD400E" w:rsidRDefault="00BD400E" w:rsidP="00BD40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40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Avaliar a capacidade de generalização temporal:</w:t>
      </w:r>
      <w:r w:rsidRPr="00BD4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submeter a arquitetura analítica à validação temporal progressiva (treinamento na série histórica e teste em períodos subsequentes), assegurando aderência à realidade estocástica e operacional da malha aérea brasileira.</w:t>
      </w:r>
    </w:p>
    <w:p w14:paraId="14137D5B" w14:textId="77777777" w:rsidR="00AA3D0B" w:rsidRDefault="00AA3D0B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D87497" w14:textId="0AA9183C" w:rsidR="00B11D44" w:rsidRDefault="007149D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Referencial Teórico</w:t>
      </w:r>
    </w:p>
    <w:p w14:paraId="133328AD" w14:textId="77777777" w:rsidR="00803D88" w:rsidRDefault="00803D88" w:rsidP="009E732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3D88">
        <w:rPr>
          <w:rFonts w:ascii="Times New Roman" w:eastAsia="Times New Roman" w:hAnsi="Times New Roman" w:cs="Times New Roman"/>
          <w:sz w:val="24"/>
          <w:szCs w:val="24"/>
        </w:rPr>
        <w:t>A modernização da administração pública contemporânea está intrinsecamente vinculada à consolidação da tomada de decisão baseada em dados e evidências (</w:t>
      </w:r>
      <w:proofErr w:type="spellStart"/>
      <w:r w:rsidRPr="00803D88">
        <w:rPr>
          <w:rFonts w:ascii="Times New Roman" w:eastAsia="Times New Roman" w:hAnsi="Times New Roman" w:cs="Times New Roman"/>
          <w:i/>
          <w:iCs/>
          <w:sz w:val="24"/>
          <w:szCs w:val="24"/>
        </w:rPr>
        <w:t>evidence-based</w:t>
      </w:r>
      <w:proofErr w:type="spellEnd"/>
      <w:r w:rsidRPr="00803D8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03D88">
        <w:rPr>
          <w:rFonts w:ascii="Times New Roman" w:eastAsia="Times New Roman" w:hAnsi="Times New Roman" w:cs="Times New Roman"/>
          <w:i/>
          <w:iCs/>
          <w:sz w:val="24"/>
          <w:szCs w:val="24"/>
        </w:rPr>
        <w:t>policy</w:t>
      </w:r>
      <w:proofErr w:type="spellEnd"/>
      <w:r w:rsidRPr="00803D88">
        <w:rPr>
          <w:rFonts w:ascii="Times New Roman" w:eastAsia="Times New Roman" w:hAnsi="Times New Roman" w:cs="Times New Roman"/>
          <w:sz w:val="24"/>
          <w:szCs w:val="24"/>
        </w:rPr>
        <w:t xml:space="preserve">). No contexto da governança das agências reguladoras brasileiras, a utilização de registros administrativos estruturados viabiliza a transição de um modelo de fiscalização meramente punitivo e retrospectivo para uma atuação regulatória preventiva e proporcional (JANNUZZI, 2016). A regulação do transporte aéreo, capitaneada no Brasil pela ANAC, demanda permanente monitoramento do nível de serviço oferecido pelas concessionárias aeroportuárias e companhias </w:t>
      </w:r>
      <w:r w:rsidRPr="00803D88">
        <w:rPr>
          <w:rFonts w:ascii="Times New Roman" w:eastAsia="Times New Roman" w:hAnsi="Times New Roman" w:cs="Times New Roman"/>
          <w:sz w:val="24"/>
          <w:szCs w:val="24"/>
        </w:rPr>
        <w:lastRenderedPageBreak/>
        <w:t>aéreas, sendo a pontualidade o indicador síntese da eficiência logística e do respeito aos direitos consumeristas positivados pela Resolução ANAC nº 400.</w:t>
      </w:r>
    </w:p>
    <w:p w14:paraId="5A5CFB69" w14:textId="77777777" w:rsidR="009E732E" w:rsidRPr="00803D88" w:rsidRDefault="009E732E" w:rsidP="009E732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AC2A6C" w14:textId="77777777" w:rsidR="00803D88" w:rsidRDefault="00803D88" w:rsidP="009E732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3D88">
        <w:rPr>
          <w:rFonts w:ascii="Times New Roman" w:eastAsia="Times New Roman" w:hAnsi="Times New Roman" w:cs="Times New Roman"/>
          <w:sz w:val="24"/>
          <w:szCs w:val="24"/>
        </w:rPr>
        <w:t xml:space="preserve">Do ponto de vista econômico e operacional, a literatura internacional demonstra que atrasos aéreos provocam graves perdas financeiras, aumento no consumo de combustível, sobrecarga das equipes de solo e quebra nas conexões de malha, além de gerarem custos expressivos de judicialização às operadoras (STERNBERG et al., 2017). Conforme pontuam </w:t>
      </w:r>
      <w:proofErr w:type="spellStart"/>
      <w:r w:rsidRPr="00803D88">
        <w:rPr>
          <w:rFonts w:ascii="Times New Roman" w:eastAsia="Times New Roman" w:hAnsi="Times New Roman" w:cs="Times New Roman"/>
          <w:sz w:val="24"/>
          <w:szCs w:val="24"/>
        </w:rPr>
        <w:t>Kalliguddi</w:t>
      </w:r>
      <w:proofErr w:type="spellEnd"/>
      <w:r w:rsidRPr="00803D88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803D88">
        <w:rPr>
          <w:rFonts w:ascii="Times New Roman" w:eastAsia="Times New Roman" w:hAnsi="Times New Roman" w:cs="Times New Roman"/>
          <w:sz w:val="24"/>
          <w:szCs w:val="24"/>
        </w:rPr>
        <w:t>Leboulluec</w:t>
      </w:r>
      <w:proofErr w:type="spellEnd"/>
      <w:r w:rsidRPr="00803D88">
        <w:rPr>
          <w:rFonts w:ascii="Times New Roman" w:eastAsia="Times New Roman" w:hAnsi="Times New Roman" w:cs="Times New Roman"/>
          <w:sz w:val="24"/>
          <w:szCs w:val="24"/>
        </w:rPr>
        <w:t xml:space="preserve"> (2025), o encadeamento de atrasos (</w:t>
      </w:r>
      <w:r w:rsidRPr="00803D8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delay </w:t>
      </w:r>
      <w:proofErr w:type="spellStart"/>
      <w:r w:rsidRPr="00803D88">
        <w:rPr>
          <w:rFonts w:ascii="Times New Roman" w:eastAsia="Times New Roman" w:hAnsi="Times New Roman" w:cs="Times New Roman"/>
          <w:i/>
          <w:iCs/>
          <w:sz w:val="24"/>
          <w:szCs w:val="24"/>
        </w:rPr>
        <w:t>propagation</w:t>
      </w:r>
      <w:proofErr w:type="spellEnd"/>
      <w:r w:rsidRPr="00803D88">
        <w:rPr>
          <w:rFonts w:ascii="Times New Roman" w:eastAsia="Times New Roman" w:hAnsi="Times New Roman" w:cs="Times New Roman"/>
          <w:sz w:val="24"/>
          <w:szCs w:val="24"/>
        </w:rPr>
        <w:t>) decorre tanto de fatores meteorológicos adversos e restrições de tráfego aéreo (</w:t>
      </w:r>
      <w:r w:rsidRPr="00803D88">
        <w:rPr>
          <w:rFonts w:ascii="Times New Roman" w:eastAsia="Times New Roman" w:hAnsi="Times New Roman" w:cs="Times New Roman"/>
          <w:i/>
          <w:iCs/>
          <w:sz w:val="24"/>
          <w:szCs w:val="24"/>
        </w:rPr>
        <w:t>root delays</w:t>
      </w:r>
      <w:r w:rsidRPr="00803D88">
        <w:rPr>
          <w:rFonts w:ascii="Times New Roman" w:eastAsia="Times New Roman" w:hAnsi="Times New Roman" w:cs="Times New Roman"/>
          <w:sz w:val="24"/>
          <w:szCs w:val="24"/>
        </w:rPr>
        <w:t>) quanto do efeito dominó acumulado pela aeronave em etapas anteriores de sua jornada operacional. Por conseguinte, modelar o atraso logo na partida constitui a principal salvaguarda para interromper o contágio temporal ao longo de todo o sistema aeroviário.</w:t>
      </w:r>
    </w:p>
    <w:p w14:paraId="0F30F2AA" w14:textId="77777777" w:rsidR="009E732E" w:rsidRPr="00803D88" w:rsidRDefault="009E732E" w:rsidP="009E732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E44634" w14:textId="77777777" w:rsidR="00803D88" w:rsidRDefault="00803D88" w:rsidP="009E732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3D88">
        <w:rPr>
          <w:rFonts w:ascii="Times New Roman" w:eastAsia="Times New Roman" w:hAnsi="Times New Roman" w:cs="Times New Roman"/>
          <w:sz w:val="24"/>
          <w:szCs w:val="24"/>
        </w:rPr>
        <w:t xml:space="preserve">No campo da ciência de dados, a predição de eventos logísticos de alta complexidade tem migrado de métodos econométricos paramétricos tradicionais para técnicas de aprendizado de máquina supervisionado (MORETTIN; SINGER, 2022). Em problemas de transporte aéreo, variáveis preditoras fundamentais — tais como aeroporto de origem, destino e linha aérea — exibem elevada cardinalidade categórica e interações não lineares severas. Para lidar com essa estrutura dimensional sem incorrer na "maldição da dimensionalidade" do </w:t>
      </w:r>
      <w:proofErr w:type="spellStart"/>
      <w:r w:rsidRPr="00803D88">
        <w:rPr>
          <w:rFonts w:ascii="Times New Roman" w:eastAsia="Times New Roman" w:hAnsi="Times New Roman" w:cs="Times New Roman"/>
          <w:i/>
          <w:iCs/>
          <w:sz w:val="24"/>
          <w:szCs w:val="24"/>
        </w:rPr>
        <w:t>One</w:t>
      </w:r>
      <w:proofErr w:type="spellEnd"/>
      <w:r w:rsidRPr="00803D8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-Hot </w:t>
      </w:r>
      <w:proofErr w:type="spellStart"/>
      <w:r w:rsidRPr="00803D88">
        <w:rPr>
          <w:rFonts w:ascii="Times New Roman" w:eastAsia="Times New Roman" w:hAnsi="Times New Roman" w:cs="Times New Roman"/>
          <w:i/>
          <w:iCs/>
          <w:sz w:val="24"/>
          <w:szCs w:val="24"/>
        </w:rPr>
        <w:t>Encoding</w:t>
      </w:r>
      <w:proofErr w:type="spellEnd"/>
      <w:r w:rsidRPr="00803D88">
        <w:rPr>
          <w:rFonts w:ascii="Times New Roman" w:eastAsia="Times New Roman" w:hAnsi="Times New Roman" w:cs="Times New Roman"/>
          <w:sz w:val="24"/>
          <w:szCs w:val="24"/>
        </w:rPr>
        <w:t xml:space="preserve">, métodos modernos de </w:t>
      </w:r>
      <w:r w:rsidRPr="00803D8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Target </w:t>
      </w:r>
      <w:proofErr w:type="spellStart"/>
      <w:r w:rsidRPr="00803D88">
        <w:rPr>
          <w:rFonts w:ascii="Times New Roman" w:eastAsia="Times New Roman" w:hAnsi="Times New Roman" w:cs="Times New Roman"/>
          <w:i/>
          <w:iCs/>
          <w:sz w:val="24"/>
          <w:szCs w:val="24"/>
        </w:rPr>
        <w:t>Encoding</w:t>
      </w:r>
      <w:proofErr w:type="spellEnd"/>
      <w:r w:rsidRPr="00803D88">
        <w:rPr>
          <w:rFonts w:ascii="Times New Roman" w:eastAsia="Times New Roman" w:hAnsi="Times New Roman" w:cs="Times New Roman"/>
          <w:sz w:val="24"/>
          <w:szCs w:val="24"/>
        </w:rPr>
        <w:t xml:space="preserve"> com esquemas estritos de </w:t>
      </w:r>
      <w:r w:rsidRPr="00803D88">
        <w:rPr>
          <w:rFonts w:ascii="Times New Roman" w:eastAsia="Times New Roman" w:hAnsi="Times New Roman" w:cs="Times New Roman"/>
          <w:i/>
          <w:iCs/>
          <w:sz w:val="24"/>
          <w:szCs w:val="24"/>
        </w:rPr>
        <w:t>out-</w:t>
      </w:r>
      <w:proofErr w:type="spellStart"/>
      <w:r w:rsidRPr="00803D88">
        <w:rPr>
          <w:rFonts w:ascii="Times New Roman" w:eastAsia="Times New Roman" w:hAnsi="Times New Roman" w:cs="Times New Roman"/>
          <w:i/>
          <w:iCs/>
          <w:sz w:val="24"/>
          <w:szCs w:val="24"/>
        </w:rPr>
        <w:t>of</w:t>
      </w:r>
      <w:proofErr w:type="spellEnd"/>
      <w:r w:rsidRPr="00803D88">
        <w:rPr>
          <w:rFonts w:ascii="Times New Roman" w:eastAsia="Times New Roman" w:hAnsi="Times New Roman" w:cs="Times New Roman"/>
          <w:i/>
          <w:iCs/>
          <w:sz w:val="24"/>
          <w:szCs w:val="24"/>
        </w:rPr>
        <w:t>-</w:t>
      </w:r>
      <w:proofErr w:type="spellStart"/>
      <w:r w:rsidRPr="00803D88">
        <w:rPr>
          <w:rFonts w:ascii="Times New Roman" w:eastAsia="Times New Roman" w:hAnsi="Times New Roman" w:cs="Times New Roman"/>
          <w:i/>
          <w:iCs/>
          <w:sz w:val="24"/>
          <w:szCs w:val="24"/>
        </w:rPr>
        <w:t>fold</w:t>
      </w:r>
      <w:proofErr w:type="spellEnd"/>
      <w:r w:rsidRPr="00803D88">
        <w:rPr>
          <w:rFonts w:ascii="Times New Roman" w:eastAsia="Times New Roman" w:hAnsi="Times New Roman" w:cs="Times New Roman"/>
          <w:sz w:val="24"/>
          <w:szCs w:val="24"/>
        </w:rPr>
        <w:t xml:space="preserve"> têm demonstrado alto poder de generalização, eliminando vazamentos de informação (</w:t>
      </w:r>
      <w:proofErr w:type="spellStart"/>
      <w:r w:rsidRPr="00803D88">
        <w:rPr>
          <w:rFonts w:ascii="Times New Roman" w:eastAsia="Times New Roman" w:hAnsi="Times New Roman" w:cs="Times New Roman"/>
          <w:i/>
          <w:iCs/>
          <w:sz w:val="24"/>
          <w:szCs w:val="24"/>
        </w:rPr>
        <w:t>leakage</w:t>
      </w:r>
      <w:proofErr w:type="spellEnd"/>
      <w:r w:rsidRPr="00803D88">
        <w:rPr>
          <w:rFonts w:ascii="Times New Roman" w:eastAsia="Times New Roman" w:hAnsi="Times New Roman" w:cs="Times New Roman"/>
          <w:sz w:val="24"/>
          <w:szCs w:val="24"/>
        </w:rPr>
        <w:t>) entre os subconjuntos de treino e teste (GERON, 2019).</w:t>
      </w:r>
    </w:p>
    <w:p w14:paraId="3FC015B8" w14:textId="77777777" w:rsidR="009E732E" w:rsidRPr="00803D88" w:rsidRDefault="009E732E" w:rsidP="009E732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6611FB" w14:textId="77777777" w:rsidR="00803D88" w:rsidRPr="00803D88" w:rsidRDefault="00803D88" w:rsidP="009E732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3D88">
        <w:rPr>
          <w:rFonts w:ascii="Times New Roman" w:eastAsia="Times New Roman" w:hAnsi="Times New Roman" w:cs="Times New Roman"/>
          <w:sz w:val="24"/>
          <w:szCs w:val="24"/>
        </w:rPr>
        <w:t xml:space="preserve">Ademais, no aprendizado supervisionado sob fortes assimetrias amostrais — onde a grande maioria dos voos opera em regime de pontualidade e os atrasos superiores a duas horas configuram classes minoritárias —, o emprego de métricas globais simplistas, como a acurácia clássica, conduz a conclusões ilusórias sobre a acurácia do modelo (HASTIE; TIBSHIRANI; FRIEDMAN, 2009; IZBICKI; DOS SANTOS, 2020). Conforme estabelecido por </w:t>
      </w:r>
      <w:proofErr w:type="spellStart"/>
      <w:r w:rsidRPr="00803D88">
        <w:rPr>
          <w:rFonts w:ascii="Times New Roman" w:eastAsia="Times New Roman" w:hAnsi="Times New Roman" w:cs="Times New Roman"/>
          <w:sz w:val="24"/>
          <w:szCs w:val="24"/>
        </w:rPr>
        <w:t>Izbicki</w:t>
      </w:r>
      <w:proofErr w:type="spellEnd"/>
      <w:r w:rsidRPr="00803D88">
        <w:rPr>
          <w:rFonts w:ascii="Times New Roman" w:eastAsia="Times New Roman" w:hAnsi="Times New Roman" w:cs="Times New Roman"/>
          <w:sz w:val="24"/>
          <w:szCs w:val="24"/>
        </w:rPr>
        <w:t xml:space="preserve"> e Dos Santos (2020), o rigor metodológico em cenários desbalanceados exige a adoção de métricas ponderadas, a exemplo do F1-Score Macro e da acurácia balanceada (</w:t>
      </w:r>
      <w:proofErr w:type="spellStart"/>
      <w:r w:rsidRPr="00803D88">
        <w:rPr>
          <w:rFonts w:ascii="Times New Roman" w:eastAsia="Times New Roman" w:hAnsi="Times New Roman" w:cs="Times New Roman"/>
          <w:i/>
          <w:iCs/>
          <w:sz w:val="24"/>
          <w:szCs w:val="24"/>
        </w:rPr>
        <w:t>Balanced</w:t>
      </w:r>
      <w:proofErr w:type="spellEnd"/>
      <w:r w:rsidRPr="00803D8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03D88">
        <w:rPr>
          <w:rFonts w:ascii="Times New Roman" w:eastAsia="Times New Roman" w:hAnsi="Times New Roman" w:cs="Times New Roman"/>
          <w:i/>
          <w:iCs/>
          <w:sz w:val="24"/>
          <w:szCs w:val="24"/>
        </w:rPr>
        <w:t>Accuracy</w:t>
      </w:r>
      <w:proofErr w:type="spellEnd"/>
      <w:r w:rsidRPr="00803D88">
        <w:rPr>
          <w:rFonts w:ascii="Times New Roman" w:eastAsia="Times New Roman" w:hAnsi="Times New Roman" w:cs="Times New Roman"/>
          <w:sz w:val="24"/>
          <w:szCs w:val="24"/>
        </w:rPr>
        <w:t xml:space="preserve">), além do emprego de algoritmos de </w:t>
      </w:r>
      <w:proofErr w:type="spellStart"/>
      <w:r w:rsidRPr="00803D88">
        <w:rPr>
          <w:rFonts w:ascii="Times New Roman" w:eastAsia="Times New Roman" w:hAnsi="Times New Roman" w:cs="Times New Roman"/>
          <w:i/>
          <w:iCs/>
          <w:sz w:val="24"/>
          <w:szCs w:val="24"/>
        </w:rPr>
        <w:t>boosting</w:t>
      </w:r>
      <w:proofErr w:type="spellEnd"/>
      <w:r w:rsidRPr="00803D88">
        <w:rPr>
          <w:rFonts w:ascii="Times New Roman" w:eastAsia="Times New Roman" w:hAnsi="Times New Roman" w:cs="Times New Roman"/>
          <w:sz w:val="24"/>
          <w:szCs w:val="24"/>
        </w:rPr>
        <w:t xml:space="preserve"> e árvores de decisão que distribuam penalidades proporcionais à frequência das classes. Dessa maneira, a modelagem preditiva supervisionada converte dados abertos brutos em diagnósticos de inteligência preditiva para a gestão pública e a infraestrutura nacional.</w:t>
      </w:r>
    </w:p>
    <w:p w14:paraId="3D5F6291" w14:textId="77777777" w:rsidR="00B11D44" w:rsidRDefault="00B11D4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55382F" w14:textId="77777777" w:rsidR="00B11D44" w:rsidRDefault="007149D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 Referências</w:t>
      </w:r>
    </w:p>
    <w:p w14:paraId="11449E4D" w14:textId="77777777" w:rsidR="00251180" w:rsidRPr="00251180" w:rsidRDefault="00251180" w:rsidP="0025118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180">
        <w:rPr>
          <w:rFonts w:ascii="Times New Roman" w:eastAsia="Times New Roman" w:hAnsi="Times New Roman" w:cs="Times New Roman"/>
          <w:sz w:val="24"/>
          <w:szCs w:val="24"/>
        </w:rPr>
        <w:t xml:space="preserve">GERON, </w:t>
      </w:r>
      <w:proofErr w:type="spellStart"/>
      <w:r w:rsidRPr="00251180">
        <w:rPr>
          <w:rFonts w:ascii="Times New Roman" w:eastAsia="Times New Roman" w:hAnsi="Times New Roman" w:cs="Times New Roman"/>
          <w:sz w:val="24"/>
          <w:szCs w:val="24"/>
        </w:rPr>
        <w:t>Aurélien</w:t>
      </w:r>
      <w:proofErr w:type="spellEnd"/>
      <w:r w:rsidRPr="002511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Hands-On Machine Learning </w:t>
      </w:r>
      <w:proofErr w:type="spellStart"/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>Scikit-Learn</w:t>
      </w:r>
      <w:proofErr w:type="spellEnd"/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>Keras</w:t>
      </w:r>
      <w:proofErr w:type="spellEnd"/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>TensorFlow</w:t>
      </w:r>
      <w:proofErr w:type="spellEnd"/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>Concepts</w:t>
      </w:r>
      <w:proofErr w:type="spellEnd"/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Tools, </w:t>
      </w:r>
      <w:proofErr w:type="spellStart"/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>Techniques</w:t>
      </w:r>
      <w:proofErr w:type="spellEnd"/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>to</w:t>
      </w:r>
      <w:proofErr w:type="spellEnd"/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Build </w:t>
      </w:r>
      <w:proofErr w:type="spellStart"/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>Intelligent</w:t>
      </w:r>
      <w:proofErr w:type="spellEnd"/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Systems</w:t>
      </w:r>
      <w:r w:rsidRPr="00251180">
        <w:rPr>
          <w:rFonts w:ascii="Times New Roman" w:eastAsia="Times New Roman" w:hAnsi="Times New Roman" w:cs="Times New Roman"/>
          <w:sz w:val="24"/>
          <w:szCs w:val="24"/>
        </w:rPr>
        <w:t xml:space="preserve">. 2. ed. Sebastopol, CA: O’Reilly Media, 2019. </w:t>
      </w:r>
    </w:p>
    <w:p w14:paraId="1079AD6B" w14:textId="77777777" w:rsidR="00251180" w:rsidRPr="00251180" w:rsidRDefault="00251180" w:rsidP="0025118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180">
        <w:rPr>
          <w:rFonts w:ascii="Times New Roman" w:eastAsia="Times New Roman" w:hAnsi="Times New Roman" w:cs="Times New Roman"/>
          <w:sz w:val="24"/>
          <w:szCs w:val="24"/>
        </w:rPr>
        <w:t xml:space="preserve">HASTIE, Trevor; TIBSHIRANI, Robert; FRIEDMAN, Jerome. </w:t>
      </w:r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</w:t>
      </w:r>
      <w:proofErr w:type="spellStart"/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>elements</w:t>
      </w:r>
      <w:proofErr w:type="spellEnd"/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>of</w:t>
      </w:r>
      <w:proofErr w:type="spellEnd"/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statistical</w:t>
      </w:r>
      <w:proofErr w:type="spellEnd"/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learning: data mining, </w:t>
      </w:r>
      <w:proofErr w:type="spellStart"/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>inference</w:t>
      </w:r>
      <w:proofErr w:type="spellEnd"/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>prediction</w:t>
      </w:r>
      <w:proofErr w:type="spellEnd"/>
      <w:r w:rsidRPr="00251180">
        <w:rPr>
          <w:rFonts w:ascii="Times New Roman" w:eastAsia="Times New Roman" w:hAnsi="Times New Roman" w:cs="Times New Roman"/>
          <w:sz w:val="24"/>
          <w:szCs w:val="24"/>
        </w:rPr>
        <w:t xml:space="preserve">. 2. ed. New York: Springer, 2009. </w:t>
      </w:r>
    </w:p>
    <w:p w14:paraId="26FE9340" w14:textId="77777777" w:rsidR="00251180" w:rsidRPr="00251180" w:rsidRDefault="00251180" w:rsidP="0025118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180">
        <w:rPr>
          <w:rFonts w:ascii="Times New Roman" w:eastAsia="Times New Roman" w:hAnsi="Times New Roman" w:cs="Times New Roman"/>
          <w:sz w:val="24"/>
          <w:szCs w:val="24"/>
        </w:rPr>
        <w:t xml:space="preserve">IZBICKI, Rafael; DOS SANTOS, Tiago Mendonça. </w:t>
      </w:r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>Aprendizado de máquina: uma abordagem estatística</w:t>
      </w:r>
      <w:r w:rsidRPr="00251180">
        <w:rPr>
          <w:rFonts w:ascii="Times New Roman" w:eastAsia="Times New Roman" w:hAnsi="Times New Roman" w:cs="Times New Roman"/>
          <w:sz w:val="24"/>
          <w:szCs w:val="24"/>
        </w:rPr>
        <w:t xml:space="preserve">. 1. ed. São Carlos: Rafael </w:t>
      </w:r>
      <w:proofErr w:type="spellStart"/>
      <w:r w:rsidRPr="00251180">
        <w:rPr>
          <w:rFonts w:ascii="Times New Roman" w:eastAsia="Times New Roman" w:hAnsi="Times New Roman" w:cs="Times New Roman"/>
          <w:sz w:val="24"/>
          <w:szCs w:val="24"/>
        </w:rPr>
        <w:t>Izbicki</w:t>
      </w:r>
      <w:proofErr w:type="spellEnd"/>
      <w:r w:rsidRPr="00251180">
        <w:rPr>
          <w:rFonts w:ascii="Times New Roman" w:eastAsia="Times New Roman" w:hAnsi="Times New Roman" w:cs="Times New Roman"/>
          <w:sz w:val="24"/>
          <w:szCs w:val="24"/>
        </w:rPr>
        <w:t xml:space="preserve">, 2020. </w:t>
      </w:r>
    </w:p>
    <w:p w14:paraId="0F63CCA1" w14:textId="77777777" w:rsidR="00251180" w:rsidRPr="00251180" w:rsidRDefault="00251180" w:rsidP="0025118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180">
        <w:rPr>
          <w:rFonts w:ascii="Times New Roman" w:eastAsia="Times New Roman" w:hAnsi="Times New Roman" w:cs="Times New Roman"/>
          <w:sz w:val="24"/>
          <w:szCs w:val="24"/>
        </w:rPr>
        <w:t xml:space="preserve">JANNUZZI, Paulo de Martino. </w:t>
      </w:r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>Indicadores sociais no Brasil: conceitos, fontes de dados e aplicações para formulação de políticas públicas</w:t>
      </w:r>
      <w:r w:rsidRPr="00251180">
        <w:rPr>
          <w:rFonts w:ascii="Times New Roman" w:eastAsia="Times New Roman" w:hAnsi="Times New Roman" w:cs="Times New Roman"/>
          <w:sz w:val="24"/>
          <w:szCs w:val="24"/>
        </w:rPr>
        <w:t xml:space="preserve">. 6. ed. Campinas: Alínea, 2016. </w:t>
      </w:r>
    </w:p>
    <w:p w14:paraId="02ADEFD1" w14:textId="77777777" w:rsidR="00251180" w:rsidRPr="00251180" w:rsidRDefault="00251180" w:rsidP="0025118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180">
        <w:rPr>
          <w:rFonts w:ascii="Times New Roman" w:eastAsia="Times New Roman" w:hAnsi="Times New Roman" w:cs="Times New Roman"/>
          <w:sz w:val="24"/>
          <w:szCs w:val="24"/>
        </w:rPr>
        <w:t xml:space="preserve">KALLIGUDDI, </w:t>
      </w:r>
      <w:proofErr w:type="spellStart"/>
      <w:r w:rsidRPr="00251180">
        <w:rPr>
          <w:rFonts w:ascii="Times New Roman" w:eastAsia="Times New Roman" w:hAnsi="Times New Roman" w:cs="Times New Roman"/>
          <w:sz w:val="24"/>
          <w:szCs w:val="24"/>
        </w:rPr>
        <w:t>Abhishek</w:t>
      </w:r>
      <w:proofErr w:type="spellEnd"/>
      <w:r w:rsidRPr="00251180">
        <w:rPr>
          <w:rFonts w:ascii="Times New Roman" w:eastAsia="Times New Roman" w:hAnsi="Times New Roman" w:cs="Times New Roman"/>
          <w:sz w:val="24"/>
          <w:szCs w:val="24"/>
        </w:rPr>
        <w:t xml:space="preserve">; LEBOULLUEC, Antoine. </w:t>
      </w:r>
      <w:proofErr w:type="spellStart"/>
      <w:r w:rsidRPr="00251180">
        <w:rPr>
          <w:rFonts w:ascii="Times New Roman" w:eastAsia="Times New Roman" w:hAnsi="Times New Roman" w:cs="Times New Roman"/>
          <w:sz w:val="24"/>
          <w:szCs w:val="24"/>
        </w:rPr>
        <w:t>Flight</w:t>
      </w:r>
      <w:proofErr w:type="spellEnd"/>
      <w:r w:rsidRPr="00251180">
        <w:rPr>
          <w:rFonts w:ascii="Times New Roman" w:eastAsia="Times New Roman" w:hAnsi="Times New Roman" w:cs="Times New Roman"/>
          <w:sz w:val="24"/>
          <w:szCs w:val="24"/>
        </w:rPr>
        <w:t xml:space="preserve"> delay </w:t>
      </w:r>
      <w:proofErr w:type="spellStart"/>
      <w:r w:rsidRPr="00251180">
        <w:rPr>
          <w:rFonts w:ascii="Times New Roman" w:eastAsia="Times New Roman" w:hAnsi="Times New Roman" w:cs="Times New Roman"/>
          <w:sz w:val="24"/>
          <w:szCs w:val="24"/>
        </w:rPr>
        <w:t>prediction</w:t>
      </w:r>
      <w:proofErr w:type="spellEnd"/>
      <w:r w:rsidRPr="0025118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51180">
        <w:rPr>
          <w:rFonts w:ascii="Times New Roman" w:eastAsia="Times New Roman" w:hAnsi="Times New Roman" w:cs="Times New Roman"/>
          <w:sz w:val="24"/>
          <w:szCs w:val="24"/>
        </w:rPr>
        <w:t>evaluating</w:t>
      </w:r>
      <w:proofErr w:type="spellEnd"/>
      <w:r w:rsidRPr="00251180">
        <w:rPr>
          <w:rFonts w:ascii="Times New Roman" w:eastAsia="Times New Roman" w:hAnsi="Times New Roman" w:cs="Times New Roman"/>
          <w:sz w:val="24"/>
          <w:szCs w:val="24"/>
        </w:rPr>
        <w:t xml:space="preserve"> machine learning </w:t>
      </w:r>
      <w:proofErr w:type="spellStart"/>
      <w:r w:rsidRPr="00251180">
        <w:rPr>
          <w:rFonts w:ascii="Times New Roman" w:eastAsia="Times New Roman" w:hAnsi="Times New Roman" w:cs="Times New Roman"/>
          <w:sz w:val="24"/>
          <w:szCs w:val="24"/>
        </w:rPr>
        <w:t>algorithms</w:t>
      </w:r>
      <w:proofErr w:type="spellEnd"/>
      <w:r w:rsidRPr="00251180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251180">
        <w:rPr>
          <w:rFonts w:ascii="Times New Roman" w:eastAsia="Times New Roman" w:hAnsi="Times New Roman" w:cs="Times New Roman"/>
          <w:sz w:val="24"/>
          <w:szCs w:val="24"/>
        </w:rPr>
        <w:t>commercial</w:t>
      </w:r>
      <w:proofErr w:type="spellEnd"/>
      <w:r w:rsidRPr="002511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1180">
        <w:rPr>
          <w:rFonts w:ascii="Times New Roman" w:eastAsia="Times New Roman" w:hAnsi="Times New Roman" w:cs="Times New Roman"/>
          <w:sz w:val="24"/>
          <w:szCs w:val="24"/>
        </w:rPr>
        <w:t>aviation</w:t>
      </w:r>
      <w:proofErr w:type="spellEnd"/>
      <w:r w:rsidRPr="002511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1180">
        <w:rPr>
          <w:rFonts w:ascii="Times New Roman" w:eastAsia="Times New Roman" w:hAnsi="Times New Roman" w:cs="Times New Roman"/>
          <w:sz w:val="24"/>
          <w:szCs w:val="24"/>
        </w:rPr>
        <w:t>operations</w:t>
      </w:r>
      <w:proofErr w:type="spellEnd"/>
      <w:r w:rsidRPr="002511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>PLOS ONE</w:t>
      </w:r>
      <w:r w:rsidRPr="00251180">
        <w:rPr>
          <w:rFonts w:ascii="Times New Roman" w:eastAsia="Times New Roman" w:hAnsi="Times New Roman" w:cs="Times New Roman"/>
          <w:sz w:val="24"/>
          <w:szCs w:val="24"/>
        </w:rPr>
        <w:t>, v. 20, n. 12, p. e0335141, 2025.</w:t>
      </w:r>
    </w:p>
    <w:p w14:paraId="65D5E8A9" w14:textId="77777777" w:rsidR="00251180" w:rsidRPr="00251180" w:rsidRDefault="00251180" w:rsidP="0025118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180">
        <w:rPr>
          <w:rFonts w:ascii="Times New Roman" w:eastAsia="Times New Roman" w:hAnsi="Times New Roman" w:cs="Times New Roman"/>
          <w:sz w:val="24"/>
          <w:szCs w:val="24"/>
        </w:rPr>
        <w:t xml:space="preserve">MORETTIN, Pedro Alberto; SINGER, Júlio da Motta. </w:t>
      </w:r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>Estatística e ciência de dados</w:t>
      </w:r>
      <w:r w:rsidRPr="00251180">
        <w:rPr>
          <w:rFonts w:ascii="Times New Roman" w:eastAsia="Times New Roman" w:hAnsi="Times New Roman" w:cs="Times New Roman"/>
          <w:sz w:val="24"/>
          <w:szCs w:val="24"/>
        </w:rPr>
        <w:t xml:space="preserve">. 2. ed. Rio de Janeiro: LTC, 2022. </w:t>
      </w:r>
    </w:p>
    <w:p w14:paraId="5A4B7D07" w14:textId="77777777" w:rsidR="00251180" w:rsidRPr="00251180" w:rsidRDefault="00251180" w:rsidP="0025118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180">
        <w:rPr>
          <w:rFonts w:ascii="Times New Roman" w:eastAsia="Times New Roman" w:hAnsi="Times New Roman" w:cs="Times New Roman"/>
          <w:sz w:val="24"/>
          <w:szCs w:val="24"/>
        </w:rPr>
        <w:t xml:space="preserve">STERNBERG, Alice; CARVALHO, Jorge; CARVALHO, Denis; OCHI, Luiz </w:t>
      </w:r>
      <w:proofErr w:type="spellStart"/>
      <w:r w:rsidRPr="00251180">
        <w:rPr>
          <w:rFonts w:ascii="Times New Roman" w:eastAsia="Times New Roman" w:hAnsi="Times New Roman" w:cs="Times New Roman"/>
          <w:sz w:val="24"/>
          <w:szCs w:val="24"/>
        </w:rPr>
        <w:t>Satoru</w:t>
      </w:r>
      <w:proofErr w:type="spellEnd"/>
      <w:r w:rsidRPr="00251180">
        <w:rPr>
          <w:rFonts w:ascii="Times New Roman" w:eastAsia="Times New Roman" w:hAnsi="Times New Roman" w:cs="Times New Roman"/>
          <w:sz w:val="24"/>
          <w:szCs w:val="24"/>
        </w:rPr>
        <w:t xml:space="preserve">; DOS SANTOS, Célio; MARQUES, Laura. A review </w:t>
      </w:r>
      <w:proofErr w:type="spellStart"/>
      <w:r w:rsidRPr="00251180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 w:rsidRPr="002511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1180">
        <w:rPr>
          <w:rFonts w:ascii="Times New Roman" w:eastAsia="Times New Roman" w:hAnsi="Times New Roman" w:cs="Times New Roman"/>
          <w:sz w:val="24"/>
          <w:szCs w:val="24"/>
        </w:rPr>
        <w:t>flight</w:t>
      </w:r>
      <w:proofErr w:type="spellEnd"/>
      <w:r w:rsidRPr="00251180">
        <w:rPr>
          <w:rFonts w:ascii="Times New Roman" w:eastAsia="Times New Roman" w:hAnsi="Times New Roman" w:cs="Times New Roman"/>
          <w:sz w:val="24"/>
          <w:szCs w:val="24"/>
        </w:rPr>
        <w:t xml:space="preserve"> delay </w:t>
      </w:r>
      <w:proofErr w:type="spellStart"/>
      <w:r w:rsidRPr="00251180">
        <w:rPr>
          <w:rFonts w:ascii="Times New Roman" w:eastAsia="Times New Roman" w:hAnsi="Times New Roman" w:cs="Times New Roman"/>
          <w:sz w:val="24"/>
          <w:szCs w:val="24"/>
        </w:rPr>
        <w:t>prediction</w:t>
      </w:r>
      <w:proofErr w:type="spellEnd"/>
      <w:r w:rsidRPr="002511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>arXiv</w:t>
      </w:r>
      <w:proofErr w:type="spellEnd"/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1180">
        <w:rPr>
          <w:rFonts w:ascii="Times New Roman" w:eastAsia="Times New Roman" w:hAnsi="Times New Roman" w:cs="Times New Roman"/>
          <w:b/>
          <w:bCs/>
          <w:sz w:val="24"/>
          <w:szCs w:val="24"/>
        </w:rPr>
        <w:t>preprint</w:t>
      </w:r>
      <w:proofErr w:type="spellEnd"/>
      <w:r w:rsidRPr="00251180">
        <w:rPr>
          <w:rFonts w:ascii="Times New Roman" w:eastAsia="Times New Roman" w:hAnsi="Times New Roman" w:cs="Times New Roman"/>
          <w:sz w:val="24"/>
          <w:szCs w:val="24"/>
        </w:rPr>
        <w:t>, arXiv:1703.06118, 2017.</w:t>
      </w:r>
    </w:p>
    <w:sectPr w:rsidR="00251180" w:rsidRPr="00251180">
      <w:headerReference w:type="default" r:id="rId10"/>
      <w:footerReference w:type="default" r:id="rId11"/>
      <w:pgSz w:w="12240" w:h="15840"/>
      <w:pgMar w:top="1418" w:right="709" w:bottom="1418" w:left="709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371D" w14:textId="77777777" w:rsidR="00745B42" w:rsidRDefault="00745B42">
      <w:pPr>
        <w:spacing w:after="0" w:line="240" w:lineRule="auto"/>
      </w:pPr>
      <w:r>
        <w:separator/>
      </w:r>
    </w:p>
  </w:endnote>
  <w:endnote w:type="continuationSeparator" w:id="0">
    <w:p w14:paraId="03E0C98F" w14:textId="77777777" w:rsidR="00745B42" w:rsidRDefault="00745B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EB013D15-E6C1-4416-B2CD-238D5A33142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9396527-0222-4B62-BDCE-F735BD041E0D}"/>
    <w:embedBold r:id="rId3" w:fontKey="{9D846BDD-2B0F-4271-9D21-317C00EBF468}"/>
    <w:embedItalic r:id="rId4" w:fontKey="{FB323D98-D924-411B-8E16-AA427E991A7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770DE29F-E6C7-4048-870C-D6141FE40DBC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6" w:fontKey="{657FA51E-439B-48D8-BE04-2E025BE4CE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EEBD9C7-92F1-4B9E-B852-62D4C3E844C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E70B5" w14:textId="77777777" w:rsidR="00B11D44" w:rsidRDefault="007149D8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F1C4F">
      <w:rPr>
        <w:noProof/>
        <w:color w:val="000000"/>
      </w:rPr>
      <w:t>1</w:t>
    </w:r>
    <w:r>
      <w:rPr>
        <w:color w:val="000000"/>
      </w:rPr>
      <w:fldChar w:fldCharType="end"/>
    </w:r>
  </w:p>
  <w:p w14:paraId="0286C7A5" w14:textId="77777777" w:rsidR="00B11D44" w:rsidRDefault="00B11D44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03A5D" w14:textId="77777777" w:rsidR="00745B42" w:rsidRDefault="00745B42">
      <w:pPr>
        <w:spacing w:after="0" w:line="240" w:lineRule="auto"/>
      </w:pPr>
      <w:r>
        <w:separator/>
      </w:r>
    </w:p>
  </w:footnote>
  <w:footnote w:type="continuationSeparator" w:id="0">
    <w:p w14:paraId="02A34E54" w14:textId="77777777" w:rsidR="00745B42" w:rsidRDefault="00745B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B6C04" w14:textId="77777777" w:rsidR="00B11D44" w:rsidRDefault="007149D8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 wp14:anchorId="2A1F03E0" wp14:editId="02E46333">
          <wp:simplePos x="0" y="0"/>
          <wp:positionH relativeFrom="page">
            <wp:posOffset>368329</wp:posOffset>
          </wp:positionH>
          <wp:positionV relativeFrom="page">
            <wp:posOffset>333574</wp:posOffset>
          </wp:positionV>
          <wp:extent cx="7184390" cy="9322130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84390" cy="93221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25BA3AF" w14:textId="77777777" w:rsidR="00B11D44" w:rsidRDefault="00B11D44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15B7"/>
    <w:multiLevelType w:val="multilevel"/>
    <w:tmpl w:val="800C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A94293"/>
    <w:multiLevelType w:val="multilevel"/>
    <w:tmpl w:val="71203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A87C95"/>
    <w:multiLevelType w:val="multilevel"/>
    <w:tmpl w:val="54548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E6656B"/>
    <w:multiLevelType w:val="multilevel"/>
    <w:tmpl w:val="B492D9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9051279"/>
    <w:multiLevelType w:val="multilevel"/>
    <w:tmpl w:val="DF8C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330094">
    <w:abstractNumId w:val="3"/>
  </w:num>
  <w:num w:numId="2" w16cid:durableId="1978872331">
    <w:abstractNumId w:val="4"/>
  </w:num>
  <w:num w:numId="3" w16cid:durableId="1711765208">
    <w:abstractNumId w:val="2"/>
  </w:num>
  <w:num w:numId="4" w16cid:durableId="1007903857">
    <w:abstractNumId w:val="1"/>
  </w:num>
  <w:num w:numId="5" w16cid:durableId="749231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D44"/>
    <w:rsid w:val="000E20A9"/>
    <w:rsid w:val="0010505B"/>
    <w:rsid w:val="00133DA9"/>
    <w:rsid w:val="001C1949"/>
    <w:rsid w:val="00251180"/>
    <w:rsid w:val="002865DC"/>
    <w:rsid w:val="002975E9"/>
    <w:rsid w:val="002A70E8"/>
    <w:rsid w:val="002D67BD"/>
    <w:rsid w:val="003500FE"/>
    <w:rsid w:val="004A592F"/>
    <w:rsid w:val="006C3EFE"/>
    <w:rsid w:val="007149D8"/>
    <w:rsid w:val="00741B99"/>
    <w:rsid w:val="00745B42"/>
    <w:rsid w:val="00803D88"/>
    <w:rsid w:val="00827085"/>
    <w:rsid w:val="008E5D19"/>
    <w:rsid w:val="00946559"/>
    <w:rsid w:val="009E732E"/>
    <w:rsid w:val="00A33CE3"/>
    <w:rsid w:val="00A5651D"/>
    <w:rsid w:val="00A57016"/>
    <w:rsid w:val="00A9459B"/>
    <w:rsid w:val="00AA3D0B"/>
    <w:rsid w:val="00AF1C4F"/>
    <w:rsid w:val="00B11D44"/>
    <w:rsid w:val="00BD400E"/>
    <w:rsid w:val="00C14612"/>
    <w:rsid w:val="00C45926"/>
    <w:rsid w:val="00CA645E"/>
    <w:rsid w:val="00CD19D8"/>
    <w:rsid w:val="00CE18B6"/>
    <w:rsid w:val="00DF0B4F"/>
    <w:rsid w:val="00E6351C"/>
    <w:rsid w:val="00F21499"/>
    <w:rsid w:val="00FB1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CEC22"/>
  <w15:docId w15:val="{FC7B92C8-CAB8-442D-81AB-D0D9721D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Ttulo7">
    <w:name w:val="heading 7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widowControl w:val="0"/>
      <w:spacing w:before="35" w:after="0" w:line="240" w:lineRule="auto"/>
      <w:ind w:left="2988" w:right="3125"/>
      <w:jc w:val="center"/>
    </w:pPr>
    <w:rPr>
      <w:sz w:val="32"/>
      <w:szCs w:val="32"/>
    </w:rPr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Fontepargpadro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Fontepargpadro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Fontepargpadro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Fontepargpadro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Fontepargpadr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ontepargpadr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ontepargpadr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365F91" w:themeColor="accent1" w:themeShade="BF"/>
    </w:rPr>
  </w:style>
  <w:style w:type="paragraph" w:styleId="CitaoIntensa">
    <w:name w:val="Intense Quote"/>
    <w:link w:val="CitaoIntensa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paragraph" w:styleId="Cabealho">
    <w:name w:val="header"/>
    <w:link w:val="Cabealho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paragraph" w:styleId="Sumrio1">
    <w:name w:val="toc 1"/>
    <w:uiPriority w:val="39"/>
    <w:unhideWhenUsed/>
    <w:pPr>
      <w:spacing w:after="100"/>
    </w:pPr>
  </w:style>
  <w:style w:type="paragraph" w:styleId="Sumrio2">
    <w:name w:val="toc 2"/>
    <w:uiPriority w:val="39"/>
    <w:unhideWhenUsed/>
    <w:pPr>
      <w:spacing w:after="100"/>
      <w:ind w:left="220"/>
    </w:pPr>
  </w:style>
  <w:style w:type="paragraph" w:styleId="Sumrio3">
    <w:name w:val="toc 3"/>
    <w:uiPriority w:val="39"/>
    <w:unhideWhenUsed/>
    <w:pPr>
      <w:spacing w:after="100"/>
      <w:ind w:left="440"/>
    </w:pPr>
  </w:style>
  <w:style w:type="paragraph" w:styleId="Sumrio4">
    <w:name w:val="toc 4"/>
    <w:uiPriority w:val="39"/>
    <w:unhideWhenUsed/>
    <w:pPr>
      <w:spacing w:after="100"/>
      <w:ind w:left="660"/>
    </w:pPr>
  </w:style>
  <w:style w:type="paragraph" w:styleId="Sumrio5">
    <w:name w:val="toc 5"/>
    <w:uiPriority w:val="39"/>
    <w:unhideWhenUsed/>
    <w:pPr>
      <w:spacing w:after="100"/>
      <w:ind w:left="880"/>
    </w:pPr>
  </w:style>
  <w:style w:type="paragraph" w:styleId="Sumrio6">
    <w:name w:val="toc 6"/>
    <w:uiPriority w:val="39"/>
    <w:unhideWhenUsed/>
    <w:pPr>
      <w:spacing w:after="100"/>
      <w:ind w:left="1100"/>
    </w:pPr>
  </w:style>
  <w:style w:type="paragraph" w:styleId="Sumrio7">
    <w:name w:val="toc 7"/>
    <w:uiPriority w:val="39"/>
    <w:unhideWhenUsed/>
    <w:pPr>
      <w:spacing w:after="100"/>
      <w:ind w:left="1320"/>
    </w:pPr>
  </w:style>
  <w:style w:type="paragraph" w:styleId="Sumrio8">
    <w:name w:val="toc 8"/>
    <w:uiPriority w:val="39"/>
    <w:unhideWhenUsed/>
    <w:pPr>
      <w:spacing w:after="100"/>
      <w:ind w:left="1540"/>
    </w:pPr>
  </w:style>
  <w:style w:type="paragraph" w:styleId="Sumrio9">
    <w:name w:val="toc 9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uiPriority w:val="99"/>
    <w:unhideWhenUsed/>
    <w:pPr>
      <w:spacing w:after="0"/>
    </w:p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berta.wichmann@idp.edu.b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7lL805pixudK04VH5N5C2j2BuA==">CgMxLjA4AHIhMV9MSEY3OXMyZklqTVFiLWcxNGRuUmRoTDdhTVZrQjM0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1639</Words>
  <Characters>8852</Characters>
  <Application>Microsoft Office Word</Application>
  <DocSecurity>0</DocSecurity>
  <Lines>73</Lines>
  <Paragraphs>20</Paragraphs>
  <ScaleCrop>false</ScaleCrop>
  <Company/>
  <LinksUpToDate>false</LinksUpToDate>
  <CharactersWithSpaces>10471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Osvaldo Souza</cp:lastModifiedBy>
  <cp:revision>22</cp:revision>
  <dcterms:created xsi:type="dcterms:W3CDTF">2026-09-03T17:37:00Z</dcterms:created>
  <dcterms:modified xsi:type="dcterms:W3CDTF">2026-09-26T18:39:00Z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fdc594922f6550099705410194c4922b1e6107e7654ef79dbdc2442ac6222425</vt:lpwstr>
  </property>
</Properties>
</file>