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>
          <w:rFonts w:ascii="Times New Roman" w:hAnsi="Times New Roman"/>
          <w:color w:val="000000"/>
          <w:sz w:val="24"/>
        </w:rPr>
        <w:t>PROJETO PARCIAL – ATIVIDADE 1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DISCIPLINA:</w:t>
      </w:r>
      <w:r>
        <w:rPr>
          <w:rFonts w:ascii="Times New Roman" w:hAnsi="Times New Roman"/>
          <w:color w:val="000000"/>
          <w:sz w:val="24"/>
        </w:rPr>
        <w:t xml:space="preserve"> Introdução ao Machine Learning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CURSO:</w:t>
      </w:r>
      <w:r>
        <w:rPr>
          <w:rFonts w:ascii="Times New Roman" w:hAnsi="Times New Roman"/>
          <w:color w:val="000000"/>
          <w:sz w:val="24"/>
        </w:rPr>
        <w:t xml:space="preserve"> Mestrado em Administração Pública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ÁREA DE CONCENTRAÇÃO:</w:t>
      </w:r>
      <w:r>
        <w:rPr>
          <w:rFonts w:ascii="Times New Roman" w:hAnsi="Times New Roman"/>
          <w:color w:val="000000"/>
          <w:sz w:val="24"/>
        </w:rPr>
        <w:t xml:space="preserve"> Ciência de Dados e Inteligência Artificial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DOCENTE RESPONSÁVEL:</w:t>
      </w:r>
      <w:r>
        <w:rPr>
          <w:rFonts w:ascii="Times New Roman" w:hAnsi="Times New Roman"/>
          <w:color w:val="000000"/>
          <w:sz w:val="24"/>
        </w:rPr>
        <w:t xml:space="preserve"> Roberta Moreira Wichmann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E-MAIL:</w:t>
      </w:r>
      <w:r>
        <w:rPr>
          <w:rFonts w:ascii="Times New Roman" w:hAnsi="Times New Roman"/>
          <w:color w:val="000000"/>
          <w:sz w:val="24"/>
        </w:rPr>
        <w:t xml:space="preserve"> roberta.wichmann@idp.edu.br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ANO E BIMESTRE DE REFERÊNCIA:</w:t>
      </w:r>
      <w:r>
        <w:rPr>
          <w:rFonts w:ascii="Times New Roman" w:hAnsi="Times New Roman"/>
          <w:color w:val="000000"/>
          <w:sz w:val="24"/>
        </w:rPr>
        <w:t xml:space="preserve"> 2026/2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ENTREGA PARA A PROFESSORA:</w:t>
      </w:r>
      <w:r>
        <w:rPr>
          <w:rFonts w:ascii="Times New Roman" w:hAnsi="Times New Roman"/>
          <w:color w:val="000000"/>
          <w:sz w:val="24"/>
        </w:rPr>
        <w:t xml:space="preserve"> 28/09/2026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Título:</w:t>
      </w:r>
      <w:r>
        <w:rPr>
          <w:rFonts w:ascii="Times New Roman" w:hAnsi="Times New Roman"/>
          <w:color w:val="000000"/>
          <w:sz w:val="24"/>
        </w:rPr>
        <w:t xml:space="preserve">  Exploração de dados públicos da Agência Nacional de Aviação Civil (ANAC) para investigar e prever, com antecedência definida, atrasos e cancelamentos de voos regulares</w:t>
      </w:r>
    </w:p>
    <w:p>
      <w:pPr>
        <w:spacing w:line="276" w:lineRule="auto" w:after="120"/>
        <w:jc w:val="left"/>
      </w:pPr>
      <w:r>
        <w:rPr>
          <w:rFonts w:ascii="Times New Roman" w:hAnsi="Times New Roman"/>
          <w:b/>
          <w:color w:val="000000"/>
          <w:sz w:val="24"/>
        </w:rPr>
        <w:t>Nome dos alunos:</w:t>
      </w:r>
      <w:r>
        <w:rPr>
          <w:rFonts w:ascii="Times New Roman" w:hAnsi="Times New Roman"/>
          <w:color w:val="000000"/>
          <w:sz w:val="24"/>
        </w:rPr>
        <w:t xml:space="preserve"> Francisco Alberto Fonseca Neto; Lucimar Oliveira do Nascimento; Osvaldo Souza Menezes Júnior Menezes Júnior.</w:t>
      </w:r>
    </w:p>
    <w:p>
      <w:pPr>
        <w:pStyle w:val="Ttulo1"/>
      </w:pPr>
      <w:r>
        <w:rPr>
          <w:rFonts w:ascii="Times New Roman" w:hAnsi="Times New Roman"/>
          <w:color w:val="000000"/>
          <w:sz w:val="24"/>
        </w:rPr>
        <w:t>1. Introdução</w:t>
      </w:r>
    </w:p>
    <w:p>
      <w:pPr/>
      <w:r>
        <w:rPr>
          <w:rFonts w:ascii="Times New Roman" w:hAnsi="Times New Roman"/>
          <w:color w:val="000000"/>
          <w:sz w:val="24"/>
        </w:rPr>
        <w:t>A pontualidade do transporte aéreo interessa aos passageiros, às empresas e à administração pública responsável pelo acompanhamento do setor. A análise de registros de voos pode apoiar o diagnóstico de padrões de atraso e a identificação de limitações dos dados utilizados nesse monitoramento. Neste projeto acadêmico, pretende-se estudar a possibilidade de classificação antecipada do atraso na partida, sem pressupor que uma previsão permita identificar suas causas ou, por si só, orientar uma intervenção regulatória.</w:t>
      </w:r>
    </w:p>
    <w:p>
      <w:pPr/>
      <w:r>
        <w:rPr>
          <w:rFonts w:ascii="Times New Roman" w:hAnsi="Times New Roman"/>
          <w:color w:val="000000"/>
          <w:sz w:val="24"/>
        </w:rPr>
        <w:t>A fonte é o conjunto Voo Regular Ativo (VRA), disponibilizado pela Agência Nacional de Aviação Civil (ANAC, s.d.). O recorte adotado compreende 2024 e 2025 e utiliza o arquivo consolidado base_lucimar_nascimento_v2.csv. Esse arquivo é a entrada preservada do estudo e já reúne campos de origem e campos derivados; não deve ser confundido com cada arquivo mensal original da ANAC. A unidade observacional é o registro de uma etapa de voo. A base inclui registros de empresas e aeroportos estrangeiros, de modo que seu conteúdo não se restringe a voos domésticos.</w:t>
      </w:r>
    </w:p>
    <w:p>
      <w:pPr/>
      <w:r>
        <w:rPr>
          <w:rFonts w:ascii="Times New Roman" w:hAnsi="Times New Roman"/>
          <w:color w:val="000000"/>
          <w:sz w:val="24"/>
        </w:rPr>
        <w:t>A pergunta orientadora é: “</w:t>
      </w:r>
      <w:r>
        <w:rPr>
          <w:rFonts w:ascii="Times New Roman" w:hAnsi="Times New Roman"/>
          <w:b/>
          <w:color w:val="000000"/>
          <w:sz w:val="24"/>
        </w:rPr>
        <w:t>E</w:t>
      </w:r>
      <w:r>
        <w:rPr>
          <w:rFonts w:ascii="Times New Roman" w:hAnsi="Times New Roman"/>
          <w:b/>
          <w:color w:val="000000"/>
          <w:sz w:val="24"/>
        </w:rPr>
        <w:t>m que medida informações disponíveis antes da partida, como companhia aérea, aeroportos de origem e destino, rota e horário programado, permitem prever a faixa de atraso na partida dos voos realizados no recorte VRA/ANAC de 2024 e 2025?</w:t>
      </w:r>
      <w:r>
        <w:rPr>
          <w:rFonts w:ascii="Times New Roman" w:hAnsi="Times New Roman"/>
          <w:color w:val="000000"/>
          <w:sz w:val="24"/>
        </w:rPr>
        <w:t>” Nesta primeira atividade, o trabalho define o problema, examina a base e estabelece os cuidados necessários à etapa preditiva.</w:t>
      </w:r>
    </w:p>
    <w:p>
      <w:pPr/>
      <w:r>
        <w:rPr>
          <w:rFonts w:ascii="Times New Roman" w:hAnsi="Times New Roman"/>
          <w:color w:val="000000"/>
          <w:sz w:val="24"/>
        </w:rPr>
        <w:t>O alvo principal é codigo_faixa_atraso, uma variável categórica ordinal com seis classes. Sua descrição textual é faixa_atraso_partida. Ambas derivam de atraso_partida_minutos, calculado como a diferença, em minutos, entre partida real e partida prevista. Valores negativos representam antecipação. As faixas são escolhas analíticas do projeto, definidas da seguinte forma: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0 — Pontual ou antecipado: atraso menor ou igual a zero minuto.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1 — Atraso inferior a 15 minutos: atraso maior que zero e menor que 15 minutos.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2 — Atraso de 15 a 30 minutos: atraso maior ou igual a 15 e menor ou igual a 30 minutos.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3 — Atraso superior a 30 até 45 minutos: atraso maior que 30 e menor ou igual a 45 minutos.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4 — Atraso superior a 45 até 60 minutos: atraso maior que 45 e menor ou igual a 60 minutos.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5 — Atraso superior a 60 minutos: atraso maior que 60 minutos.</w:t>
      </w:r>
    </w:p>
    <w:p>
      <w:pPr/>
      <w:r>
        <w:rPr>
          <w:rFonts w:ascii="Times New Roman" w:hAnsi="Times New Roman"/>
          <w:color w:val="000000"/>
          <w:sz w:val="24"/>
        </w:rPr>
        <w:t>O indicador secundário atraso_bi vale 1 quando o atraso é de pelo menos 15 minutos e 0 quando é inferior a 15 minutos, incluindo antecipações. Ele resume as faixas 2 a 5 e permite descrições complementares; o problema principal permanece a classificação em seis faixas. Os limites definidos aqui não são apresentados como categorias regulatórias nem como regra automática de assistência ao passageiro.</w:t>
      </w:r>
    </w:p>
    <w:p>
      <w:pPr/>
      <w:r>
        <w:rPr>
          <w:rFonts w:ascii="Times New Roman" w:hAnsi="Times New Roman"/>
          <w:color w:val="000000"/>
          <w:sz w:val="24"/>
        </w:rPr>
        <w:t>A análise do alvo considera voos realizados com datas de partida utilizáveis. Cancelamentos e registros sem elementos necessários ao cálculo são contabilizados na auditoria de exclusões. O CSV de entrada permanece intacto, e as transformações são realizadas em memória pelo notebook. Valores extremos exigem inspeção dos registros e da origem das datas antes de qualquer exclusão adicional. O relatório organiza-se nesta introdução, nos objetivos, no referencial teórico e nas referências; as tabelas, os gráficos e a auditoria constam do notebook.</w:t>
      </w:r>
    </w:p>
    <w:p>
      <w:pPr>
        <w:pStyle w:val="Ttulo1"/>
      </w:pPr>
      <w:r>
        <w:rPr>
          <w:rFonts w:ascii="Times New Roman" w:hAnsi="Times New Roman"/>
          <w:color w:val="000000"/>
          <w:sz w:val="24"/>
        </w:rPr>
        <w:t>2. Objetivos</w:t>
      </w:r>
    </w:p>
    <w:p>
      <w:pPr>
        <w:pStyle w:val="Ttulo2"/>
      </w:pPr>
      <w:r>
        <w:rPr>
          <w:rFonts w:ascii="Times New Roman" w:hAnsi="Times New Roman"/>
          <w:color w:val="000000"/>
          <w:sz w:val="24"/>
        </w:rPr>
        <w:t>2.1 Objetivo geral</w:t>
      </w:r>
    </w:p>
    <w:p>
      <w:pPr/>
      <w:r>
        <w:rPr>
          <w:rFonts w:ascii="Times New Roman" w:hAnsi="Times New Roman"/>
          <w:color w:val="000000"/>
          <w:sz w:val="24"/>
        </w:rPr>
        <w:t>Investigar a possibilidade de prever faixas de atraso na partida de voos registrados na base VRA/ANAC de 2024 e 2025, utilizando informações conhecidas antes da partida, e produzir uma análise reproduzível que possa apoiar o diagnóstico da pontualidade no setor aéreo.</w:t>
      </w:r>
    </w:p>
    <w:p>
      <w:pPr>
        <w:pStyle w:val="Ttulo2"/>
      </w:pPr>
      <w:r>
        <w:rPr>
          <w:rFonts w:ascii="Times New Roman" w:hAnsi="Times New Roman"/>
          <w:color w:val="000000"/>
          <w:sz w:val="24"/>
        </w:rPr>
        <w:t>2.2 Objetivos específicos</w:t>
      </w:r>
    </w:p>
    <w:p>
      <w:pPr/>
      <w:r>
        <w:rPr>
          <w:rFonts w:ascii="Times New Roman" w:hAnsi="Times New Roman"/>
          <w:color w:val="000000"/>
          <w:sz w:val="24"/>
        </w:rPr>
        <w:t>Para a Atividade 1, estabelecem-se os seguintes objetivos: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Caracterizar a fonte, a unidade de observação, o período e as variáveis disponíveis, mantendo correspondência entre CSV, notebook e dicionário.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Definir e construir o alvo ordinal de seis faixas e o indicador binário complementar, com limites explícitos e verificáveis.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Descrever o atraso na partida por medidas de posição, dispersão, frequências e gráficos, examinando o desequilíbrio entre classes.</w:t>
      </w:r>
    </w:p>
    <w:p>
      <w:pPr>
        <w:pStyle w:val="ListBullet"/>
      </w:pPr>
      <w:r>
        <w:rPr>
          <w:rFonts w:ascii="Times New Roman" w:hAnsi="Times New Roman"/>
          <w:color w:val="000000"/>
          <w:sz w:val="24"/>
        </w:rPr>
        <w:t xml:space="preserve">• </w:t>
      </w:r>
      <w:r>
        <w:rPr>
          <w:rFonts w:ascii="Times New Roman" w:hAnsi="Times New Roman"/>
          <w:color w:val="000000"/>
          <w:sz w:val="24"/>
        </w:rPr>
        <w:t>Auditar dados ausentes, exclusões e valores temporais extremos, documentando as limitações que podem afetar a análise.</w:t>
      </w:r>
    </w:p>
    <w:p>
      <w:pPr>
        <w:pStyle w:val="Ttulo1"/>
      </w:pPr>
      <w:r>
        <w:rPr>
          <w:rFonts w:ascii="Times New Roman" w:hAnsi="Times New Roman"/>
          <w:color w:val="000000"/>
          <w:sz w:val="24"/>
        </w:rPr>
        <w:t>3. Referencial Teórico</w:t>
      </w:r>
    </w:p>
    <w:p>
      <w:pPr/>
      <w:r>
        <w:rPr>
          <w:rFonts w:ascii="Times New Roman" w:hAnsi="Times New Roman"/>
          <w:color w:val="000000"/>
          <w:sz w:val="24"/>
        </w:rPr>
        <w:t>A pontualidade constitui uma dimensão relevante para o estudo do transporte aéreo, mas sua interpretação depende da definição do indicador e da cobertura dos registros. Neste projeto, o atraso é definido como a diferença entre os horários real e previsto de partida. A medida descreve a pontualidade registrada, sem representar, isoladamente, a qualidade global do serviço ou o impacto de uma política pública.</w:t>
      </w:r>
    </w:p>
    <w:p>
      <w:pPr/>
      <w:r>
        <w:rPr>
          <w:rFonts w:ascii="Times New Roman" w:hAnsi="Times New Roman"/>
          <w:color w:val="000000"/>
          <w:sz w:val="24"/>
        </w:rPr>
        <w:t>Carvalho et al. (2021) apresentam uma revisão sistemática das aplicações de ciência de dados à investigação de atrasos de voos, organizando as abordagens e os métodos utilizados na área. A diversidade de problemas examinados oferece uma base para situar o presente trabalho e explicitar seu recorte: prever a faixa de atraso na partida de uma etapa de voo, utilizando informações disponíveis antes da partida. Assim, o estudo não se propõe a prever atrasos na chegada nem a identificar causas individuais de atrasos. A companhia aérea, os aeroportos de origem e destino, a rota e o horário programado serão examinados como possíveis preditores, cuja utilidade deverá ser verificada empiricamente na base VRA/ANAC de 2024 e 2025.</w:t>
      </w:r>
    </w:p>
    <w:p>
      <w:pPr/>
      <w:r>
        <w:rPr>
          <w:rFonts w:ascii="Times New Roman" w:hAnsi="Times New Roman"/>
          <w:color w:val="000000"/>
          <w:sz w:val="24"/>
        </w:rPr>
        <w:t>No contexto brasileiro, Sternberg et al. (2016) investigam padrões de atraso na partida de voos domésticos regulares por meio de regras de associação, relacionando características dos voos, aeroportos, companhias e condições meteorológicas. Esse trabalho oferece um antecedente para a análise exploratória proposta, em particular para comparar distribuições de atraso entre empresas, aeroportos e períodos do dia. Entretanto, a descoberta de associações não equivale à avaliação de um classificador supervisionado nem demonstra causalidade. Além disso, o recorte deste projeto inclui registros envolvendo empresas e aeroportos estrangeiros e não incorpora uma base meteorológica. Por isso, os padrões encontrados naquele estudo devem orientar perguntas de análise, sem serem assumidos como resultados válidos para a base atual. Associações entre horário programado e atraso também não bastam para demonstrar propagação entre etapas de uma mesma aeronave.</w:t>
      </w:r>
    </w:p>
    <w:p>
      <w:pPr/>
      <w:r>
        <w:rPr>
          <w:rFonts w:ascii="Times New Roman" w:hAnsi="Times New Roman"/>
          <w:color w:val="000000"/>
          <w:sz w:val="24"/>
        </w:rPr>
        <w:t>A partir do atraso contínuo, este estudo define seis faixas ordenadas e formula uma tarefa de classificação. Essa opção facilita a descrição por níveis, mas perde informação sobre a diferença exata em minutos dentro de cada categoria. As seis faixas e seus limites são escolhas analíticas do projeto, e não categorias regulatórias ou uma classificação validada pelos artigos citados. A análise exploratória preserva, portanto, o atraso contínuo, enquanto a avaliação futura deverá considerar tanto a classe prevista quanto a distância entre a faixa prevista e a observada.</w:t>
      </w:r>
    </w:p>
    <w:p>
      <w:pPr/>
      <w:r>
        <w:rPr>
          <w:rFonts w:ascii="Times New Roman" w:hAnsi="Times New Roman"/>
          <w:color w:val="000000"/>
          <w:sz w:val="24"/>
        </w:rPr>
        <w:t>Moreira et al. (2018) aproximam a discussão metodológica do domínio estudado ao avaliar técnicas de pré-processamento e classificação de atrasos com dados de operações aéreas brasileiras integrados a informações meteorológicas. Os autores investigam o desbalanceamento entre presença e ausência de atraso e a capacidade dos modelos de reconhecer a ocorrência de atrasos. Na execução original da base deste projeto, a faixa pontual ou antecipada representou 59,38% dos registros elegíveis, enquanto a faixa de mais de 45 até 60 minutos correspondeu a 1,74%. A diferença motiva avaliar o desempenho de cada faixa, utilizando matriz de confusão, macro-F1 e acurácia balanceada, além da acurácia global. Como Moreira et al. (2018) estudam uma classificação binária e utilizam informações adicionais, seus resultados não constituem uma expectativa de desempenho para as seis classes deste projeto. Ponderação de classes ou reamostragem serão alternativas a testar apenas nos dados de treinamento, sem pressupor melhora.</w:t>
      </w:r>
    </w:p>
    <w:p>
      <w:pPr/>
      <w:r>
        <w:rPr>
          <w:rFonts w:ascii="Times New Roman" w:hAnsi="Times New Roman"/>
          <w:color w:val="000000"/>
          <w:sz w:val="24"/>
        </w:rPr>
        <w:t>A dimensão temporal também merece atenção. Giusti et al. (2022) investigam a previsão de atrasos sob mudanças na distribuição dos dados ao longo do tempo, fenômeno conhecido como concept drift, e analisam estratégias de atualização de modelos em diferentes escalas. Para o presente trabalho, essa discussão reforça a necessidade de avaliar a capacidade de prever observações posteriores às utilizadas no treinamento. A separação temporal prevista para a etapa de modelagem permitirá examinar a generalização no período reservado para teste; ela não demonstra, por si só, a ocorrência de concept drift entre 2024 e 2025. Diferenças entre períodos e eventual deterioração do desempenho deverão ser discutidas à luz da composição dos voos e da qualidade dos registros, sem atribuição automática a mudanças no processo operacional.</w:t>
      </w:r>
    </w:p>
    <w:p>
      <w:pPr/>
      <w:r>
        <w:rPr>
          <w:rFonts w:ascii="Times New Roman" w:hAnsi="Times New Roman"/>
          <w:color w:val="000000"/>
          <w:sz w:val="24"/>
        </w:rPr>
        <w:t>Como o objetivo é antecipar a faixa de atraso, a matriz de preditores deverá excluir as datas reais de partida e chegada, o atraso calculado e qualquer representação do próprio alvo, pois essas informações não estariam disponíveis no momento da previsão. Transformações que aprendam parâmetros, como imputação e codificação, deverão ser ajustadas apenas no treinamento. Esses cuidados permitem que a avaliação temporal represente de forma mais coerente o uso pretendido do modelo.</w:t>
      </w:r>
    </w:p>
    <w:p>
      <w:pPr/>
      <w:r>
        <w:rPr>
          <w:rFonts w:ascii="Times New Roman" w:hAnsi="Times New Roman"/>
          <w:color w:val="000000"/>
          <w:sz w:val="24"/>
        </w:rPr>
        <w:t>Em conjunto, a literatura sustenta a relevância do tema e orienta a análise de padrões, o tratamento do desbalanceamento e a avaliação temporal. Nesta etapa parcial, o trabalho descreve a base e suas limitações; a capacidade preditiva será examinada na etapa seguinte. Cancelamentos e registros sem elementos para calcular o alvo serão contabilizados na auditoria de exclusões. Os extremos de atraso demandam inspeção dos registros e da origem das datas, sem atribuição automática a meteorologia ou manutenção. Os metadados oficiais do VRA informam que os horários previstos e realizados são publicados em horário de Brasília (ANAC, s.d.); ainda assim, a consolidação e as diferenças temporais devem ser auditadas, preservando a rastreabilidade da base de entrada.</w:t>
      </w:r>
    </w:p>
    <w:p>
      <w:pPr>
        <w:pStyle w:val="Ttulo1"/>
      </w:pPr>
      <w:r>
        <w:rPr>
          <w:rFonts w:ascii="Times New Roman" w:hAnsi="Times New Roman"/>
          <w:color w:val="000000"/>
          <w:sz w:val="24"/>
        </w:rPr>
        <w:t>4. Referências</w:t>
      </w:r>
    </w:p>
    <w:p>
      <w:pPr>
        <w:spacing w:line="240" w:lineRule="auto" w:after="120"/>
        <w:ind w:left="576" w:hanging="576"/>
        <w:jc w:val="left"/>
      </w:pPr>
      <w:r>
        <w:rPr>
          <w:rFonts w:ascii="Times New Roman" w:hAnsi="Times New Roman"/>
          <w:color w:val="000000"/>
          <w:sz w:val="24"/>
        </w:rPr>
        <w:t>AGÊNCIA NACIONAL DE AVIAÇÃO CIVIL (ANAC). Voo Regular Ativo (VRA). Brasília, DF: ANAC, [s.d.]. Disponível em: https://www.gov.br/anac/pt-br/acesso-a-informacao/dados-abertos/areas-de-atuacao/voos-e-operacoes-aereas/voo-regular-ativo-vra. Acesso em: 27 set. 2026.</w:t>
      </w:r>
    </w:p>
    <w:p>
      <w:pPr>
        <w:spacing w:line="240" w:lineRule="auto" w:after="120"/>
        <w:ind w:left="576" w:hanging="576"/>
        <w:jc w:val="left"/>
      </w:pPr>
      <w:r>
        <w:rPr>
          <w:rFonts w:ascii="Times New Roman" w:hAnsi="Times New Roman"/>
          <w:color w:val="000000"/>
          <w:sz w:val="24"/>
        </w:rPr>
        <w:t>CARVALHO, Leonardo et al. On the relevance of data science for flight delay research: a systematic review. Transport Reviews, v. 41, n. 4, p. 499–528, 2021. DOI: https://doi.org/10.1080/01441647.2020.1861123.</w:t>
      </w:r>
    </w:p>
    <w:p>
      <w:pPr>
        <w:spacing w:line="240" w:lineRule="auto" w:after="120"/>
        <w:ind w:left="576" w:hanging="576"/>
        <w:jc w:val="left"/>
      </w:pPr>
      <w:r>
        <w:rPr>
          <w:rFonts w:ascii="Times New Roman" w:hAnsi="Times New Roman"/>
          <w:color w:val="000000"/>
          <w:sz w:val="24"/>
        </w:rPr>
        <w:t>GIUSTI, Lucas et al. Analyzing flight delay prediction under concept drift. Evolving Systems, v. 13, n. 5, p. 723–736, 2022. DOI: https://doi.org/10.1007/s12530-021-09415-z.</w:t>
      </w:r>
    </w:p>
    <w:p>
      <w:pPr>
        <w:spacing w:line="240" w:lineRule="auto" w:after="120"/>
        <w:ind w:left="576" w:hanging="576"/>
        <w:jc w:val="left"/>
      </w:pPr>
      <w:r>
        <w:rPr>
          <w:rFonts w:ascii="Times New Roman" w:hAnsi="Times New Roman"/>
          <w:color w:val="000000"/>
          <w:sz w:val="24"/>
        </w:rPr>
        <w:t>MOREIRA, Leonardo; DANTAS, Christofer; OLIVEIRA, Leonardo; SOARES, Jorge; OGASAWARA, Eduardo. On Evaluating Data Preprocessing Methods for Machine Learning Models for Flight Delays. In: INTERNATIONAL JOINT CONFERENCE ON NEURAL NETWORKS (IJCNN), 2018, Rio de Janeiro. Proceedings [...]. IEEE, 2018. p. 1–8. DOI: https://doi.org/10.1109/IJCNN.2018.8489294.</w:t>
      </w:r>
    </w:p>
    <w:p>
      <w:pPr>
        <w:spacing w:line="240" w:lineRule="auto" w:after="120"/>
        <w:ind w:left="576" w:hanging="576"/>
        <w:jc w:val="left"/>
      </w:pPr>
      <w:r>
        <w:rPr>
          <w:rFonts w:ascii="Times New Roman" w:hAnsi="Times New Roman"/>
          <w:color w:val="000000"/>
          <w:sz w:val="24"/>
        </w:rPr>
        <w:t>STERNBERG, Alice; CARVALHO, Diego; MURTA, Leonardo; SOARES, Jorge; OGASAWARA, Eduardo. An analysis of Brazilian flight delays based on frequent patterns. Transportation Research Part E: Logistics and Transportation Review, v. 95, p. 282–298, 2016. DOI: https://doi.org/10.1016/j.tre.2016.09.013.</w:t>
      </w:r>
    </w:p>
    <w:sectPr w:rsidR="00251180" w:rsidRPr="00251180">
      <w:headerReference w:type="default" r:id="rId10"/>
      <w:footerReference w:type="default" r:id="rId11"/>
      <w:pgSz w:w="12240" w:h="15840"/>
      <w:pgMar w:top="1418" w:right="709" w:bottom="1418" w:left="709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371D" w14:textId="77777777" w:rsidR="00745B42" w:rsidRDefault="00745B42">
      <w:pPr>
        <w:spacing w:after="0" w:line="240" w:lineRule="auto"/>
      </w:pPr>
      <w:r>
        <w:separator/>
      </w:r>
    </w:p>
  </w:endnote>
  <w:endnote w:type="continuationSeparator" w:id="0">
    <w:p w14:paraId="03E0C98F" w14:textId="77777777" w:rsidR="00745B42" w:rsidRDefault="00745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EB013D15-E6C1-4416-B2CD-238D5A33142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9396527-0222-4B62-BDCE-F735BD041E0D}"/>
    <w:embedBold r:id="rId3" w:fontKey="{9D846BDD-2B0F-4271-9D21-317C00EBF468}"/>
    <w:embedItalic r:id="rId4" w:fontKey="{FB323D98-D924-411B-8E16-AA427E991A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70DE29F-E6C7-4048-870C-D6141FE40DBC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6" w:fontKey="{657FA51E-439B-48D8-BE04-2E025BE4CE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EEBD9C7-92F1-4B9E-B852-62D4C3E844C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E70B5" w14:textId="77777777" w:rsidR="00B11D44" w:rsidRDefault="007149D8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F1C4F">
      <w:rPr>
        <w:noProof/>
        <w:color w:val="000000"/>
      </w:rPr>
      <w:t>1</w:t>
    </w:r>
    <w:r>
      <w:rPr>
        <w:color w:val="000000"/>
      </w:rPr>
      <w:fldChar w:fldCharType="end"/>
    </w:r>
  </w:p>
  <w:p w14:paraId="0286C7A5" w14:textId="77777777" w:rsidR="00B11D44" w:rsidRDefault="00B11D44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03A5D" w14:textId="77777777" w:rsidR="00745B42" w:rsidRDefault="00745B42">
      <w:pPr>
        <w:spacing w:after="0" w:line="240" w:lineRule="auto"/>
      </w:pPr>
      <w:r>
        <w:separator/>
      </w:r>
    </w:p>
  </w:footnote>
  <w:footnote w:type="continuationSeparator" w:id="0">
    <w:p w14:paraId="02A34E54" w14:textId="77777777" w:rsidR="00745B42" w:rsidRDefault="00745B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B6C04" w14:textId="77777777" w:rsidR="00B11D44" w:rsidRDefault="007149D8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2A1F03E0" wp14:editId="02E46333">
          <wp:simplePos x="0" y="0"/>
          <wp:positionH relativeFrom="page">
            <wp:posOffset>368329</wp:posOffset>
          </wp:positionH>
          <wp:positionV relativeFrom="page">
            <wp:posOffset>333574</wp:posOffset>
          </wp:positionV>
          <wp:extent cx="7184390" cy="9322130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84390" cy="93221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25BA3AF" w14:textId="77777777" w:rsidR="00B11D44" w:rsidRDefault="00B11D44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E15B7"/>
    <w:multiLevelType w:val="multilevel"/>
    <w:tmpl w:val="800C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94293"/>
    <w:multiLevelType w:val="multilevel"/>
    <w:tmpl w:val="71203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A87C95"/>
    <w:multiLevelType w:val="multilevel"/>
    <w:tmpl w:val="54548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E6656B"/>
    <w:multiLevelType w:val="multilevel"/>
    <w:tmpl w:val="B492D9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9051279"/>
    <w:multiLevelType w:val="multilevel"/>
    <w:tmpl w:val="DF8C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330094">
    <w:abstractNumId w:val="3"/>
  </w:num>
  <w:num w:numId="2" w16cid:durableId="1978872331">
    <w:abstractNumId w:val="4"/>
  </w:num>
  <w:num w:numId="3" w16cid:durableId="1711765208">
    <w:abstractNumId w:val="2"/>
  </w:num>
  <w:num w:numId="4" w16cid:durableId="1007903857">
    <w:abstractNumId w:val="1"/>
  </w:num>
  <w:num w:numId="5" w16cid:durableId="749231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D44"/>
    <w:rsid w:val="000E20A9"/>
    <w:rsid w:val="0010505B"/>
    <w:rsid w:val="00133DA9"/>
    <w:rsid w:val="001C1949"/>
    <w:rsid w:val="00251180"/>
    <w:rsid w:val="002865DC"/>
    <w:rsid w:val="002975E9"/>
    <w:rsid w:val="002A70E8"/>
    <w:rsid w:val="002D67BD"/>
    <w:rsid w:val="003500FE"/>
    <w:rsid w:val="004A592F"/>
    <w:rsid w:val="006C3EFE"/>
    <w:rsid w:val="007149D8"/>
    <w:rsid w:val="00741B99"/>
    <w:rsid w:val="00745B42"/>
    <w:rsid w:val="00803D88"/>
    <w:rsid w:val="00827085"/>
    <w:rsid w:val="008E5D19"/>
    <w:rsid w:val="00946559"/>
    <w:rsid w:val="009E732E"/>
    <w:rsid w:val="00A33CE3"/>
    <w:rsid w:val="00A5651D"/>
    <w:rsid w:val="00A57016"/>
    <w:rsid w:val="00A9459B"/>
    <w:rsid w:val="00AA3D0B"/>
    <w:rsid w:val="00AF1C4F"/>
    <w:rsid w:val="00B11D44"/>
    <w:rsid w:val="00BD400E"/>
    <w:rsid w:val="00C14612"/>
    <w:rsid w:val="00C45926"/>
    <w:rsid w:val="00CA645E"/>
    <w:rsid w:val="00CD19D8"/>
    <w:rsid w:val="00CE18B6"/>
    <w:rsid w:val="00DF0B4F"/>
    <w:rsid w:val="00E6351C"/>
    <w:rsid w:val="00F21499"/>
    <w:rsid w:val="00FB1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CEC22"/>
  <w15:docId w15:val="{FC7B92C8-CAB8-442D-81AB-D0D9721D9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 w:after="120"/>
      <w:jc w:val="both"/>
    </w:pPr>
    <w:rPr>
      <w:rFonts w:ascii="Times New Roman" w:hAnsi="Times New Roman"/>
      <w:b w:val="0"/>
      <w:color w:val="000000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120"/>
      <w:jc w:val="left"/>
      <w:outlineLvl w:val="0"/>
    </w:pPr>
    <w:rPr>
      <w:rFonts w:ascii="Times New Roman" w:hAnsi="Times New Roman"/>
      <w:b/>
      <w:bCs/>
      <w:color w:val="000000"/>
      <w:sz w:val="24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80"/>
      <w:jc w:val="left"/>
      <w:outlineLvl w:val="1"/>
    </w:pPr>
    <w:rPr>
      <w:rFonts w:ascii="Times New Roman" w:hAnsi="Times New Roman"/>
      <w:b/>
      <w:bCs/>
      <w:color w:val="000000"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Ttulo7">
    <w:name w:val="heading 7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before="35" w:after="280" w:line="240" w:lineRule="auto"/>
      <w:ind w:left="2988" w:right="3125"/>
      <w:jc w:val="center"/>
    </w:pPr>
    <w:rPr>
      <w:rFonts w:ascii="Times New Roman" w:hAnsi="Times New Roman"/>
      <w:b/>
      <w:color w:val="000000"/>
      <w:sz w:val="28"/>
      <w:szCs w:val="32"/>
    </w:rPr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ontepargpadr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link w:val="Cabealho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uiPriority w:val="39"/>
    <w:unhideWhenUsed/>
    <w:pPr>
      <w:spacing w:after="100"/>
    </w:pPr>
  </w:style>
  <w:style w:type="paragraph" w:styleId="Sumrio2">
    <w:name w:val="toc 2"/>
    <w:uiPriority w:val="39"/>
    <w:unhideWhenUsed/>
    <w:pPr>
      <w:spacing w:after="100"/>
      <w:ind w:left="220"/>
    </w:pPr>
  </w:style>
  <w:style w:type="paragraph" w:styleId="Sumrio3">
    <w:name w:val="toc 3"/>
    <w:uiPriority w:val="39"/>
    <w:unhideWhenUsed/>
    <w:pPr>
      <w:spacing w:after="100"/>
      <w:ind w:left="440"/>
    </w:pPr>
  </w:style>
  <w:style w:type="paragraph" w:styleId="Sumrio4">
    <w:name w:val="toc 4"/>
    <w:uiPriority w:val="39"/>
    <w:unhideWhenUsed/>
    <w:pPr>
      <w:spacing w:after="100"/>
      <w:ind w:left="660"/>
    </w:pPr>
  </w:style>
  <w:style w:type="paragraph" w:styleId="Sumrio5">
    <w:name w:val="toc 5"/>
    <w:uiPriority w:val="39"/>
    <w:unhideWhenUsed/>
    <w:pPr>
      <w:spacing w:after="100"/>
      <w:ind w:left="880"/>
    </w:pPr>
  </w:style>
  <w:style w:type="paragraph" w:styleId="Sumrio6">
    <w:name w:val="toc 6"/>
    <w:uiPriority w:val="39"/>
    <w:unhideWhenUsed/>
    <w:pPr>
      <w:spacing w:after="100"/>
      <w:ind w:left="1100"/>
    </w:pPr>
  </w:style>
  <w:style w:type="paragraph" w:styleId="Sumrio7">
    <w:name w:val="toc 7"/>
    <w:uiPriority w:val="39"/>
    <w:unhideWhenUsed/>
    <w:pPr>
      <w:spacing w:after="100"/>
      <w:ind w:left="1320"/>
    </w:pPr>
  </w:style>
  <w:style w:type="paragraph" w:styleId="Sumrio8">
    <w:name w:val="toc 8"/>
    <w:uiPriority w:val="39"/>
    <w:unhideWhenUsed/>
    <w:pPr>
      <w:spacing w:after="100"/>
      <w:ind w:left="1540"/>
    </w:pPr>
  </w:style>
  <w:style w:type="paragraph" w:styleId="Sumrio9">
    <w:name w:val="toc 9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uiPriority w:val="99"/>
    <w:unhideWhenUsed/>
    <w:pPr>
      <w:spacing w:after="0"/>
    </w:p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ListBullet">
    <w:name w:val="List Bullet"/>
    <w:pPr>
      <w:spacing w:line="312" w:lineRule="auto" w:after="80"/>
      <w:ind w:left="504" w:hanging="288"/>
      <w:jc w:val="both"/>
    </w:pPr>
    <w:rPr>
      <w:rFonts w:ascii="Times New Roman" w:hAnsi="Times New Roman"/>
      <w:b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roberta.wichmann@idp.edu.b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7lL805pixudK04VH5N5C2j2BuA==">CgMxLjA4AHIhMV9MSEY3OXMyZklqTVFiLWcxNGRuUmRoTDdhTVZrQjM0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1639</Words>
  <Characters>8852</Characters>
  <Application>Microsoft Office Word</Application>
  <DocSecurity>0</DocSecurity>
  <Lines>73</Lines>
  <Paragraphs>20</Paragraphs>
  <ScaleCrop>false</ScaleCrop>
  <Company/>
  <LinksUpToDate>false</LinksUpToDate>
  <CharactersWithSpaces>10471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Osvaldo Souza</cp:lastModifiedBy>
  <cp:revision>22</cp:revision>
  <dcterms:created xsi:type="dcterms:W3CDTF">2026-09-03T17:37:00Z</dcterms:created>
  <dcterms:modified xsi:type="dcterms:W3CDTF">2026-09-26T18:39:00Z</dcterms:modified>
  <dc:title>Projeto parcial da Avaliação 1</dc:title>
  <dc:subject>Introdução, objetivos, referencial teórico e referências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fdc594922f6550099705410194c4922b1e6107e7654ef79dbdc2442ac6222425</vt:lpwstr>
  </property>
</Properties>
</file>