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767DA">
      <w:pPr>
        <w:pStyle w:val="2"/>
      </w:pPr>
    </w:p>
    <w:p w14:paraId="45253D85">
      <w:pPr>
        <w:pStyle w:val="2"/>
      </w:pPr>
      <w:r>
        <w:t>干变铁芯车间铁芯集送线立式托盘叠盘机技术手册</w:t>
      </w:r>
    </w:p>
    <w:p w14:paraId="1CB2AEAE">
      <w:pPr>
        <w:pStyle w:val="3"/>
      </w:pPr>
      <w:r>
        <w:t>一、概述</w:t>
      </w:r>
    </w:p>
    <w:p w14:paraId="69D2A6F4">
      <w:pPr>
        <w:pStyle w:val="4"/>
      </w:pPr>
      <w:r>
        <w:t>1.1 手册目的与适用范围</w:t>
      </w:r>
    </w:p>
    <w:p w14:paraId="0969992F">
      <w:r>
        <w:t>本手册旨在为干变铁芯车间铁芯集送线立式托盘叠盘机的设计选型、操作使用、维护保养及故障处理提供标准化技术指导，确保设备在干式变压器铁芯生产过程中的安全稳定运行。手册内容涵盖叠盘机结构组成、功能特性、机械与控制系统原理、常见故障分析及全生命周期管理策略，适用于设备工程师、维护技术人员及相关管理人员。</w:t>
      </w:r>
    </w:p>
    <w:p w14:paraId="4540F0EE">
      <w:r>
        <w:t>应用场景包括干式变压器铁芯集送线中的托盘自动化叠放、缓存与移位作业，覆盖30KW-2500KVA规格变压器铁芯的配套托盘处理（对应托盘重量1.5-5吨，尺寸范围1200×1000mm至1600×1100mm）。设备运行环境需满足温度-10℃~60℃、相对湿度≤75%、粉尘浓度≤8mg/m³的工业车间标准，超出此范围的极端环境需进行定制化改造，本手册内容不再适用。</w:t>
      </w:r>
    </w:p>
    <w:p w14:paraId="3C71C252">
      <w:r>
        <w:t>使用本手册时需注意：所有技术参数基于行业通用标准设计，具体设备可能因制造商差异存在细节调整，操作前应结合设备随机技术文件核对；涉及电气作业需由持电工证人员操作，机械维修需遵循能量隔离原则；手册中未明确的特殊故障处理，应联系设备制造商技术支持。</w:t>
      </w:r>
    </w:p>
    <w:p w14:paraId="1602BE45">
      <w:pPr>
        <w:pStyle w:val="4"/>
      </w:pPr>
      <w:r>
        <w:t>1.2 叠盘机在铁芯生产中的作用与重要性</w:t>
      </w:r>
    </w:p>
    <w:p w14:paraId="516D2E2D">
      <w:r>
        <w:t>立式托盘叠盘机是干式变压器铁芯集送线的核心自动化设备，承担托盘的自动叠放、缓存与移位功能，是连接铁芯生产各工序的关键枢纽。在传统生产模式中，托盘处理依赖人工搬运与堆叠，存在三大核心问题：效率低下，人工单次叠盘耗时约3-5分钟，且难以连续作业；精度不足，人工堆叠对齐偏差常超过±5mm，易导致铁芯托盘倾倒或后续设备对接失败；劳动强度大，5吨级托盘人工搬运需2-3人协同，且存在机械伤害风险。</w:t>
      </w:r>
    </w:p>
    <w:p w14:paraId="07AA5B3C">
      <w:r>
        <w:t>叠盘机通过自动化技术实现三大转变：效率提升，单次叠盘周期缩短至8-12秒，每小时可处理200-300个托盘，满足连续化生产需求；精度保障，叠放定位偏差控制在±0.5mm内，托盘堆叠垂直度≤2mm/m，确保后续RGV/AGV对接稳定性；无人化作业，完全替代人工搬运，降低工伤事故发生率至0.1‰以下。</w:t>
      </w:r>
    </w:p>
    <w:p w14:paraId="74112415">
      <w:r>
        <w:t>在铁芯生产流程中，叠盘机的作用贯穿“原料输入-工序缓存-成品输出”全链条：原料端，将空托盘自动叠放至缓存区，供上游叠片机取用；工序间，接收叠片完成后的铁芯托盘，暂存于缓存区并按生产节奏输送至固化炉；成品端，将固化后的铁芯托盘堆叠至指定高度，由成品RGV转运至装配线。其运行稳定性直接影响集送线整体稼动率，据行业数据统计，配置叠盘机的生产线综合效率可提升40%以上，人力成本降低60%。</w:t>
      </w:r>
    </w:p>
    <w:p w14:paraId="2BC04F9C">
      <w:pPr>
        <w:pStyle w:val="4"/>
      </w:pPr>
      <w:r>
        <w:t>1.3 相关标准与规范</w:t>
      </w:r>
    </w:p>
    <w:p w14:paraId="48998E01">
      <w:r>
        <w:t>立式托盘叠盘机设计、制造及运维需符合以下国家标准与行业规范，关键技术指标需满足表1-1要求：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B174B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CC0777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26E64DD4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5FD6A5F1">
            <w:pPr>
              <w:jc w:val="center"/>
              <w:rPr>
                <w:b/>
              </w:rPr>
            </w:pPr>
            <w:r>
              <w:rPr>
                <w:b/>
              </w:rPr>
              <w:t>核心技术指标要求</w:t>
            </w:r>
          </w:p>
        </w:tc>
      </w:tr>
      <w:tr w14:paraId="23839B54">
        <w:tc>
          <w:tcPr>
            <w:tcW w:w="0" w:type="auto"/>
            <w:vAlign w:val="center"/>
          </w:tcPr>
          <w:p w14:paraId="794992F9">
            <w:r>
              <w:t>工业机械电气设备 通用技术条件</w:t>
            </w:r>
          </w:p>
        </w:tc>
        <w:tc>
          <w:tcPr>
            <w:tcW w:w="0" w:type="auto"/>
            <w:vAlign w:val="center"/>
          </w:tcPr>
          <w:p w14:paraId="135BC23D">
            <w:r>
              <w:t>GB/T 5226.1</w:t>
            </w:r>
          </w:p>
        </w:tc>
        <w:tc>
          <w:tcPr>
            <w:tcW w:w="0" w:type="auto"/>
            <w:vAlign w:val="center"/>
          </w:tcPr>
          <w:p w14:paraId="36E00DB4">
            <w:r>
              <w:t>电气部件防护等级≥IP54，急停响应时间≤0.5s，绝缘电阻≥1MΩ（热态）</w:t>
            </w:r>
          </w:p>
        </w:tc>
      </w:tr>
      <w:tr w14:paraId="56BA4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B4FA38">
            <w:r>
              <w:t>金属和合金的腐蚀 盐雾试验</w:t>
            </w:r>
          </w:p>
        </w:tc>
        <w:tc>
          <w:tcPr>
            <w:tcW w:w="0" w:type="auto"/>
            <w:vAlign w:val="center"/>
          </w:tcPr>
          <w:p w14:paraId="42172F9D">
            <w:r>
              <w:t>GB/T 10125-2021</w:t>
            </w:r>
          </w:p>
        </w:tc>
        <w:tc>
          <w:tcPr>
            <w:tcW w:w="0" w:type="auto"/>
            <w:vAlign w:val="center"/>
          </w:tcPr>
          <w:p w14:paraId="5DEB6D5C">
            <w:r>
              <w:t>机架涂层耐盐雾性能≥500小时</w:t>
            </w:r>
          </w:p>
        </w:tc>
      </w:tr>
      <w:tr w14:paraId="7819179F">
        <w:tc>
          <w:tcPr>
            <w:tcW w:w="0" w:type="auto"/>
            <w:vAlign w:val="center"/>
          </w:tcPr>
          <w:p w14:paraId="2115B4B4">
            <w:r>
              <w:t>自动化系统与集成 制造执行系统</w:t>
            </w:r>
          </w:p>
        </w:tc>
        <w:tc>
          <w:tcPr>
            <w:tcW w:w="0" w:type="auto"/>
            <w:vAlign w:val="center"/>
          </w:tcPr>
          <w:p w14:paraId="5E0A1633">
            <w:r>
              <w:t>GB/T 25485</w:t>
            </w:r>
          </w:p>
        </w:tc>
        <w:tc>
          <w:tcPr>
            <w:tcW w:w="0" w:type="auto"/>
            <w:vAlign w:val="center"/>
          </w:tcPr>
          <w:p w14:paraId="0FE98065">
            <w:r>
              <w:t>任务调度响应时间≤100ms，数据传输准确率≥99.9%</w:t>
            </w:r>
          </w:p>
        </w:tc>
      </w:tr>
      <w:tr w14:paraId="55C976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E47435">
            <w:r>
              <w:t>机械安全 防止意外启动</w:t>
            </w:r>
          </w:p>
        </w:tc>
        <w:tc>
          <w:tcPr>
            <w:tcW w:w="0" w:type="auto"/>
            <w:vAlign w:val="center"/>
          </w:tcPr>
          <w:p w14:paraId="08014D15">
            <w:r>
              <w:t>GB/T 16855.1</w:t>
            </w:r>
          </w:p>
        </w:tc>
        <w:tc>
          <w:tcPr>
            <w:tcW w:w="0" w:type="auto"/>
            <w:vAlign w:val="center"/>
          </w:tcPr>
          <w:p w14:paraId="4FE30640">
            <w:r>
              <w:t>急停回路采用双通道设计，安全等级≥PL d</w:t>
            </w:r>
          </w:p>
        </w:tc>
      </w:tr>
    </w:tbl>
    <w:p w14:paraId="5B451E80">
      <w:r>
        <w:t>上述标准中，GB/T 5226.1规定电气系统的基本安全要求；GB/T 10125-2021确保设备在车间潮湿环境下的耐久性；GB/T 25485规范与MES系统的数据交互；GB/T 16855.1防止设备意外启动导致的机械伤害。设备验收时，需逐项验证上述指标，形成《设备验收报告》存档。</w:t>
      </w:r>
    </w:p>
    <w:p w14:paraId="10C6FF0D">
      <w:pPr>
        <w:pStyle w:val="3"/>
      </w:pPr>
      <w:r>
        <w:t>二、结构组成</w:t>
      </w:r>
    </w:p>
    <w:p w14:paraId="62731DEE">
      <w:pPr>
        <w:pStyle w:val="4"/>
      </w:pPr>
      <w:r>
        <w:t>1. 机械框架设计</w:t>
      </w:r>
    </w:p>
    <w:p w14:paraId="6EFC4B8D">
      <w:r>
        <w:t>机械框架作为叠盘机的承载基础，需同时满足高强度与轻量化要求。主体采用Q235B碳钢焊接结构，通过“纵梁+横梁+面板”三层设计实现刚性支撑：纵梁选用10号槽钢，间距800mm平行布置；横梁采用8号槽钢，按500mm间距垂直焊接于纵梁，形成“田”字形框架；面板为5mm厚冷轧钢板，覆盖框架表面并与横梁焊接固定，静态承载能力≥5吨（对应最大铁芯重量）。</w:t>
      </w:r>
    </w:p>
    <w:p w14:paraId="229C26DA">
      <w:r>
        <w:t>关键连接部位强化设计：纵梁与横梁焊接采用双面坡口焊，焊脚高度≥8mm，焊接后进行磁粉探伤（MT）检测，确保无裂纹、未熔合等缺陷；所有紧固件选用304不锈钢螺栓（规格≥M12×50），配合防松垫圈与螺纹胶（乐泰243），满足振动环境下的连接可靠性。框架底部安装8个可调支撑脚（调节范围±50mm），用于设备安装时的水平校准（水平度误差≤0.2mm/m）。</w:t>
      </w:r>
    </w:p>
    <w:p w14:paraId="59E72C3C">
      <w:r>
        <w:t>表面处理工艺分三步实施：喷砂除锈达Sa2.5级，去除氧化皮与锈蚀；喷涂环氧富锌底漆（厚度≥60μm），提升防锈能力；面漆采用聚氨酯磁漆（厚度≥40μm），颜色为工业灰（RAL7035），耐盐雾性能达500小时以上，适应车间多粉尘、潮湿环境。框架四角设置Φ30mm吊装孔，用于设备运输与安装，吊装时需使用专用吊具，避免应力集中导致变形。</w:t>
      </w:r>
    </w:p>
    <w:p w14:paraId="20BA7BD3">
      <w:pPr>
        <w:pStyle w:val="4"/>
      </w:pPr>
      <w:r>
        <w:t>2. 升降机构</w:t>
      </w:r>
    </w:p>
    <w:p w14:paraId="09CA92C4">
      <w:r>
        <w:t>升降机构是实现托盘垂直运动的核心部件，由驱动单元、导向系统、传动装置与安全保护组件构成。驱动单元采用“伺服电机+行星齿轮减速器”组合，电机选用1.5-2.2kW永磁同步伺服电机（额定转速1500rpm），配合减速比1:25的行星减速器，输出转速60rpm，通过链条驱动两根平行转轴同步旋转。转轴两端安装摆臂，摆臂下端滚轮嵌入提升槽内，将旋转运动转换为提升架的垂直升降，升降速度0.05-0.1m/s，定位精度±1mm。</w:t>
      </w:r>
    </w:p>
    <w:p w14:paraId="0994914B">
      <w:r>
        <w:t>导向系统采用“四导柱+线性轴承”结构：导柱为Φ50mm镀铬圆钢（表面粗糙度Ra0.8μm），垂直固定于机架四角；线性轴承选用LM50UU型号，与导柱配合间隙0.1-0.3mm，每个轴承承受垂直载荷1.25吨（按5吨总负载均布计算）。导柱底部安装限位挡板，顶部配置聚氨酯缓冲器（行程20mm，最大吸收能量50J），防止平台超程冲击。</w:t>
      </w:r>
    </w:p>
    <w:p w14:paraId="22928D6C">
      <w:r>
        <w:t>传动装置采用双排16A-1滚子链，主动链轮安装于减速器输出轴，从动链轮固定于提升架底部，链条张紧度通过调节螺杆控制（垂度8-12mm）。部分重载机型采用齿轮齿条传动，齿条型号为M3×1000mm（模数3mm，齿距9.42mm），与电机输出轴齿轮啮合，啮合间隙0.15mm，通过偏心轴承座调整。两种传动方式均配置绝对值编码器（2500线），实时反馈平台位置，定位精度±0.5mm。</w:t>
      </w:r>
    </w:p>
    <w:p w14:paraId="31F702A3">
      <w:r>
        <w:t>安全保护组件包括：上下极限位置接近开关（检测距离5mm，NPN常开输出），触发时切断电机电源；过载保护，通过伺服驱动器监测输出扭矩，超过额定值1.2倍时停机；断链检测，链条张紧检测开关异常时立即制动，防止提升架坠落。</w:t>
      </w:r>
    </w:p>
    <w:p w14:paraId="1A71922F">
      <w:pPr>
        <w:pStyle w:val="4"/>
      </w:pPr>
      <w:r>
        <w:t>3. 插杆系统（支撑装置）</w:t>
      </w:r>
    </w:p>
    <w:p w14:paraId="2429135F">
      <w:r>
        <w:t>插杆系统实现托盘的抓取与释放，由固定插杆、可移动插板、调节驱动单元组成。固定插杆为核心承载部件，采用45号钢锻造后调质处理（硬度HB220-250），直径Φ30mm，长度800-1200mm（根据托盘深度定制），表面镀铬（厚度≥5μm）提升耐磨性。插杆按托盘叉孔间距布置，标准间距160mm×80mm（对应国标联运平托盘叉孔尺寸），每侧配置4-6根，确保抓取稳定性，单个支撑装置承载能力≥1.25吨。</w:t>
      </w:r>
    </w:p>
    <w:p w14:paraId="0F3DB264">
      <w:r>
        <w:t>可移动插板安装于插杆前端，用于适应不同托盘的叉孔位置偏差。插板采用20mm厚45号钢板，通过线性导轨与插杆连接，调节行程±50mm。调节驱动单元为“步进电机+滚珠丝杠”结构：步进电机型号57HS22（扭矩1.2N·m，步距角1.8°），丝杠导程5mm，通过联轴器驱动插板横向移动，定位精度±0.1mm，响应时间≤300ms。插板前端倒圆角（R5mm），便于插入托盘叉孔，底部安装接近开关（检测距离3mm），确认插板完全插入后触发升降信号。</w:t>
      </w:r>
    </w:p>
    <w:p w14:paraId="3999DD6A">
      <w:r>
        <w:t>插杆系统的同步控制通过PLC实现：左右两侧插杆分别配置独立驱动单元，通过EtherCAT总线接收位置指令，同步误差≤0.2mm；插板调节参数存储于PLC寄存器，支持10种托盘规格的参数调用，切换时无需机械调整。为防止插杆弯曲，根部设置加强肋板（厚度10mm），与升降平台焊接固定，肋板与插杆焊接处进行UT探伤，确保熔深≥8mm。</w:t>
      </w:r>
    </w:p>
    <w:p w14:paraId="7AA47787">
      <w:pPr>
        <w:pStyle w:val="4"/>
      </w:pPr>
      <w:r>
        <w:t>4. 导向与定位系统</w:t>
      </w:r>
    </w:p>
    <w:p w14:paraId="284DB526">
      <w:r>
        <w:t>导向与定位系统包括水平导向和垂直限位两部分，确保托盘叠放精度。水平方向通过通道两侧的导向轮（聚氨酯材质，直径100-150mm）控制托盘横向偏移，与轨道间隙3-5mm；垂直方向配置上/下接近开关，通过提升架上的感应块触发位置信号，提升到位精度±0.5mm。</w:t>
      </w:r>
    </w:p>
    <w:p w14:paraId="78F1DBF9">
      <w:r>
        <w:t>部分高端机型集成激光测距仪（精度±1mm）实时监测堆叠高度，实现动态调整。激光测距仪安装于升降平台侧面，量程0.1-50m，输出4-20mA模拟量信号，对应0-2m堆叠高度，PLC通过A/D转换模块读取信号，换算为实际高度，与设定值对比后动态补偿定位误差。</w:t>
      </w:r>
    </w:p>
    <w:p w14:paraId="61A822F5">
      <w:r>
        <w:t>定位校准系统还包括对射式光电传感器（如E3F3-T31），安装于输送线入口处，检测托盘是否到位，响应时间≤1ms。托盘下方安装4个称重传感器（量程100kg/个，精度0.1%FS），实时监测堆叠重量，当达到设定值（如8个托盘×40kg=320kg）时触发输送信号，防止超载堆叠。</w:t>
      </w:r>
    </w:p>
    <w:p w14:paraId="31DAFDF8">
      <w:pPr>
        <w:pStyle w:val="3"/>
      </w:pPr>
      <w:r>
        <w:t>三、功能特性</w:t>
      </w:r>
    </w:p>
    <w:p w14:paraId="23A5B339">
      <w:pPr>
        <w:pStyle w:val="4"/>
      </w:pPr>
      <w:r>
        <w:t>1. 托盘叠放功能</w:t>
      </w:r>
    </w:p>
    <w:p w14:paraId="3E861F92">
      <w:r>
        <w:t>托盘叠放功能通过“输送-托叉伸缩-顶升堆叠-压实”四步流程实现自动化操作。输送阶段：托盘由电动辊子输送到位（速度10m/min），对射式光电传感器检测信号并传入PLC；托叉伸缩阶段：PLC控制伸缩气缸推动托叉（安装于直线导轨）插入托盘叉孔，位置传感器确认到位后，顶升气缸（缸径Φ63mm，行程300mm）动作，将托盘顶升至设定高度（当前高度+托盘厚度+2mm间隙）；堆叠阶段：第二个托盘输送到位后，顶升气缸下降使上层托盘堆叠于下层托盘，托叉缩回，重复上述动作直至达到设定叠盘数目（通常8-12层）；压实阶段：压实气缸（压力0.3MPa）对堆叠托盘施加压力，保压2秒消除间隙，确保堆叠稳定性。</w:t>
      </w:r>
    </w:p>
    <w:p w14:paraId="379EDDF0">
      <w:r>
        <w:t>叠放性能指标：最大叠放层数12层（对应高度1.8m），单层叠放周期8-12秒，平面度偏差≤±0.5mm，垂直度偏差≤2mm/m。支持多种托盘类型，包括钢制托盘（1200×1000mm）、塑料托盘（1100×1100mm），通过调用PLC参数库实现规格切换（切换时间≤30秒）。叠放过程中，若检测到托盘变形（如翘曲＞3mm）或异物（如叉孔内有杂物），系统自动报警并暂停作业，等待人工处理。</w:t>
      </w:r>
    </w:p>
    <w:p w14:paraId="3C62D6FA">
      <w:pPr>
        <w:pStyle w:val="4"/>
      </w:pPr>
      <w:r>
        <w:t>2. 缓存功能</w:t>
      </w:r>
    </w:p>
    <w:p w14:paraId="7549DC5F">
      <w:r>
        <w:t>缓存功能实现托盘的临时存储，平衡上下游设备节奏差异，缓存区容量5-10个托盘位（根据车间布局定制）。缓存逻辑遵循“先进先出”原则，入口端接收上游设备输送的托盘，按顺序存储于缓存工位，出口端根据下游设备需求依次释放。当下游设备故障停机时，叠盘机可继续接收上游托盘，直至缓存区满（触发“缓存满”报警）；当上游设备断料时，缓存区可向下游持续供料，缓冲时间≥15分钟，保障生产线连续运行。</w:t>
      </w:r>
    </w:p>
    <w:p w14:paraId="37643869">
      <w:r>
        <w:t>缓存区的智能化调度通过MES系统实现：叠盘机实时向MES上传缓存区状态（空位数、在库托盘信息），MES根据生产计划下发调度指令，如“优先释放批次A托盘”“缓存区预留2个空位接收紧急订单”。缓存区入口与出口均安装RFID读卡器（读取距离50mm，协议ISO 15693），识别托盘ID并绑定物料信息（铁芯型号、批次、重量），实现全流程追溯。当缓存区出现托盘滞留（超过30分钟未处理），系统自动发送预警至管理人员手机APP。</w:t>
      </w:r>
    </w:p>
    <w:p w14:paraId="699EE53E">
      <w:pPr>
        <w:pStyle w:val="4"/>
      </w:pPr>
      <w:r>
        <w:t>3. 移位功能</w:t>
      </w:r>
    </w:p>
    <w:p w14:paraId="33C815F7">
      <w:r>
        <w:t>移位功能实现托盘在不同工位间的横向/纵向移动，满足多向转运需求。横向移位通过链条输送机完成，配置双列倍速链（节距25.4mm），链条速度0.5m/s，输送面高度800mm（±5mm可调）。链条上方安装导向挡板（高度50mm），防止托盘跑偏，挡板间距比托盘宽度大20mm，确保通过性。</w:t>
      </w:r>
    </w:p>
    <w:p w14:paraId="363DC301">
      <w:r>
        <w:t>纵向移位通过滚筒输送机实现，由Φ50mm×3mm无缝钢管滚筒组成（间距150mm），滚筒表面包覆聚氨酯（厚度5mm，硬度邵氏A85），摩擦系数≥0.6。滚筒通过链传动驱动，电机功率0.75kW，转速1500rpm，经减速器（i=30）与链轮传动，滚筒线速度0.5m/s，与RGV台面滚筒线速度同步误差≤5%（通过Profinet总线实时校准）。</w:t>
      </w:r>
    </w:p>
    <w:p w14:paraId="320666CD">
      <w:r>
        <w:t>对于卷绕式铁芯，输送机可集成旋转平台（旋转角度0-180°，定位精度±1°），实现铁芯在转运过程中的方向调整，满足不同设备的进料方向要求。旋转平台采用蜗轮蜗杆减速器驱动，自锁性能良好（螺旋升角≤4°），可在任意角度停留，切换时间≤3秒。</w:t>
      </w:r>
    </w:p>
    <w:p w14:paraId="497FFB69">
      <w:pPr>
        <w:pStyle w:val="4"/>
      </w:pPr>
      <w:r>
        <w:t>4. 与其他设备协同功能</w:t>
      </w:r>
    </w:p>
    <w:p w14:paraId="5CE01DD4">
      <w:r>
        <w:t>叠盘机与RGV/AGV、叠片机、固化炉等设备的协同，通过“机械对接-信号交互-任务调度”三层架构实现。机械对接采用模块化设计：与RGV对接时，通过滚筒输送机实现托盘转移，滚筒线高度差需控制在±2mm，对接间隙≤5mm，且滚筒转速通过Profinet总线同步（误差≤5%）；与AGV对接则采用定位销+导向槽结构，定位销直径Φ20mm，导向槽锥度15°，配合AGV的二维码导航（定位精度±3mm）实现二次校准。</w:t>
      </w:r>
    </w:p>
    <w:p w14:paraId="076C36B8">
      <w:r>
        <w:t>信号交互采用Profinet总线与OPC UA协议：安全信号（急停、设备就绪）通过硬线连接至安全继电器（SIL 3等级），非安全信号（如“托盘到位”“取料请求”）采用Profinet IO-Link协议传输，数据更新周期≤100ms。通信内容包括托盘ID、叠放层数、设备状态等，支持与MES系统的生产工单联动，实现任务优先级调度（如紧急订单优先系数1.5）。</w:t>
      </w:r>
    </w:p>
    <w:p w14:paraId="077CA6A4">
      <w:r>
        <w:t>在多设备协同场景中，调度系统需解决路径冲突与资源分配问题。例如，当AGV与RGV在叠盘机缓存区交汇时，系统根据任务紧急程度动态调整避让策略：低优先级设备自动停靠至会让站（最小安全间距≥1.5m），待高优先级设备通过后继续行驶。某案例显示，通过AGV智能管理系统与叠盘机的协同控制，可实现每小时190次的托盘转运效率，且设备综合稼动率维持在92%以上。</w:t>
      </w:r>
    </w:p>
    <w:p w14:paraId="1893FE1B">
      <w:pPr>
        <w:pStyle w:val="3"/>
      </w:pPr>
      <w:r>
        <w:t>四、机械原理</w:t>
      </w:r>
    </w:p>
    <w:p w14:paraId="6CF03ED7">
      <w:pPr>
        <w:pStyle w:val="4"/>
      </w:pPr>
      <w:r>
        <w:t>1. 升降机构工作原理</w:t>
      </w:r>
    </w:p>
    <w:p w14:paraId="2E83CBD0">
      <w:r>
        <w:t>升降机构的动力传递路径为：伺服电机输出扭矩→行星齿轮减速器减速增扭→链条传动驱动转轴旋转→摆臂摆动带动提升架垂直运动。其核心参数通过以下公式计算：</w:t>
      </w:r>
    </w:p>
    <w:p w14:paraId="7EEFF337">
      <w:r>
        <w:t>升降速度公式：[ v = \frac{n \times D \times \pi}{i \times 60} ]</w:t>
      </w:r>
    </w:p>
    <w:p w14:paraId="7CBBC742">
      <w:r>
        <w:t>其中，( v )为升降速度（m/s），( n )为电机转速（rpm），( D )为链轮节圆直径（m），( i )为减速比。例如，电机转速1500rpm，链轮节圆直径0.2m，减速比25时，升降速度[ v = \frac{1500 \times 0.2 \times 3.14}{25 \times 60} = 0.628 , \text{m/s} ]，实际应用中通过驱动器限制最高速度为0.1m/s。</w:t>
      </w:r>
    </w:p>
    <w:p w14:paraId="0D32E90C">
      <w:r>
        <w:t>输出扭矩公式：[ T = \frac{9550P \times \eta \times i}{n} ]</w:t>
      </w:r>
    </w:p>
    <w:p w14:paraId="747CDA7D">
      <w:r>
        <w:t>其中，( T )为输出扭矩（N·m），( P )为电机功率（kW），( \eta )为传动效率（链传动约0.9），( i )为减速比，( n )为电机转速（rpm）。例如，1.5kW伺服电机（1500rpm）配合1:25减速器（效率0.9），可输出扭矩[ T = \frac{9550 \times 1.5 \times 0.9 \times 25}{1500} = 215.6 , \text{N·m} ]，满足5吨负载的驱动需求（负载扭矩[ T_L = \frac{m \times g \times \mu \times D}{2} = \frac{5000 \times 9.8 \times 0.1 \times 0.2}{2} = 490 , \text{N·m} ]，安全系数2.2）。</w:t>
      </w:r>
    </w:p>
    <w:p w14:paraId="7C24F984">
      <w:r>
        <w:t>导向系统通过“四导柱+线性轴承”约束自由度，确保平台仅沿垂直方向运动。导柱与轴承的配合间隙0.1-0.3mm，采用脂润滑（锂基润滑脂NLGI 2级），摩擦系数≤0.02，运行阻力≤100N。当平台承受偏心负载（重心偏移≤100mm）时，导柱承受附加弯矩，通过材料强度校核（Q235B屈服强度235MPa，导柱最大应力150MPa＜235MPa）确保安全。</w:t>
      </w:r>
    </w:p>
    <w:p w14:paraId="2721FD62">
      <w:pPr>
        <w:pStyle w:val="4"/>
      </w:pPr>
      <w:r>
        <w:t>2. 插杆调节机制</w:t>
      </w:r>
    </w:p>
    <w:p w14:paraId="35323586">
      <w:r>
        <w:t>插杆调节机制通过“步进电机+滚珠丝杠”实现插板的横向精密移动，以适应不同托盘的叉孔间距。调节原理：步进电机接收PLC的脉冲指令，每脉冲对应0.01mm位移（丝杠导程5mm，电机步距角1.8°，细分16，脉冲当量[ \frac{5}{360/1.8 \times 16} = 0.01 , \text{mm} ]）。例如，需调节插板位置+20mm时，PLC发送2000个脉冲，电机正转驱动丝杠旋转，带动插板移动至目标位置，定位精度±0.1mm。</w:t>
      </w:r>
    </w:p>
    <w:p w14:paraId="68A1AE84">
      <w:r>
        <w:t>插板与托盘叉孔的对齐逻辑：通过入口端光电传感器检测托盘叉孔位置，生成位置偏差信号（如+3mm表示叉孔偏右3mm），PLC根据偏差值计算调节量，驱动插杆系统补偿偏差。对齐过程分粗调与精调：粗调基于托盘规格参数（预设叉孔间距），精调基于实时检测偏差，总调节时间≤300ms。</w:t>
      </w:r>
    </w:p>
    <w:p w14:paraId="0D215854">
      <w:r>
        <w:t>插杆的受力分析：插杆插入托盘叉孔后，承受垂直方向的托盘重量与水平方向的摩擦力。垂直力[ F_v = \frac{m \times g}{n} ]（( n )为插杆数量，通常8根），5吨托盘单根插杆受力[ F_v = \frac{5000 \times 9.8}{8} = 6125 , \text{N} ]；水平摩擦力[ F_h = \mu \times F_v ]（( \mu )为摩擦系数0.3），[ F_h = 0.3 \times 6125 = 1837.5 , \text{N} ]。插杆材料45号钢（抗拉强度600MPa），直径Φ30mm，截面积706.9mm²，应力[ \sigma = \frac{F_v}{A} = \frac{6125}{706.9} = 8.66 , \text{MPa} ]＜600MPa，强度满足要求。插杆根部加强肋板承受弯矩，通过有限元分析（ANSYS）验证，最大挠度≤0.1mm，确保结构稳定。</w:t>
      </w:r>
    </w:p>
    <w:p w14:paraId="50F0045A">
      <w:pPr>
        <w:pStyle w:val="4"/>
      </w:pPr>
      <w:r>
        <w:t>3. 传动系统运动学特性</w:t>
      </w:r>
    </w:p>
    <w:p w14:paraId="662B03D9">
      <w:r>
        <w:t>传动系统的运动学特性直接影响叠盘机的运行精度与稳定性，主要包括升降速度、定位精度和插杆调节范围等参数。</w:t>
      </w:r>
    </w:p>
    <w:p w14:paraId="7770A52E">
      <w:r>
        <w:t>升降速度的影响因素包括：电机性能（转速波动±5%）、传动机构（齿轮啮合间隙超过0.1mm或链条张紧度不足）、负载变化（满载时速度可能降至空载的80%）、润滑状态（导轨缺油导致摩擦阻力增加，速度损失可达10%）。通过伺服系统动态补偿，可将速度波动控制在±1%以内。</w:t>
      </w:r>
    </w:p>
    <w:p w14:paraId="0ECF1BA2">
      <w:r>
        <w:t>定位精度的误差来源包括：机械传动误差（滚珠丝杠的螺距累积误差每米≤0.05mm，齿轮副的齿距误差≤0.02mm）、检测装置精度（光栅尺分辨率2000线/mm，编码器信号丢包率＞0.1%）、环境因素（温度变化每℃导致丝杠热变形约11μm/m，振动振幅＞60μm时影响传感器信号）。定位误差计算公式为[ \Delta = \Delta_{\text{机械}} + \Delta_{\text{电气}} ]，其中( \Delta_{\text{机械}} )为传动链误差（≤0.3mm），( \Delta_{\text{电气}} )为伺服系统误差（≤0.2mm），总误差≤±0.5mm。</w:t>
      </w:r>
    </w:p>
    <w:p w14:paraId="06E30B8E">
      <w:r>
        <w:t>插杆调节范围通常为±50mm，以适应不同托盘叉孔间距（如160mm×80mm国标托盘），其调节精度由步进电机与滚珠丝杠组合实现。影响因素包括机械限位（行程终点设硬限位）、同步控制（双侧插杆同步误差≤0.2mm）、负载刚度（插杆弯曲变形＞1mm会导致调节精度下降）。通过根部加强肋设计和同步控制算法，可将调节精度控制在±0.1mm。</w:t>
      </w:r>
    </w:p>
    <w:p w14:paraId="227110E9">
      <w:pPr>
        <w:pStyle w:val="4"/>
      </w:pPr>
      <w:r>
        <w:t>4. 叠放压实机构原理</w:t>
      </w:r>
    </w:p>
    <w:p w14:paraId="74379529">
      <w:r>
        <w:t>叠放压实机构通过气动驱动实现对堆叠托盘的加压，消除间隙并提升稳定性。压实原理：压缩空气（0.6-0.8MPa）经减压阀调至0.3MPa，进入压实气缸无杆腔，推动活塞杆伸出，压头接触托盘表面后施加压力，保压2秒后排气，活塞杆缩回。压力大小通过减压阀调节，根据托盘材质设置：钢制托盘0.3MPa，塑料托盘0.2MPa，防止过度加压导致托盘变形。</w:t>
      </w:r>
    </w:p>
    <w:p w14:paraId="2414A6C0">
      <w:r>
        <w:t>压实气缸的选型计算：所需压紧力[ F = 5000 , \text{N} ]（5吨托盘，摩擦系数0.1），气缸缸径[ D = \sqrt{\frac{4F}{\pi P}} = \sqrt{\frac{4 \times 5000}{3.14 \times 0.3 \times 10^6}} = 0.065 , \text{m} ]（65mm），实际选用缸径Φ63mm气缸（理论推力[ \frac{\pi \times 0.063^2}{4} \times 0.3 \times 10^6 = 4626 , \text{N} ]，满足需求），行程50mm（确保压头完全接触托盘）。</w:t>
      </w:r>
    </w:p>
    <w:p w14:paraId="46A1A569">
      <w:r>
        <w:t>压头设计：采用聚氨酯材料（硬度邵氏A85），厚度20mm，表面倒圆角（R10mm）避免划伤托盘；压头与气缸活塞杆通过浮动接头连接，允许±3°角度偏差，确保压头与托盘表面均匀接触。压实过程中，压力传感器（0-1MPa，精度0.5%FS）实时监测压力，若压力异常（如低于0.2MPa），系统报警并检查气源与气缸密封性。</w:t>
      </w:r>
    </w:p>
    <w:p w14:paraId="505DC9F7">
      <w:pPr>
        <w:pStyle w:val="3"/>
      </w:pPr>
      <w:r>
        <w:t>五、控制原理</w:t>
      </w:r>
    </w:p>
    <w:p w14:paraId="5D765141">
      <w:pPr>
        <w:pStyle w:val="4"/>
      </w:pPr>
      <w:r>
        <w:t>1. 控制系统架构</w:t>
      </w:r>
    </w:p>
    <w:p w14:paraId="3FB30F9A">
      <w:r>
        <w:t>叠盘机控制系统采用“感知层-控制层-执行层”三层架构，实现全流程自动化控制。感知层由传感器网络组成，包括位置检测（激光测距仪、编码器）、物料检测（光电传感器、接近开关）、负载检测（称重传感器）、身份识别（RFID读卡器）等，实时采集设备状态与物料信息。激光测距仪（量程0.1-50m，精度±1mm）安装于升降平台，反馈高度位置；编码器（2500线增量式）安装于电机轴端，提供速度与位置反馈；称重传感器（0.1%FS）检测托盘重量，防止超载；RFID读卡器（读取距离50mm）识别托盘ID，实现追溯。</w:t>
      </w:r>
    </w:p>
    <w:p w14:paraId="0269E769">
      <w:r>
        <w:t>控制层以PLC为核心，主流采用汇川AM521系列或西门子S7-1200系列，例如汇川AM521-0808TN型号配备GL20-RTU-ECT模块，支持EtherCAT通信，I/O配置包括16通道DI模块（GL20-1600END）和16通道DO模块（GL20-0016ETP），程序容量≥100KB，满足叠盘逻辑控制需求。PLC负责逻辑运算、运动控制与任务调度，执行周期≤10ms，确保实时性。HMI采用10寸触摸屏（昆仑通态TPC1061Ti），显示设备状态、参数设置与故障报警，支持手动操作与参数修改。</w:t>
      </w:r>
    </w:p>
    <w:p w14:paraId="61352561">
      <w:r>
        <w:t>执行层包括伺服驱动器、变频器、电磁阀等执行机构。伺服驱动器（西门子V90系列）接收PLC的位置/速度指令，驱动升降机构与插杆系统，响应时间≤100μs；变频器（西门子G120系列）控制输送机电机，实现速度调节；电磁阀（SMC VF系列）控制压实气缸与定位销动作，响应时间≤50ms。</w:t>
      </w:r>
    </w:p>
    <w:p w14:paraId="62F892AA">
      <w:r>
        <w:t>通信网络采用“工业以太网+现场总线”混合架构：PLC与HMI、伺服驱动器通过Profinet总线通信（速率100Mbps），与传感器通过EtherCAT总线通信（周期1ms）；与MES系统通过OPC UA协议通信，上传生产数据（如叠盘数量、设备状态）并接收工单指令。安全通信通过独立安全总线（PROFIsafe）实现，安全信号传输延迟≤100ms，满足SIL3安全等级。</w:t>
      </w:r>
    </w:p>
    <w:p w14:paraId="1E7A4DF5">
      <w:pPr>
        <w:pStyle w:val="4"/>
      </w:pPr>
      <w:r>
        <w:t>2. PLC控制程序设计</w:t>
      </w:r>
    </w:p>
    <w:p w14:paraId="0B612C22">
      <w:r>
        <w:t>PLC控制程序采用模块化结构，按功能划分为主程序模块、手动控制模块、自动控制模块、故障处理模块与通信模块，通过组织块（OB）、功能块（FB）、功能（FC）实现代码复用与逻辑清晰。</w:t>
      </w:r>
    </w:p>
    <w:p w14:paraId="402543FE">
      <w:r>
        <w:t>主程序模块（OB1）：循环执行，调用各功能模块，实现程序总控。初始化阶段（首次扫描OB100）完成参数复位、传感器自检与通信建立；运行阶段依次调用手动/自动模块、故障诊断模块，根据设备状态执行相应逻辑。</w:t>
      </w:r>
    </w:p>
    <w:p w14:paraId="71A6F3BB">
      <w:r>
        <w:t>手动控制模块（FB10）：处理HMI手动操作指令，包括升降机构点动、插杆调节、输送机启停等。每个动作设置使能条件（如急停未触发、安全门关闭），通过自锁逻辑保持动作，点动按钮释放时停止动作。例如，手动升降时，按下“上升”按钮，PLC输出电机正转信号，松开按钮则停止。</w:t>
      </w:r>
    </w:p>
    <w:p w14:paraId="74589079">
      <w:r>
        <w:t>自动控制模块（FB20）：实现全自动叠盘流程，采用顺序功能图（SFC）描述状态转换，包括初始化、待机、取料、顶升、叠放、压实、输送七个状态。状态切换条件基于传感器信号，例如“取料完成”需同时满足：升降机构下降到位（接近开关信号）、插杆插入到位（接近开关信号）、称重传感器检测到物料（重量＞50kg）。每个状态配置超时检测（如取料超时10秒报警），防止死循环。</w:t>
      </w:r>
    </w:p>
    <w:p w14:paraId="2CA7CD4F">
      <w:r>
        <w:t>故障处理模块（FB30）：实时监测设备故障，包括传感器故障（信号丢失、偏差超限）、驱动故障（电机过载、驱动器报警）、通信故障（总线断开、数据超时）等。故障发生时，触发相应处理逻辑（如停机、报警、记录故障代码），并通过HMI显示故障描述与处理建议。故障代码采用“E+三位数字”格式，如E001表示激光测距仪故障，E002表示伺服驱动器过流。</w:t>
      </w:r>
    </w:p>
    <w:p w14:paraId="16D0DE87">
      <w:r>
        <w:t>通信模块（FB40）：实现与MES系统、HMI、RGV/AGV的数据流交互。通过Profinet总线接收MES的工单指令（如托盘规格、叠放层数），上传设备状态（如运行中、故障、待机）与生产数据（如已叠盘数量、当前缓存量）；与HMI交换界面数据（如设定参数、实时位置），更新显示内容。</w:t>
      </w:r>
    </w:p>
    <w:p w14:paraId="3D9D27D9">
      <w:pPr>
        <w:pStyle w:val="4"/>
      </w:pPr>
      <w:r>
        <w:t>3. 传感器系统原理</w:t>
      </w:r>
    </w:p>
    <w:p w14:paraId="09B92849">
      <w:r>
        <w:t>传感器系统是实现精准控制的“感知器官”，各类传感器协同工作，为控制层提供决策依据。位置信号通过差分编码器采集，编码器安装于从动轮，将行走距离转换为差分脉冲信号（分辨率0.1mm），输入PLC高速计数模块，采样频率≥1kHz，确保动态响应速度。激光测距仪输出4-20mA模拟量信号，对应0-2m量程，PLC通过16位A/D转换模块读取，转换精度±0.1%FS，用于定位校准。</w:t>
      </w:r>
    </w:p>
    <w:p w14:paraId="6006EE67">
      <w:r>
        <w:t>开关量信号采用光耦隔离输入，隔离电压≥2500V AC，防止外部电气干扰影响控制系统稳定性。例如，急停按钮、限位开关等信号经光耦转换后输入PLC，确保信号传输的安全性。模拟量信号（如称重传感器输出4-20mA）需进行滤波处理，采用一阶低通滤波器（截止频率10Hz）消除高频噪声，滤波后的信号用于负载监测与超载保护。</w:t>
      </w:r>
    </w:p>
    <w:p w14:paraId="33766085">
      <w:r>
        <w:t>传感器故障诊断通过信号合理性判断实现，如激光测距仪信号突变＞10mm/100ms时，判定为故障并切换至备用导航；编码器脉冲丢失率＞0.1%时，触发报警并启动参考点回归。关键传感器需具备自诊断功能，通过状态引脚反馈故障信息（如激光扫描仪“无反光板”报警）。安全信号采用双通道设计，急停回路同时接入PLC与独立安全继电器，当任一通道触发急停时，立即切断驱动电源，响应时间≤100ms，达到SIL 3安全等级。</w:t>
      </w:r>
    </w:p>
    <w:p w14:paraId="0E998298">
      <w:pPr>
        <w:pStyle w:val="4"/>
      </w:pPr>
      <w:r>
        <w:t>4. 自动化逻辑与安全控制</w:t>
      </w:r>
    </w:p>
    <w:p w14:paraId="309D9C0C">
      <w:r>
        <w:t>自动化逻辑遵循“任务触发-条件判断-动作执行-状态反馈”流程，实现无人化作业。任务触发：MES系统下发工单，包含托盘规格、叠放层数、优先级等信息，PLC解析工单并存储于任务队列；当设备处于待机状态且上游有物料时，从队列提取最高优先级任务执行。</w:t>
      </w:r>
    </w:p>
    <w:p w14:paraId="2EF6D92A">
      <w:r>
        <w:t>条件判断采用“与/或”逻辑组合，确保动作安全有序。例如，自动取料条件：上游设备“物料就绪”信号为真、缓存区未满、安全门关闭、无故障报警，所有条件满足时触发取料动作。动作执行采用时序控制，通过定时器与计数器精确控制各部件动作顺序与时间，如插杆伸出延迟0.5秒后启动升降机构，避免机械干涉。</w:t>
      </w:r>
    </w:p>
    <w:p w14:paraId="0C5E0888">
      <w:r>
        <w:t>状态反馈通过传感器信号实时更新，如“取料中”“定位中”“叠放完成”等状态，HMI动态显示当前状态与进度。任务完成后，PLC向MES系统发送“任务完成”信号，并更新缓存区库存数据。</w:t>
      </w:r>
    </w:p>
    <w:p w14:paraId="023887AE">
      <w:r>
        <w:t>安全控制通过硬件与软件双重防护实现。硬件防护：急停按钮直接接入安全继电器，切断所有驱动电源；安全光幕与安全门开关串联接入安全回路，触发时断开伺服使能；电机过载保护器（热继电器）监测电流，超过额定值1.2倍时跳闸。软件防护：PLC程序集成安全联锁，如升降机构运动时，禁止插杆系统动作；输送机运行时，禁止人员进入危险区域。安全逻辑通过TÜV认证，满足EN ISO 13849-1 PLd安全等级要求。</w:t>
      </w:r>
    </w:p>
    <w:p w14:paraId="231F00A5">
      <w:pPr>
        <w:pStyle w:val="3"/>
      </w:pPr>
      <w:r>
        <w:t>六、常见故障分析与对策</w:t>
      </w:r>
    </w:p>
    <w:p w14:paraId="5925FBDE">
      <w:pPr>
        <w:pStyle w:val="4"/>
      </w:pPr>
      <w:r>
        <w:t>1. 机械故障类型与成因</w:t>
      </w:r>
    </w:p>
    <w:p w14:paraId="33798FF8">
      <w:r>
        <w:t>机械故障主要包括结构故障、传动故障与定位偏差，直接影响设备运行精度与稳定性。</w:t>
      </w:r>
    </w:p>
    <w:p w14:paraId="35CE077A">
      <w:r>
        <w:t>结构故障中，机架焊接开裂多发生于横梁与纵梁连接的应力集中部位，成因包括焊接工艺缺陷（如未开坡口、焊脚尺寸不足）、长期超载（超过额定载荷15%）或材料疲劳。开裂初期表现为机架异响，严重时出现托盘倾斜，需通过磁粉探伤检测裂纹深度（超过3mm需停机维修）。对策：对裂纹部位采用电弧焊补焊（焊条E4303），焊后打磨并探伤；加强日常检查，避免超载运行，定期（每年）对关键焊缝进行磁粉探伤。</w:t>
      </w:r>
    </w:p>
    <w:p w14:paraId="77856FAB">
      <w:r>
        <w:t>传动故障中，链条断裂或跳齿多因销轴磨损量达0.5mm或链板变形超过1.5mm，链条强度下降50%，易在启停冲击下断裂。此外，链条张紧度过低（垂度＞12mm）会导致跳齿，加剧磨损。对策：每周检查链条张紧度，调整张紧装置使垂度保持8-12mm；每月润滑链条（锂基润滑脂NLGI 2级）；每半年测量销轴磨损量，超过0.5mm时更换链条；安装链条防跳齿装置，限制链条横向位移。</w:t>
      </w:r>
    </w:p>
    <w:p w14:paraId="1B05C6FB">
      <w:r>
        <w:t>定位偏差故障中，升降平台垂直度偏差＞2mm/m，成因包括导柱安装平行度超差（＞0.5mm/m）、线性轴承磨损（间隙＞0.5mm）或导轨变形（直线度误差＞0.3mm/m）。对策：用水平仪测量平台垂直度，通过调整导柱底座垫片修正平行度；每季度检查线性轴承间隙，超过0.5mm时更换轴承；每年校准导轨直线度，通过磨削或更换导轨修复变形。</w:t>
      </w:r>
    </w:p>
    <w:p w14:paraId="498AAA9A">
      <w:r>
        <w:t>环境因素导致的机械故障：高温（＞40℃）使润滑油黏度下降，加剧齿轮磨损；高湿（＞75%）导致机架锈蚀，降低结构强度；粉尘进入轴承，导致转动阻力增大（启动力矩＞1N·m）。对策：定期清洁设备，高温环境加装冷却风扇（风量≥0.2m³/s），高湿环境涂抹防锈油（每季度）；轴承安装防尘盖，定期更换润滑脂。</w:t>
      </w:r>
    </w:p>
    <w:p w14:paraId="5D64DB5A">
      <w:pPr>
        <w:pStyle w:val="4"/>
      </w:pPr>
      <w:r>
        <w:t>2. 电气故障类型与成因</w:t>
      </w:r>
    </w:p>
    <w:p w14:paraId="562BFCFA">
      <w:r>
        <w:t>电气故障涉及传感器、驱动系统与控制系统，表现为信号异常、动作失灵或设备停机。</w:t>
      </w:r>
    </w:p>
    <w:p w14:paraId="36398E62">
      <w:r>
        <w:t>传感器故障中，激光测距仪无信号输出，成因包括镜头污染（粉尘覆盖厚度＞0.5mm）、光源老化（亮度下降30%）或电缆断线（屏蔽层破损导致信号干扰）。对策：每日清洁镜头（用无尘布蘸酒精擦拭）；每2年更换光源模块；检查电缆屏蔽层接地（接地电阻≤50mΩ），破损时更换带屏蔽的双绞线。</w:t>
      </w:r>
    </w:p>
    <w:p w14:paraId="50C07B92">
      <w:r>
        <w:t>编码器信号跳变，表现为位置反馈数据突变（如从1000mm跳变至950mm），成因包括电缆屏蔽层接地不良（接地电阻＞100mΩ）、连接器氧化（针脚接触电阻＞50mΩ）或编码器内部轴承磨损（转动异响）。对策：用示波器测量编码器输出脉冲，正常波形应无畸变、占空比50%±5%；清洁连接器针脚，涂抹导电膏；轴承异响时更换编码器。</w:t>
      </w:r>
    </w:p>
    <w:p w14:paraId="7F59A810">
      <w:r>
        <w:t>驱动系统故障中，电机过热表现为绕组温度超过150℃（F级绝缘限值），成因包括散热不良（风扇堵塞、风道积尘）、电源电压不平衡（超过5%）或匝间短路（三相电阻不平衡度＞5%）。对策：用红外热像仪检测电机温度，异常热点温差＞20K提示故障；清洁风扇与风道，确保风量≥0.2m³/s；测量三相电压与电阻，不平衡度超过5%时检修电源或电机绕组。</w:t>
      </w:r>
    </w:p>
    <w:p w14:paraId="358E3D96">
      <w:r>
        <w:t>变频器过流报警表现为电流超过额定值1.5倍，成因包括电机堵转（如轨道卡滞）、功率模块损坏或驱动参数设置错误（如加速时间过短＜0.5s）。对策：检查电机转动灵活性，清除卡滞异物；测量功率模块输出电压，异常时更换模块；重新设置加速时间（≥0.5s），降低启动电流。</w:t>
      </w:r>
    </w:p>
    <w:p w14:paraId="21146577">
      <w:r>
        <w:t>控制系统故障中，PLC模块故障表现为I/O信号丢失或程序死机，成因包括模块电源故障（电压波动超过±10%）、内部元件老化或程序错误（如死循环）。对策：测量PLC电源电压（正常24V±5%），不稳定时加装稳压电源；定期备份程序（每月），出现死机时清除CPU故障缓冲区或重新下载程序；更换老化模块（使用年限超过5年的I/O模块）。</w:t>
      </w:r>
    </w:p>
    <w:p w14:paraId="16A4663A">
      <w:r>
        <w:t>总线通信故障表现为Profinet总线通信中断，数据刷新异常，成因包括电缆弯曲疲劳（弯曲半径＜5倍电缆直径）、接头松动或交换机故障。对策：检查电缆弯曲半径，更换过度弯曲的电缆；重新插拔接头，确保接触良好；通过诊断工具（如PRONETA）检测总线负载率（应＜70%）和丢包率（应＜0.1%），故障时更换交换机。</w:t>
      </w:r>
    </w:p>
    <w:p w14:paraId="5D902F8F">
      <w:pPr>
        <w:pStyle w:val="4"/>
      </w:pPr>
      <w:r>
        <w:t>3. 控制故障类型与成因</w:t>
      </w:r>
    </w:p>
    <w:p w14:paraId="3CBAE113">
      <w:r>
        <w:t>控制故障影响叠盘机的自动化运行，主要包括定位失效与动作异常。</w:t>
      </w:r>
    </w:p>
    <w:p w14:paraId="0108D96B">
      <w:r>
        <w:t>定位失效表现为停靠精度超过±5mm，成因包括RFID标签读取失败（油污污染或读写器角度偏差）、PLC程序逻辑错误（任务调度冲突或I/O点误动作）或传感器数据融合算法异常。例如，RFID标签表面油污会导致读取距离从50mm降至20mm以下。对策：使用中性清洁剂擦拭标签表面；调整读写器角度（最佳读取角度0°-30°）；在线监控PLC程序变量，修正逻辑条件；优化传感器数据融合算法，增加数据有效性判断逻辑。</w:t>
      </w:r>
    </w:p>
    <w:p w14:paraId="226928C1">
      <w:r>
        <w:t>动作异常表现为RGV行驶卡顿、输送机不动作等，成因包括伺服驱动器报警（过压、过流或编码器故障）、同步控制偏差（总线延迟或电机参数不匹配）或机械卡滞（如货叉伸缩机构异物卡阻）。对策：通过驱动器面板读取故障代码（如“AL001”表示过流），根据手册排查原因；通过Profinet总线校准各轴位置（同步误差≤0.1mm）；拆解机构清除异物，重新涂抹润滑脂（如货叉滑轨涂抹锂基润滑脂NLGI 2级）。</w:t>
      </w:r>
    </w:p>
    <w:p w14:paraId="68281547">
      <w:r>
        <w:t>程序数据丢失或错乱会导致RGV无法执行任务，成因包括PLC电池电压不足（＜3V）、电磁干扰导致程序损坏或人为误操作。对策：定期备份PLC程序（每月1次），每2年更换电池；加装浪涌保护器（防雷等级≥20kA），降低电磁干扰；设置操作权限，防止非授权人员修改程序。</w:t>
      </w:r>
    </w:p>
    <w:p w14:paraId="7E100823">
      <w:pPr>
        <w:pStyle w:val="3"/>
      </w:pPr>
      <w:r>
        <w:t>七、维护保养技术</w:t>
      </w:r>
    </w:p>
    <w:p w14:paraId="2B2D279A">
      <w:pPr>
        <w:pStyle w:val="4"/>
      </w:pPr>
      <w:r>
        <w:t>1. 日常维护规范</w:t>
      </w:r>
    </w:p>
    <w:p w14:paraId="52943888">
      <w:r>
        <w:t>日常维护是保障叠盘机稳定运行的基础，由操作人员与维护人员共同执行。班前检查项目包括：行走轮与轨道接触状态（无偏磨、轮缘磨损量≤0.3mm）、驱动电机异响（空载运行无异常噪音）、制动系统响应（按下急停按钮，制动距离≤0.5m）；电气系统确认电池电量≥20%、HMI无报警信息、急停按钮未触发；定位系统验证激光扫描仪指示灯绿色常亮（无故障）、RFID读卡器能正常读取测试标签（识别率100%）。</w:t>
      </w:r>
    </w:p>
    <w:p w14:paraId="06445803">
      <w:r>
        <w:t>班后维护项目包括：清洁工作，使用压缩空气（压力0.4-0.6MPa）清洁轨道异物、传感器镜头（激光扫描仪、光电开关）及车体表面粉尘，重点清理导向槽内铁屑；润滑工作，链条每周涂抹锂基润滑脂（NLGI 2级），润滑后空载运行5分钟确保油脂均匀分布，链条张紧度以垂度8-12mm为宜；记录工作，填写《叠盘机日常维护台账》，记录运行时间、故障现象、维护内容，存档期限≥3年。</w:t>
      </w:r>
    </w:p>
    <w:p w14:paraId="0B2E5FED">
      <w:r>
        <w:t>定期检查项目包括：每周检查导向轮侧向间隙（3-5mm），每月检查减速器油位（油面高于检视窗1/2），每季度检查制动片磨损量（厚度≥原厚度60%）。维护工具包括扭矩扳手、无尘布、润滑脂枪、酒精瓶等，应定点存放并定期校验（如扭矩扳手每年校准一次）。</w:t>
      </w:r>
    </w:p>
    <w:p w14:paraId="799DC92C">
      <w:pPr>
        <w:pStyle w:val="4"/>
      </w:pPr>
      <w:r>
        <w:t>2. 定期检修周期与内容</w:t>
      </w:r>
    </w:p>
    <w:p w14:paraId="6037F810">
      <w:r>
        <w:t>定期检修按周期分为月度检修、季度检修与年度大修，全面评估设备性能并修复潜在故障。</w:t>
      </w:r>
    </w:p>
    <w:p w14:paraId="4AB4DCE7">
      <w:r>
        <w:t>月度检修：重点检查传动与驱动系统。轴承温升检测，运行时用红外测温仪测量升降电机轴承温度，温升应≤40K（环境温度+40℃）；减速器油位检查，油面应高于检视窗1/2，不足时添加N220齿轮油；导向轮磨损检查，测量聚氨酯轮直径，磨损量＞3mm时更换；传感器精度校准，用标准砝码校准称重传感器（误差≤0.1%FS），用激光干涉仪校准编码器位置精度（偏差≤0.1mm）。</w:t>
      </w:r>
    </w:p>
    <w:p w14:paraId="3CDAC223">
      <w:r>
        <w:t>季度检修：聚焦结构与控制系统。机架水平度检测，用精密水平仪测量，误差＞0.2mm/m时通过支撑脚调整；齿轮箱油样分析，取油样检测污染度（NAS 8级以下）与水分含量（≤0.1%），超标时更换齿轮油；PLC程序备份与对比，通过编程软件备份当前程序，与标准程序对比差异，防止程序异常修改；安全回路测试，模拟急停、安全门打开等故障，验证安全继电器动作是否可靠。</w:t>
      </w:r>
    </w:p>
    <w:p w14:paraId="6F39C826">
      <w:r>
        <w:t>年度大修：进行全面拆解与性能恢复。电机绝缘测试，用2500V兆欧表测量绕组绝缘电阻，冷态≥50MΩ、热态≥1MΩ；机械部件更换，更换磨损的线性轴承（运行时间＞8000小时）、链条（销轴磨损＞0.5mm）、密封件（如气缸O型圈）；机架应力检测，采用超声波探伤（UT）检测关键焊缝，确保无内部裂纹；控制系统联调，重新校准伺服驱动器参数，进行自动流程试运行（连续运行100个周期，故障次数≤1次）。</w:t>
      </w:r>
    </w:p>
    <w:p w14:paraId="6B764C11">
      <w:r>
        <w:t>专项检修：根据环境与使用频率调整，如高温环境每半年清洁电机风扇，多粉尘环境每月更换空气过滤器，沿海高盐雾环境每季度喷涂防锈油。液压系统每半年更换46号抗磨液压油（黏度指数VI≥140），清洗油箱过滤器（过滤精度10μm）；蓄电池每3月进行均衡充电（电压差≤50mV），单体电池电压低于12.5V时重点关注；轨道每半年校准直线度（误差≤0.5mm/m）和平行度（误差≤2mm/5m），通过调整支撑螺栓消除沉降变形。</w:t>
      </w:r>
    </w:p>
    <w:p w14:paraId="30F0060A">
      <w:pPr>
        <w:pStyle w:val="4"/>
      </w:pPr>
      <w:r>
        <w:t>3. 故障处理流程与案例</w:t>
      </w:r>
    </w:p>
    <w:p w14:paraId="3FFFBBA5">
      <w:r>
        <w:t>故障处理采用三级响应机制，快速恢复设备功能。一级故障（操作人员现场处置）包括定位超时、传感器误报警等轻微故障，处置流程为：立即按下急停按钮→检查轨道障碍物（如铁屑、工具）→清洁传感器镜头→通过HMI复位故障→尝试重新运行→记录故障代码（如E012表示激光传感器故障）。</w:t>
      </w:r>
    </w:p>
    <w:p w14:paraId="51EDC05D">
      <w:r>
        <w:t>二级故障（维护人员介入）包括电机过载、减速器异响、链条跳齿等功能性故障，处置流程为：隔离故障设备（切断主电源并挂牌）→使用红外热像仪检测电机温度（异常热点温差＞20K）→通过听针判断齿轮啮合状态→更换过载保护器（设定值为额定电流的1.2倍）或张紧链条→空载试运行3次确认恢复。</w:t>
      </w:r>
    </w:p>
    <w:p w14:paraId="12DCEB48">
      <w:r>
        <w:t>三级故障（联合抢修）包括车架变形、PLC死机、驱动模块损坏等严重故障，处置流程为：启用备用叠盘机保障生产→机械团队使用水平仪校正车架水平度（偏差≤0.5mm/m）→电气团队通过STEP 7软件监控PLC程序运行状态，清除CPU故障缓冲区→更换损坏模块（如伺服驱动器）→系统联调（与MES通信测试、定位精度校验）→恢复生产。</w:t>
      </w:r>
    </w:p>
    <w:p w14:paraId="1FF2B016">
      <w:r>
        <w:t>典型故障案例：叠盘机叠放错位（偏差3mm）。排查过程：检查激光测距仪零点，发现偏移0.5mm；校准后试运行，偏差降至1mm；进一步检查伺服驱动器增益，位置环增益过低（2.0），调整至3.0后偏差≤0.5mm。根本原因为长期运行导致的零点漂移与增益参数衰减，预防措施为每月校准激光零点，每季度优化伺服参数。</w:t>
      </w:r>
    </w:p>
    <w:p w14:paraId="4E732694">
      <w:pPr>
        <w:pStyle w:val="4"/>
      </w:pPr>
      <w:r>
        <w:t>4. 维护安全规范</w:t>
      </w:r>
    </w:p>
    <w:p w14:paraId="456CBB63">
      <w:r>
        <w:t>维护作业需严格执行安全措施，预防机械伤害与电气事故。能量隔离措施包括：进行机械维修前，断开主电源并悬挂“禁止合闸”警示牌，拔出电池插头；液压系统维修前，通过泄压阀释放系统压力（压力≤0.5MPa），防止液压油喷射伤人。</w:t>
      </w:r>
    </w:p>
    <w:p w14:paraId="44C38FBC">
      <w:r>
        <w:t>高空作业防护要求：检修顶部机构时（高度＞1.5m），需搭设脚手架或使用登高平台，佩戴双钩式安全带（固定于牢固结构），禁止攀爬车体。作业人员需经过高空作业培训，持证上岗。</w:t>
      </w:r>
    </w:p>
    <w:p w14:paraId="621795D4">
      <w:r>
        <w:t>电气安全措施包括：测量绝缘电阻时使用2500V兆欧表，戴绝缘手套；更换PLC模块前，先释放人体静电（触摸接地体）；潮湿环境作业时，使用绝缘垫（厚度≥5mm），防止触电事故。</w:t>
      </w:r>
    </w:p>
    <w:p w14:paraId="55E2024D">
      <w:r>
        <w:t>应急预案需涵盖触电、机械伤害急救流程，配备急救箱（含止血带、烧伤膏、消毒用品）。触电急救：立即切断电源，对伤者进行心肺复苏（CPR）并拨打急救电话；机械伤害：停止设备，对伤口进行压迫止血，骨折时固定伤肢，送医治疗。</w:t>
      </w:r>
    </w:p>
    <w:p w14:paraId="0D47E2E9">
      <w:r>
        <w:t>维护人员资质要求：电气作业需持低压电工证，焊接作业需持焊工证，特种设备操作需持相应资格证；定期组织安全培训（每季度1次），考核合格后方可上岗。</w:t>
      </w:r>
    </w:p>
    <w:p w14:paraId="65DCE549">
      <w:pPr>
        <w:pStyle w:val="3"/>
      </w:pPr>
      <w:r>
        <w:t>八、全生命周期管理</w:t>
      </w:r>
    </w:p>
    <w:p w14:paraId="275A81ED">
      <w:pPr>
        <w:pStyle w:val="4"/>
      </w:pPr>
      <w:r>
        <w:t>1. 报废标准</w:t>
      </w:r>
    </w:p>
    <w:p w14:paraId="320C1873">
      <w:r>
        <w:t>叠盘机达到以下条件之一时需报废，确保设备安全与生产质量。结构报废条件包括：车架焊接裂纹深度＞3mm或长度＞50mm，无法修复；载货平台变形量超过对角线长度2%（如1200mm×1000mm平台对角线变形＞26mm）；支撑脚断裂或脱落，影响承载稳定性。</w:t>
      </w:r>
    </w:p>
    <w:p w14:paraId="0F795D88">
      <w:r>
        <w:t>功能报废条件包括：动态承载能力降至额定值70%以下（如原动载5吨降至3.5吨以下）；定位精度＞±5mm，经调试无法恢复；RFID标签、称重传感器等关键功能部件失效，且更换成本超过新设备30%。</w:t>
      </w:r>
    </w:p>
    <w:p w14:paraId="4C11AC61">
      <w:r>
        <w:t>材料劣化报废条件包括：电机绕组绝缘电阻冷态＜5MΩ或热态＜1MΩ，绝缘老化无法修复；车架锈蚀穿孔（锈蚀深度＞1mm），结构强度下降50%；蓄电池容量衰减至额定值60%以下，充放电循环＞1000次。</w:t>
      </w:r>
    </w:p>
    <w:p w14:paraId="3EA656BC">
      <w:r>
        <w:t>报废检测方法包括：超声波探伤检测钢制部件内部裂纹，静载试验（5吨载荷持压24小时，变形量＞3%即报废），表面电阻测试（电机绕组对地绝缘电阻）。报废审批流程：设备工程师提交《报废申请表》，附检测报告与成本分析，经技术部门审核、分管领导批准后执行。</w:t>
      </w:r>
    </w:p>
    <w:p w14:paraId="0005CC84">
      <w:pPr>
        <w:pStyle w:val="4"/>
      </w:pPr>
      <w:r>
        <w:t>2. 更新周期与策略</w:t>
      </w:r>
    </w:p>
    <w:p w14:paraId="420628BD">
      <w:r>
        <w:t>叠盘机的更新周期根据部件类型、使用频率与环境条件动态调整，采用“预测性更换”策略，平衡设备可靠性与成本效益。</w:t>
      </w:r>
    </w:p>
    <w:p w14:paraId="3C7F3984">
      <w:r>
        <w:t>基础更新周期：钢制结构部件（机架、横梁）8-10年，不锈钢部件（紧固件、传感器支架）15-20年；电气元件：PLC、HMI 5-7年，伺服电机、驱动器6-8年，传感器3-5年（光电传感器）、5-6年（激光测距仪）；传动部件：齿轮箱8-10年，链条2-3年，轴承5-6年（高速轴承）、8-10年（低速轴承）。</w:t>
      </w:r>
    </w:p>
    <w:p w14:paraId="79C26EFF">
      <w:r>
        <w:t>使用频率调整：日均叠盘次数＞200次时，传动部件更新周期缩短20%（如链条从3年缩至2.4年）；连续运行时间＞16小时/天，电气元件更新周期缩短30%（如伺服电机从8年缩至5.6年）；负载率＞80%（长期满负荷运行），结构部件更新周期缩短15%（如机架从10年缩至8.5年）。</w:t>
      </w:r>
    </w:p>
    <w:p w14:paraId="6EFD0CDB">
      <w:r>
        <w:t>环境条件调整：高温环境（＞40℃），塑料部件（如导向轮）更新周期缩短30%（从5年缩至3.5年）；高湿环境（＞75%），钢制部件更新周期缩短25%（从10年缩至7.5年）；高粉尘环境，轴承、电机更新周期缩短20%，增加密封防护。</w:t>
      </w:r>
    </w:p>
    <w:p w14:paraId="172A838A">
      <w:r>
        <w:t>更新策略：采用“批次更换”而非整体更换，每次更换不超过总量的1/3，减少停机时间。例如，10台叠盘机的伺服电机分3批更换，每批3-4台，利用生产间隙施工；关键部件建立备件库（如PLC模块、伺服驱动器），故障时快速更换，维修后作为备用件。</w:t>
      </w:r>
    </w:p>
    <w:p w14:paraId="27A5FB11">
      <w:r>
        <w:t>更新计划制定：每年末评估设备状态，基于运行时间、故障记录、检测数据预测剩余寿命，制定下年度更新计划；纳入年度预算，预留更新资金（占设备原值的5%-8%/年）；更新前进行新设备选型，优先选择模块化、智能化机型，提升兼容性与扩展性。</w:t>
      </w:r>
    </w:p>
    <w:p w14:paraId="4F357D4A">
      <w:pPr>
        <w:pStyle w:val="4"/>
      </w:pPr>
      <w:r>
        <w:t>3. 成本控制策略</w:t>
      </w:r>
    </w:p>
    <w:p w14:paraId="7DA23A84">
      <w:r>
        <w:t>全生命周期成本控制覆盖采购、运维、处置三阶段，通过优化决策降低综合成本。</w:t>
      </w:r>
    </w:p>
    <w:p w14:paraId="27B5AECF">
      <w:r>
        <w:t>采购阶段：性价比优先，平衡初始投资与长期运维成本。模块化设计设备，部件标准化（如采用通用伺服电机、传感器），备件采购成本降低30%；节能型驱动系统，选用高效电机（能效等级IE3），年耗电量降低15%（按日均运行16小时计算，年节电约2000kWh）；供应商选择，优先与提供长期维保服务的厂商合作，获取优惠备件价格与技术支持。</w:t>
      </w:r>
    </w:p>
    <w:p w14:paraId="25F89FCD">
      <w:r>
        <w:t>运维阶段：预防性维护替代故障维修，降低突发停机损失。预测性维护，通过振动传感器（监测齿轮箱振动频谱）、油液分析（检测磨损颗粒）预测故障，提前更换部件（如预测轴承剩余寿命3个月时主动更换），故障维修成本降低40%；分级维修，轻微故障（如传感器清洁）现场修复（成本30元/次），严重故障（如齿轮箱损坏）更换模块化部件（成本2000元/个），比整体更换节省60%成本；数字化管理，通过MES系统记录设备运行数据（如运行时间、故障次数、维护成本），分析成本构成，优化维护策略（如将高频故障部件的维护周期从季度改为月度）。</w:t>
      </w:r>
    </w:p>
    <w:p w14:paraId="4A4BBBEC">
      <w:r>
        <w:t>处置阶段：环保合规与资源回收，实现残值最大化。报废设备拆解，金属部件（钢、不锈钢）熔炼回收，收益约1000元/吨；电气元件（PLC、驱动器）评估修复价值，可修复件作为备用件（成本仅为新品50%）；危废处理，废弃润滑油、液压油交由有资质单位回收（成本200元/桶），避免环境污染罚款；塑料、橡胶部件交由专业回收企业处理，符合《固体废物污染环境防治法》要求。</w:t>
      </w:r>
    </w:p>
    <w:p w14:paraId="152EA3D6">
      <w:r>
        <w:t>全生命周期成本分析：以1台叠盘机（采购成本20万元，寿命10年）为例，初始投资占40%（8万元），运维成本占50%（10万元），处置成本占10%（2万元），年均成本2万元。通过优化运维策略（预测性维护），可使运维成本降低20%，全生命周期成本降至18万元，年均节省0.2万元。</w:t>
      </w:r>
    </w:p>
    <w:p w14:paraId="786265C0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DFC5609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CDD76F6A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2025-10-02T17:18:25Z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8AB92D299780E6906143DE68752B722E_43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