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B41C2">
      <w:pPr>
        <w:pStyle w:val="2"/>
      </w:pPr>
    </w:p>
    <w:p w14:paraId="593E8662">
      <w:pPr>
        <w:pStyle w:val="2"/>
      </w:pPr>
      <w:r>
        <w:t>干变铁芯车间铁芯集送线RGV技术手册</w:t>
      </w:r>
    </w:p>
    <w:p w14:paraId="6E7FB3DC">
      <w:pPr>
        <w:pStyle w:val="3"/>
      </w:pPr>
      <w:r>
        <w:t>一、概述</w:t>
      </w:r>
    </w:p>
    <w:p w14:paraId="324910E2">
      <w:pPr>
        <w:pStyle w:val="4"/>
      </w:pPr>
      <w:r>
        <w:t>1.1 设备用途与应用场景</w:t>
      </w:r>
    </w:p>
    <w:p w14:paraId="191A85AB">
      <w:r>
        <w:t>干变铁芯车间铁芯集送线RGV（有轨制导车辆）是实现变压器铁芯硅钢片自动化转运的核心设备，主要承担原料卷、条料卷、片柱及铁芯托盘在各工序间的精准流转任务。在变压器铁芯生产流程中，RGV位于原料存储区与剪切设备之间、剪切设备与叠装工位之间、叠装工位与夹件组装区之间，通过与平面库、立体库、纵剪机、横剪机、叠装机械臂及MES系统的协同工作，构建从原料入库到成品缓存的全流程自动化物料输送链路。</w:t>
      </w:r>
    </w:p>
    <w:p w14:paraId="33CDF336">
      <w:r>
        <w:t>具体应用场景包括：接收纵剪机剪切后的条料卷，转运至横剪机头或条料卷立体库暂存；将横剪完成的片柱（通常10片为一组）从接料台输送至自动叠片区缓存库；在叠装工序完成后，将铁芯转运至夹件组装工位，再将组装后的铁芯送至翻转台或存放区；同步回收空托盘至上游工序，形成“送料-取板”的闭环循环。该设备适用于10kV至220kV干式变压器铁芯的批量生产，尤其在大型变压器（容量1000kV·A以上）铁芯生产中，可有效解决人工转运导致的效率低（传统人工转运周期45分钟/次）、定位偏差大（人工对接误差±5mm）、铁芯磕碰损伤（故障率2.3%）等问题，使工序衔接效率提升40%以上，是现代干变铁芯车间实现智能制造的关键物流装备。</w:t>
      </w:r>
    </w:p>
    <w:p w14:paraId="2D108BD1">
      <w:pPr>
        <w:pStyle w:val="4"/>
      </w:pPr>
      <w:r>
        <w:t>1.2 工作环境与技术参数</w:t>
      </w:r>
    </w:p>
    <w:p w14:paraId="3185300C">
      <w:r>
        <w:t>RGV的运行环境需满足工业生产标准，具体要求如下：环境温度-10℃至40℃，相对湿度≤85%（无凝露），车间粉尘浓度≤10mg/m³，避免强电磁干扰源（如电焊机、大功率变频器）近距离布置（间距≥3m）；电源规格为三相AC 380V±10%，50Hz，总装机容量≤5kW，接地电阻≤4Ω；压缩空气供应压力0.5-0.6MPa，流量≥0.3m³/min（如配置气动清轨器）。</w:t>
      </w:r>
    </w:p>
    <w:p w14:paraId="2B27593F">
      <w:r>
        <w:t>核心技术参数如下表所示：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D6E0F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A56C799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3293793E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0" w:type="auto"/>
            <w:vAlign w:val="center"/>
          </w:tcPr>
          <w:p w14:paraId="5E3C1FF5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2ACF5C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2F8F13">
            <w:r>
              <w:t>额定载荷</w:t>
            </w:r>
          </w:p>
        </w:tc>
        <w:tc>
          <w:tcPr>
            <w:tcW w:w="0" w:type="auto"/>
            <w:vAlign w:val="center"/>
          </w:tcPr>
          <w:p w14:paraId="5CFFF572">
            <w:r>
              <w:t>500-1000kg</w:t>
            </w:r>
          </w:p>
        </w:tc>
        <w:tc>
          <w:tcPr>
            <w:tcW w:w="0" w:type="auto"/>
            <w:vAlign w:val="center"/>
          </w:tcPr>
          <w:p w14:paraId="0ACE2671">
            <w:r>
              <w:t>含铁芯硅钢片及托盘重量</w:t>
            </w:r>
          </w:p>
        </w:tc>
      </w:tr>
      <w:tr w14:paraId="6E0C1A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A2F89B">
            <w:r>
              <w:t>运行速度</w:t>
            </w:r>
          </w:p>
        </w:tc>
        <w:tc>
          <w:tcPr>
            <w:tcW w:w="0" w:type="auto"/>
            <w:vAlign w:val="center"/>
          </w:tcPr>
          <w:p w14:paraId="3549BFAF">
            <w:r>
              <w:t>1.5-3m/s</w:t>
            </w:r>
          </w:p>
        </w:tc>
        <w:tc>
          <w:tcPr>
            <w:tcW w:w="0" w:type="auto"/>
            <w:vAlign w:val="center"/>
          </w:tcPr>
          <w:p w14:paraId="60E4D3B0">
            <w:r>
              <w:t>直线段全速，弯道/工位段0.1-0.3m/s</w:t>
            </w:r>
          </w:p>
        </w:tc>
      </w:tr>
      <w:tr w14:paraId="6B76DF4E">
        <w:tc>
          <w:tcPr>
            <w:tcW w:w="0" w:type="auto"/>
            <w:vAlign w:val="center"/>
          </w:tcPr>
          <w:p w14:paraId="5BA28513">
            <w:r>
              <w:t>加速度</w:t>
            </w:r>
          </w:p>
        </w:tc>
        <w:tc>
          <w:tcPr>
            <w:tcW w:w="0" w:type="auto"/>
            <w:vAlign w:val="center"/>
          </w:tcPr>
          <w:p w14:paraId="599DC3A5">
            <w:r>
              <w:t>0.5-1m/s²</w:t>
            </w:r>
          </w:p>
        </w:tc>
        <w:tc>
          <w:tcPr>
            <w:tcW w:w="0" w:type="auto"/>
            <w:vAlign w:val="center"/>
          </w:tcPr>
          <w:p w14:paraId="49066E89">
            <w:r>
              <w:t>S型加减速曲线规划</w:t>
            </w:r>
          </w:p>
        </w:tc>
      </w:tr>
      <w:tr w14:paraId="21DBA4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FD7F0C">
            <w:r>
              <w:t>定位精度</w:t>
            </w:r>
          </w:p>
        </w:tc>
        <w:tc>
          <w:tcPr>
            <w:tcW w:w="0" w:type="auto"/>
            <w:vAlign w:val="center"/>
          </w:tcPr>
          <w:p w14:paraId="5A64BD08">
            <w:r>
              <w:t>±1mm（编码器），±0.5mm（激光修正）</w:t>
            </w:r>
          </w:p>
        </w:tc>
        <w:tc>
          <w:tcPr>
            <w:tcW w:w="0" w:type="auto"/>
            <w:vAlign w:val="center"/>
          </w:tcPr>
          <w:p w14:paraId="0A4D5950">
            <w:r>
              <w:t>重复定位精度≤±20mm（自动模式）</w:t>
            </w:r>
          </w:p>
        </w:tc>
      </w:tr>
      <w:tr w14:paraId="496822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E8DD25">
            <w:r>
              <w:t>轨道系统</w:t>
            </w:r>
          </w:p>
        </w:tc>
        <w:tc>
          <w:tcPr>
            <w:tcW w:w="0" w:type="auto"/>
            <w:vAlign w:val="center"/>
          </w:tcPr>
          <w:p w14:paraId="26BF21DF">
            <w:r>
              <w:t>U71Mn钢轨/6061-T6铝合金，工字型截面</w:t>
            </w:r>
          </w:p>
        </w:tc>
        <w:tc>
          <w:tcPr>
            <w:tcW w:w="0" w:type="auto"/>
            <w:vAlign w:val="center"/>
          </w:tcPr>
          <w:p w14:paraId="4E946E74">
            <w:r>
              <w:t>轨距500-1500mm，铺设平整度≤±1mm/m</w:t>
            </w:r>
          </w:p>
        </w:tc>
      </w:tr>
      <w:tr w14:paraId="2C4959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5A088E6">
            <w:r>
              <w:t>驱动系统</w:t>
            </w:r>
          </w:p>
        </w:tc>
        <w:tc>
          <w:tcPr>
            <w:tcW w:w="0" w:type="auto"/>
            <w:vAlign w:val="center"/>
          </w:tcPr>
          <w:p w14:paraId="69E3E5F8">
            <w:r>
              <w:t>伺服电机0.75-2.2kW，行星减速器10:1-30:1</w:t>
            </w:r>
          </w:p>
        </w:tc>
        <w:tc>
          <w:tcPr>
            <w:tcW w:w="0" w:type="auto"/>
            <w:vAlign w:val="center"/>
          </w:tcPr>
          <w:p w14:paraId="7912DCC9">
            <w:r>
              <w:t>输出扭矩50-200N·m</w:t>
            </w:r>
          </w:p>
        </w:tc>
      </w:tr>
      <w:tr w14:paraId="5F387814">
        <w:tc>
          <w:tcPr>
            <w:tcW w:w="0" w:type="auto"/>
            <w:vAlign w:val="center"/>
          </w:tcPr>
          <w:p w14:paraId="703A7F7A">
            <w:r>
              <w:t>供电方式</w:t>
            </w:r>
          </w:p>
        </w:tc>
        <w:tc>
          <w:tcPr>
            <w:tcW w:w="0" w:type="auto"/>
            <w:vAlign w:val="center"/>
          </w:tcPr>
          <w:p w14:paraId="68BD3D29">
            <w:r>
              <w:t>滑触线AC36V转AC380V/锂电池DC24V</w:t>
            </w:r>
          </w:p>
        </w:tc>
        <w:tc>
          <w:tcPr>
            <w:tcW w:w="0" w:type="auto"/>
            <w:vAlign w:val="center"/>
          </w:tcPr>
          <w:p w14:paraId="23EE88FA">
            <w:r>
              <w:t>滑触线受电靴接触压力5-8N</w:t>
            </w:r>
          </w:p>
        </w:tc>
      </w:tr>
      <w:tr w14:paraId="440FF6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5BD46E">
            <w:r>
              <w:t>安全防护</w:t>
            </w:r>
          </w:p>
        </w:tc>
        <w:tc>
          <w:tcPr>
            <w:tcW w:w="0" w:type="auto"/>
            <w:vAlign w:val="center"/>
          </w:tcPr>
          <w:p w14:paraId="029F2271">
            <w:r>
              <w:t>激光障碍物传感器（0.5-3m），物理防撞条</w:t>
            </w:r>
          </w:p>
        </w:tc>
        <w:tc>
          <w:tcPr>
            <w:tcW w:w="0" w:type="auto"/>
            <w:vAlign w:val="center"/>
          </w:tcPr>
          <w:p w14:paraId="6B22DF42">
            <w:r>
              <w:t>响应时间≤100ms，触发力50N急停</w:t>
            </w:r>
          </w:p>
        </w:tc>
      </w:tr>
    </w:tbl>
    <w:p w14:paraId="647C4E4B">
      <w:pPr>
        <w:pStyle w:val="3"/>
      </w:pPr>
      <w:r>
        <w:t>二、机械结构组成</w:t>
      </w:r>
    </w:p>
    <w:p w14:paraId="18653CAE">
      <w:pPr>
        <w:pStyle w:val="4"/>
      </w:pPr>
      <w:r>
        <w:t>2.1 车架系统</w:t>
      </w:r>
    </w:p>
    <w:p w14:paraId="51792221">
      <w:r>
        <w:t>车架作为RGV的承载主体，采用箱型焊接结构，材质选用Q235B低碳钢（重载场景）或6061-T6铝合金（轻量化场景），通过焊接机器人焊接成型，焊后经退火处理消除内应力，确保结构刚性与韧性。设计额定载荷为实际承载的150%（如额定载荷1000kg时，设计承载1500kg），避免长期重载导致的结构变形（最大挠度≤1mm/m）。车架整体尺寸根据铁芯托盘规格定制，典型长×宽×高为2500mm×1800mm×500mm，轴距极限偏差±2.0mm，两轮对角线之差不大于30mm，确保运行平稳性。</w:t>
      </w:r>
    </w:p>
    <w:p w14:paraId="14E5EE09">
      <w:r>
        <w:t>车架底部安装模块化车轮组，每侧配置2-4组车轮，前轮为双轮缘结构（轮缘高度15-20mm），防止轨道运行时脱轨；后轮为无轮缘结构，轴承座预留轴向游动间隙0.5-1mm，可自动补偿轨道平行度偏差（≤±1mm/m）导致的卡滞。车轮轴承选用双列角接触球轴承（型号7205AC），径向游隙≤0.02mm，轴向窜动≤0.03mm，确保转动灵活无卡顿。车架与车轮组通过高强度螺栓连接（M16，8.8级），预紧扭矩45-50N·m，配合防松螺母（施必牢螺纹）防止振动松动。</w:t>
      </w:r>
    </w:p>
    <w:p w14:paraId="33E28244">
      <w:pPr>
        <w:pStyle w:val="4"/>
      </w:pPr>
      <w:r>
        <w:t>2.2 驱动装置</w:t>
      </w:r>
    </w:p>
    <w:p w14:paraId="66E0A1A6">
      <w:r>
        <w:t>驱动装置采用“伺服电机+行星减速器+驱动轮”的刚性传动方案，为RGV提供动力输出，实现沿轨道的精确速度与位置控制。伺服电机选用松下A6系列（如MSMF042L1U2M）或西门子V90系列，功率根据载荷配置0.75-2.2kW，额定转速1500-3000rpm，配备23位多圈绝对值编码器（分辨率8,388,608 ppr），支持位置、速度、扭矩三种控制模式，动态响应频率≥500Hz。</w:t>
      </w:r>
    </w:p>
    <w:p w14:paraId="632209D5">
      <w:r>
        <w:t>减速器采用行星齿轮减速器（如中大力德PLF系列），减速比10:1-30:1，传动效率≥97%，输入转速≤4000rpm，输出扭矩50-200N·m，齿轮精度ISO 5级，齿面经渗碳淬火处理（硬度HRC58-62），额定寿命≥10,000小时。电机通过梅花形弹性联轴器与减速器输入轴连接，补偿安装同轴度误差（≤0.2mm）；减速器输出轴通过平键与驱动轮刚性连接，键槽配合精度H9/h9，传递扭矩时无相对滑动。</w:t>
      </w:r>
    </w:p>
    <w:p w14:paraId="5A6D60C0">
      <w:r>
        <w:t>驱动轮材质为45号钢，经调质处理（硬度HB220-250）后表面淬火（HRC50-55），轮面覆盖5mm厚聚氨酯弹性体（邵氏硬度85A），兼具耐磨性与减震性（运行噪音≤65dB）。车轮直径100-150mm，宽度50-80mm，轮距根据轨道间距定制（常见600-1200mm），安装后两轮同轴度误差≤0.05mm/m，确保两侧驱动轮同步运行时无偏摆。</w:t>
      </w:r>
    </w:p>
    <w:p w14:paraId="69CE5909">
      <w:pPr>
        <w:pStyle w:val="4"/>
      </w:pPr>
      <w:r>
        <w:t>2.3 定位机构</w:t>
      </w:r>
    </w:p>
    <w:p w14:paraId="0869EEE6">
      <w:r>
        <w:t>RGV的定位精度直接影响铁芯工序衔接效率，采用“编码器+RFID+激光传感器”的多传感器融合定位方案，实现从粗定位到精确定位的三级控制。</w:t>
      </w:r>
    </w:p>
    <w:p w14:paraId="147EC1D1">
      <w:r>
        <w:t>编码器定位为基础层，主动轮轴端安装绝对值编码器（分辨率1024-2048ppr），通过计数脉冲计算行走距离（位移=π×车轮直径×旋转圈数），配合PLC的PID算法实现速度闭环控制，定位误差±1mm。RFID辅助定位为中间层，轨道沿线每隔5-10m布置RFID标签（存储站点编号、坐标信息），车载读卡器（读取距离50mm）在通过时读取标签信息，实现站点粗定位（误差±5mm），用于路径切换与站点识别。</w:t>
      </w:r>
    </w:p>
    <w:p w14:paraId="7B9DD567">
      <w:r>
        <w:t>激光精确定位为核心层，在叠装工位等关键节点，RGV顶部安装激光轮廓传感器（如基恩士LJ-V7000系列），扫描频率5000Hz，分辨率1μm，通过识别轨道旁的高精度定位板（刻线精度±0.1mm），实时修正编码器累积误差，最终实现±0.5mm级定位精度。定位板采用殷钢材质（热膨胀系数1.2×10⁻⁶/℃），确保温度变化对定位精度影响≤±0.01mm/m。</w:t>
      </w:r>
    </w:p>
    <w:p w14:paraId="021AA64E">
      <w:r>
        <w:t>三级定位协同工作流程：RGV接收到转运指令后，编码器实时反馈位置；接近目标站点时，RFID读取标签触发减速（速度降至0.3m/s）；进入激光定位区域后，传感器扫描定位板，输出位置偏差至PLC，驱动伺服电机进行微调（调节量≤±2mm），最终停靠在目标位置（误差≤±0.5mm）。</w:t>
      </w:r>
    </w:p>
    <w:p w14:paraId="7D422633">
      <w:pPr>
        <w:pStyle w:val="4"/>
      </w:pPr>
      <w:r>
        <w:t>2.4 转向与轨道系统</w:t>
      </w:r>
    </w:p>
    <w:p w14:paraId="76BF4AD3">
      <w:r>
        <w:t>转向与轨道系统为RGV提供运行路径与导向，采用固定轨道导向设计，无需车载主动转向部件，结构简单可靠。轨道材质选用U71Mn热轧钢轨（重载场景，硬度HB200-250）或6061-T6铝合金型材（轻量化场景），截面为工字型或槽型，轨距500-1500mm（根据铁芯托盘宽度确定），单根轨道额定承载能力≥5kN/m。</w:t>
      </w:r>
    </w:p>
    <w:p w14:paraId="04A07EC2">
      <w:r>
        <w:t>轨道铺设标准严格控制：直线段轨道通过膨胀螺栓固定于混凝土基础（C30以上），轨距误差±1mm/m，直线度误差≤0.5mm/m，水平度误差≤0.2mm/m；弯道段曲率半径≥1.5m，外轨超高5-10mm（抵消离心力），轨道连接采用鱼尾板刚性连接，接缝平整度误差≤0.1mm，避免RGV通过时产生冲击振动。</w:t>
      </w:r>
    </w:p>
    <w:p w14:paraId="4D1B61D4">
      <w:r>
        <w:t>道岔系统实现多路径切换，分为机械式与电磁式两类：机械式道岔通过气缸驱动拨叉切换轨道（切换时间≤3秒），结构简单成本低；电磁式道岔通过电磁铁吸合改变轨道方向（切换时间≤1秒），响应速度快，适合高频次路径切换场景。道岔切换到位后，通过接近开关（如Omron E3Z）确认位置，PLC锁定道岔状态直至RGV通过，防止误切换导致脱轨。</w:t>
      </w:r>
    </w:p>
    <w:p w14:paraId="3792B394">
      <w:pPr>
        <w:pStyle w:val="4"/>
      </w:pPr>
      <w:r>
        <w:t>2.5 辅助功能部件</w:t>
      </w:r>
    </w:p>
    <w:p w14:paraId="66CD8729">
      <w:r>
        <w:t>辅助功能部件为RGV的稳定运行与安全防护提供保障，主要包括导电装置、清轨器与安全防护系统。</w:t>
      </w:r>
    </w:p>
    <w:p w14:paraId="513F703B">
      <w:r>
        <w:t>导电装置负责为RGV供电，采用滑触线-受电靴方案：轨道一侧布置2根行走导电轨（材质铜合金，导电截面积≥16mm²），提供AC36V安全电压，经车载变压器升压至AC380V驱动电机。受电靴为碳刷式结构（含4组碳刷，每组2个并联），碳刷材质为铜石墨（含铜量60%），与滑触轨接触压力5-8N，确保取电可靠性≥99.9%。碳刷磨损量达50%（剩余长度≤10mm）时需更换，避免接触不良导致断电。</w:t>
      </w:r>
    </w:p>
    <w:p w14:paraId="5305AA1F">
      <w:r>
        <w:t>清轨器安装于车架前端，采用聚氨酯刮板（厚度10mm，邵氏硬度80A），与轨道表面接触压力3-5N，可清除轨道表面铁屑、粉尘等杂物（粒径≤5mm），防止杂物进入车轮与轨道之间导致打滑或卡滞。刮板倾斜角度15°，确保杂物向轨道两侧排出，不堆积在运行路径上。</w:t>
      </w:r>
    </w:p>
    <w:p w14:paraId="45603B8C">
      <w:r>
        <w:t>安全防护系统包含三级防护：物理防撞条（聚氨酯材质，截面50×50mm）安装于车架四周，触发力50N时输出急停信号；激光障碍物传感器（SICK S300系列）扫描范围0.5-3m，检测到障碍物（如人员、掉落工件）时立即减速至停止；轨道两端设置机械限位块（聚氨酯缓冲，行程50mm）与光电接近开关，防止RGV超程运行。声光报警器（LED警示灯+蜂鸣器，音量≥85dB）在RGV运行时同步启动，提醒周边人员注意安全。</w:t>
      </w:r>
    </w:p>
    <w:p w14:paraId="22F0CF11">
      <w:pPr>
        <w:pStyle w:val="3"/>
      </w:pPr>
      <w:r>
        <w:t>三、功能特点与工作参数</w:t>
      </w:r>
    </w:p>
    <w:p w14:paraId="5F5FDD71">
      <w:pPr>
        <w:pStyle w:val="4"/>
      </w:pPr>
      <w:r>
        <w:t>3.1 铁芯转运工艺流程</w:t>
      </w:r>
    </w:p>
    <w:p w14:paraId="3744A45E">
      <w:r>
        <w:t>RGV在干变铁芯生产中承担全流程物料转运任务，其工艺流程覆盖原料入库至成品缓存的各个环节，形成闭环循环。</w:t>
      </w:r>
    </w:p>
    <w:p w14:paraId="7DFE27AA">
      <w:r>
        <w:t>原料卷与条料卷转运流程：原料卷经行车吊入原料卷平面库后，RGV根据WMS系统指令，通过AGV转运接口接收原料卷，运送至纵剪十字接料车；纵剪完成的条料卷由十字车挂至RGV移动车，RGV根据生产计划将其送至条料卷立体库（存储）或直接转运至横剪机头（生产）。横剪工序中，RGV每30秒接收一组片柱（10片），通过输送轨道转运至缓存库，缓存库料位传感器实时监测片柱数量，低于阈值（10组）时自动向上游发送补料请求。</w:t>
      </w:r>
    </w:p>
    <w:p w14:paraId="093C5316">
      <w:r>
        <w:t>片柱与铁芯托盘循环流程：自动叠片区机械臂按3-5秒/片的节拍取料叠装，RGV同步将空托板从缓存库取下并送至横剪接料台，形成“送料-取板”闭环（单循环时间≤1分钟）。叠装完成的铁芯（重量500-2000kg）存放于缓存区，经人工检查后，RGV转运至夹件组装工位；夹件组装完成的铁芯由RGV送至翻转台（翻转竖起90°），再转运至存放区，剩余的铁芯托盘通过RGV返回至夹件组装工位，供人工摆放底部夹件后再次进入叠装循环。</w:t>
      </w:r>
    </w:p>
    <w:p w14:paraId="5ABD6EFB">
      <w:r>
        <w:t>典型工艺流程案例（1600kV·A变压器铁芯）：原料卷（宽度1200mm）→纵剪→条料卷（宽度300mm）→RGV转运至横剪→片柱（长1500mm×宽300mm×厚0.3mm）→RGV转运至叠装缓存库→叠装机械臂取料叠装→铁芯（重约800kg）→RGV转运至夹件组装→RGV转运至存放区，全流程RGV参与转运6次，总耗时约45分钟，较人工转运效率提升3倍。</w:t>
      </w:r>
    </w:p>
    <w:p w14:paraId="484F67AA">
      <w:pPr>
        <w:pStyle w:val="4"/>
      </w:pPr>
      <w:r>
        <w:t>3.2 与生产设备的协同机制</w:t>
      </w:r>
    </w:p>
    <w:p w14:paraId="7DDFC2D4">
      <w:r>
        <w:t>RGV通过与上游剪切设备、下游叠装设备及工厂MES系统的深度协同，实现生产流程的无缝衔接与高效运转。</w:t>
      </w:r>
    </w:p>
    <w:p w14:paraId="75A2471C">
      <w:r>
        <w:t>与剪切设备的协同：纵剪机与RGV通过PROFINET总线实时交互数据，纵剪机完成一卷原料剪切后，向RGV发送“条料卷就绪”信号（包含规格、数量信息），RGV在30秒内到达接料位置，推送条料卷至横剪机头或立体库。横剪机每完成10片硅钢片剪切，通过I/O信号触发RGV取料，RGV将片柱转运至缓存库，同时回收空托板至横剪接料台，确保剪切设备无间断运行。某案例显示，通过RGV动态调度，纵剪与横剪设备的衔接等待时间缩短至≤1分钟，设备利用率提升25%。</w:t>
      </w:r>
    </w:p>
    <w:p w14:paraId="3A1D360E">
      <w:r>
        <w:t>与叠装设备的协同：自动叠片区MES系统向RGV下达“取料工单”（包含铁芯型号、片柱规格），RGV根据工单从对应缓存库调取片柱，按叠装节拍（3-5秒/片）输送至叠装台。叠装机械臂通过EtherCAT总线向RGV发送“取料完成”信号，RGV立即将下一组片柱推送至待取位置，实现“零等待”衔接。叠装完成的铁芯经视觉检测合格后，RGV接收“转运指令”，将铁芯送至夹件组装工位，同时反馈“铁芯已送达”信号至MES系统，触发下一道工序准备。</w:t>
      </w:r>
    </w:p>
    <w:p w14:paraId="5E6F013A">
      <w:r>
        <w:t>与MES系统的协同：RGV作为物流枢纽，通过工业以太网接收MES系统的生产工单（包含路径规划、优先级），实时上传运行状态（位置、速度、任务进度）。系统根据工单优先级动态调度RGV，当多台RGV同时请求通过交汇区时，采用“最短剩余时间优先”算法分配路径，避免拥堵。例如，急单铁芯（优先级1）的转运任务可中断常规任务（优先级3），RGV在完成当前转运后立即响应急单，确保关键订单准时交付。</w:t>
      </w:r>
    </w:p>
    <w:p w14:paraId="5CF09F8A">
      <w:pPr>
        <w:pStyle w:val="4"/>
      </w:pPr>
      <w:r>
        <w:t>3.3 高精度定位与速度控制</w:t>
      </w:r>
    </w:p>
    <w:p w14:paraId="04B66608">
      <w:r>
        <w:t>高精度定位与速度控制是RGV与生产设备协同的核心保障，通过先进控制算法实现定位误差≤±0.5mm、速度波动≤±0.5%。</w:t>
      </w:r>
    </w:p>
    <w:p w14:paraId="588BFD60">
      <w:r>
        <w:t>定位控制采用“多传感器融合+PID闭环调节”算法：激光传感器实时检测定位偏差e（目标位置-实际位置），PLC根据偏差值计算调节量u=Kp×e+Ki×∫edt+Kd×de/dt（Kp=0.8-1.5，Ki=0.1-0.5，Kd=0.01-0.1），驱动伺服电机微调位置。调节过程分快速调节（偏差＞±0.3mm时，速度0.1m/s）与精细调节（偏差≤±0.3mm时，速度0.05m/s），确保无超调（超调量≤5%），调节时间≤0.5秒。</w:t>
      </w:r>
    </w:p>
    <w:p w14:paraId="55526160">
      <w:r>
        <w:t>速度控制采用S型加减速曲线规划，将运动过程分为加速段、匀速段、减速段：加速段加速度从0线性增加至设定值（0.5-1m/s²），避免速度突变导致铁芯滑移；匀速段保持最大运行速度（1.5-3m/s），确保转运效率；减速段加速度从设定值线性减小至0，实现平稳停靠。速度曲线通过PLC的运动控制指令（如西门子MC_MoveVelocity）生成，速度控制精度±0.5%，确保不同负载下（500-1000kg）的速度稳定性。</w:t>
      </w:r>
    </w:p>
    <w:p w14:paraId="721BD583">
      <w:r>
        <w:t>低速段定位是精度保障的关键，当RGV接近目标工位（距离≤500mm）时，激光传感器触发低速模式，速度降至0.1-0.3m/s，同时编码器采样频率提高至1kHz，确保位置反馈实时性。停靠时，驱动轮制动采用“电制动+机械制动”双重保障：电制动通过伺服驱动器实现动态制动（制动扭矩≥额定扭矩150%），机械制动通过电磁制动器（响应时间≤50ms）锁死驱动轮，防止停靠后溜车（位移≤0.1mm）。</w:t>
      </w:r>
    </w:p>
    <w:p w14:paraId="710F86BE">
      <w:pPr>
        <w:pStyle w:val="3"/>
      </w:pPr>
      <w:r>
        <w:t>四、机械传动原理</w:t>
      </w:r>
    </w:p>
    <w:p w14:paraId="76C548A3">
      <w:pPr>
        <w:pStyle w:val="4"/>
      </w:pPr>
      <w:r>
        <w:t>4.1 驱动系统工作原理</w:t>
      </w:r>
    </w:p>
    <w:p w14:paraId="7E95BC37">
      <w:r>
        <w:t>驱动系统是RGV的动力核心，采用“伺服电机-减速器-驱动轮”刚性传动链，将电机的高速旋转运动转化为车轮的低速直线运动，实现RGV的行走与定位。</w:t>
      </w:r>
    </w:p>
    <w:p w14:paraId="02AAC042">
      <w:r>
        <w:t>动力传递路径为：伺服电机输出扭矩→梅花形弹性联轴器→减速器输入轴→行星齿轮减速增扭→减速器输出轴→平键→驱动轮→轨道。电机与减速器的连接需保证同轴度误差≤0.1mm（通过弹性联轴器补偿），减速器与驱动轮的键连接采用过渡配合（H9/h9），传递扭矩时无相对滑动（键槽接触面积≥90%）。</w:t>
      </w:r>
    </w:p>
    <w:p w14:paraId="1B198DCF">
      <w:r>
        <w:t>伺服电机的扭矩特性需匹配RGV运行需求：启动阶段需提供额定扭矩的200%（持续3秒），克服静摩擦力与惯性负载；匀速阶段扭矩降至额定值的50%-80%（取决于负载与坡度）；制动阶段通过再生制动将动能转化为电能回馈至电网（节能率约15%）。例如，额定载荷1000kg的RGV，驱动轮直径150mm，运行速度2m/s时，所需驱动扭矩T=（总质量×加速度×车轮半径）/传动效率=（1200kg×1m/s²×0.075m）/0.95≈95N·m，选用输出扭矩100N·m的减速器即可满足需求。</w:t>
      </w:r>
    </w:p>
    <w:p w14:paraId="1CFA4E01">
      <w:r>
        <w:t>驱动轮与轨道的摩擦力是运动的基础，需满足F=μ×N≥ma（μ为摩擦系数，N为正压力，m为总质量，a为加速度）。聚氨酯轮面与钢轨的摩擦系数μ=0.8（干燥状态），总质量1200kg时，最大静摩擦力F=0.8×1200kg×9.8m/s²=9408N，远大于加速所需力ma=1200kg×1m/s²=1200N，确保无打滑。</w:t>
      </w:r>
    </w:p>
    <w:p w14:paraId="6ACD9853">
      <w:pPr>
        <w:pStyle w:val="4"/>
      </w:pPr>
      <w:r>
        <w:t>4.2 传动部件协同机制</w:t>
      </w:r>
    </w:p>
    <w:p w14:paraId="132FB696">
      <w:r>
        <w:t>传动部件的协同工作确保动力传递高效可靠，主要包括驱动轮同步控制、负载分配与异常保护。</w:t>
      </w:r>
    </w:p>
    <w:p w14:paraId="29BB9BEB">
      <w:r>
        <w:t>双轮驱动同步控制：RGV两侧驱动轮由独立伺服电机驱动，直线运行时通过电子齿轮同步（速度指令一致），确保两侧转速差≤±1rpm（避免跑偏）；弯道运行时通过差速算法（内侧轮速=外侧轮速×弯道半径比）实现转向，转弯半径误差≤±5mm。同步控制通过PLC的轴同步功能实现，实时比较两侧编码器位置，偏差超过±0.5mm时调节电机速度，确保同步精度。</w:t>
      </w:r>
    </w:p>
    <w:p w14:paraId="05861D15">
      <w:r>
        <w:t>负载分配机制：RGV的负载由驱动轮与从动轮共同承担，驱动轮承载60%-70%（提供驱动力），从动轮承载30%-40%（辅助支撑）。从动轮为万向轮结构（可绕垂直轴360°旋转），材质为尼龙（重载）或聚氨酯（轻量化），单个轮体额定承载≥2000N，确保负载均匀分布（轮压偏差≤10%）。</w:t>
      </w:r>
    </w:p>
    <w:p w14:paraId="67220D0C">
      <w:r>
        <w:t>异常保护机制：驱动轮轴端安装扭矩传感器（量程0-200N·m），实时监测传动负载，当检测到异常阻力（如轨道异物导致扭矩超过额定值120%）时，系统立即触发停机保护（响应时间≤10ms），同时切断伺服使能，防止传动部件过载损坏。此外，减速器油池内安装温度传感器（量程-20-120℃），油温超过80℃时报警，避免润滑油失效导致齿轮磨损加剧。</w:t>
      </w:r>
    </w:p>
    <w:p w14:paraId="106A0609">
      <w:pPr>
        <w:pStyle w:val="4"/>
      </w:pPr>
      <w:r>
        <w:t>4.3 轨道与导向传动机构</w:t>
      </w:r>
    </w:p>
    <w:p w14:paraId="1185F9EE">
      <w:r>
        <w:t>轨道与导向传动机构通过机械约束实现RGV的精确导向，确保运行方向偏差≤±1mm/m。</w:t>
      </w:r>
    </w:p>
    <w:p w14:paraId="04F4EA27">
      <w:r>
        <w:t>导向轮导向原理：RGV底部安装4组导向轮（每侧2组），与轨道侧面接触，限制横向位移。导向轮为双列角接触球轴承（型号7205AC），轮面材质为聚氨酯（邵氏硬度90A），与轨道侧面的间隙控制在0.3-0.5mm（通过偏心轴调节）。当RGV因轨道不平行或负载偏移产生横向力时，导向轮沿轨道侧面滚动，将滑动摩擦转化为滚动摩擦（摩擦系数≤0.015），减少阻力与磨损。</w:t>
      </w:r>
    </w:p>
    <w:p w14:paraId="6BC51D90">
      <w:r>
        <w:t>轨道侧面精度要求：轨道侧面直线度误差≤0.5mm/m，表面粗糙度Ra1.6μm，确保导向轮运行平稳无冲击。轨道连接缝处侧面错位≤0.1mm，通过砂轮打磨过渡，避免导向轮通过时产生振动（振幅≤0.1mm）。</w:t>
      </w:r>
    </w:p>
    <w:p w14:paraId="62B2FA1A">
      <w:r>
        <w:t>导向与驱动的协同：导向轮限制横向位移，驱动轮提供前进动力，两者配合使RGV沿轨道轴线运动。当导向轮与轨道侧面间隙过大（＞0.5mm）时，RGV运行时会产生蛇形运动（横向偏差±2mm），需通过调节偏心轴缩小间隙至0.3mm；间隙过小（＜0.3mm）会增加运行阻力（电流上升10%-15%），需增大间隙至合理范围。</w:t>
      </w:r>
    </w:p>
    <w:p w14:paraId="4873CB0B">
      <w:pPr>
        <w:pStyle w:val="3"/>
      </w:pPr>
      <w:r>
        <w:t>五、电气控制系统</w:t>
      </w:r>
    </w:p>
    <w:p w14:paraId="19B36120">
      <w:pPr>
        <w:pStyle w:val="4"/>
      </w:pPr>
      <w:r>
        <w:t>5.1 系统架构组成</w:t>
      </w:r>
    </w:p>
    <w:p w14:paraId="18848178">
      <w:r>
        <w:t>电气控制系统采用“分层分布式”架构，由核心控制层、驱动执行层、传感检测层与通信层组成，实现RGV的全流程自动化控制。</w:t>
      </w:r>
    </w:p>
    <w:p w14:paraId="6CA7C22C">
      <w:r>
        <w:t>核心控制层以PLC为中枢，选用西门子S7-1214C DC/DC/DC（14DI/10DO，扩展8AI/4AO）或三菱FX3G-60MT（36DI/24DO），通过梯形图（LD）与结构化文本（ST）混合编程实现逻辑控制。PLC存储生产工单、工艺参数（定位坐标、速度曲线）及故障处理逻辑，响应时间≤1ms，支持多任务并行处理（如路径规划、传感器数据处理、安全逻辑）。</w:t>
      </w:r>
    </w:p>
    <w:p w14:paraId="6323156C">
      <w:r>
        <w:t>驱动执行层包括伺服驱动器、变频驱动器与电磁阀：伺服驱动器（松下A6系列）接收PLC的脉冲指令（位置模式）或总线指令（EtherCAT），驱动电机实现速度与位置闭环控制；变频驱动器（西门子G120系列）控制冷却风扇、真空泵等辅助设备，输出频率0-50Hz；电磁阀（Festo VUVG系列）控制气缸动作（清轨器、制动释放），响应时间≤5ms。</w:t>
      </w:r>
    </w:p>
    <w:p w14:paraId="24B480D4">
      <w:r>
        <w:t>传感检测层包含位置、物料、安全传感器：位置传感器（编码器、激光传感器）提供定位反馈；物料传感器（光电开关、接近开关）检测铁芯或托盘有无；安全传感器（激光扫描仪、防撞条）监测周边环境。传感器信号经滤波（RC低通滤波，截止频率100Hz）、隔离（光电隔离）后接入PLC，确保信号可靠（信噪比≥40dB）。</w:t>
      </w:r>
    </w:p>
    <w:p w14:paraId="2C2002BF">
      <w:r>
        <w:t>通信层实现数据交互：与MES系统采用Profinet总线（通信速率100Mbps，周期100ms），传输工单与状态数据；与伺服驱动器采用EtherCAT总线（周期1ms），传输控制指令与反馈信号；与车载HMI采用RS485串口（Modbus RTU协议），实现本地操作与监控。</w:t>
      </w:r>
    </w:p>
    <w:p w14:paraId="1CE82C42">
      <w:pPr>
        <w:pStyle w:val="4"/>
      </w:pPr>
      <w:r>
        <w:t>5.2 传感器网络与信号处理</w:t>
      </w:r>
    </w:p>
    <w:p w14:paraId="19649217">
      <w:r>
        <w:t>传感器网络是RGV的“感知神经”，通过多类型传感器协同工作，提供全面的状态反馈。</w:t>
      </w:r>
    </w:p>
    <w:p w14:paraId="4FD897A6">
      <w:r>
        <w:t>位置与位移传感器：绝对值编码器（倍加福RVI58系列）安装于驱动轮轴端，分辨率1024ppr，每转产生1024个脉冲，通过PLC计数实现位移测量（精度±0.1mm）；激光位移传感器（基恩士IL-1000）安装于车架侧面，测量RGV与轨道的横向距离（量程0-1000mm，线性度±0.03%FS），实时监测跑偏量。</w:t>
      </w:r>
    </w:p>
    <w:p w14:paraId="2CAEA219">
      <w:r>
        <w:t>物料检测传感器：对射型光电传感器（Omron E3Z-T61）安装于RGV载货台两侧，检测铁芯或托盘有无（响应时间≤1ms）；漫反射光电传感器（Omron E3Z-D61）安装于缓存库入口，检测片柱是否到位（检测距离50-300mm可调）。</w:t>
      </w:r>
    </w:p>
    <w:p w14:paraId="1F85DFAE">
      <w:r>
        <w:t>安全传感器：激光扫描仪（SICK S300）扫描范围270°，检测距离0.5-3m，分辨率50mm，当检测到障碍物时输出减速或停止信号；物理防撞条（德国Bernstein）为柔性接触式，触发力50N时输出急停信号，覆盖RGV四周无死角。</w:t>
      </w:r>
    </w:p>
    <w:p w14:paraId="1C2C888D">
      <w:r>
        <w:t>信号处理技术：传感器原始信号经PLC模拟量输入模块（16位分辨率）转换为数字量，通过滑动平均滤波（窗口大小10个采样点）消除噪声；开关量信号通过施密特触发器整形，消除抖动（防抖时间10ms）；编码器信号通过PLC高速计数器（频率1MHz）采集，确保高速运行时不丢脉冲。</w:t>
      </w:r>
    </w:p>
    <w:p w14:paraId="4243BBB2">
      <w:r>
        <w:t>数据融合算法：对同一物理量（如位置）的多传感器数据进行加权融合，编码器数据权重0.7（动态响应快），激光传感器数据权重0.3（静态精度高），融合后定位精度优于单一传感器（误差≤±0.5mm）。</w:t>
      </w:r>
    </w:p>
    <w:p w14:paraId="1A74D628">
      <w:pPr>
        <w:pStyle w:val="4"/>
      </w:pPr>
      <w:r>
        <w:t>5.3 控制算法与逻辑程序</w:t>
      </w:r>
    </w:p>
    <w:p w14:paraId="0F65F651">
      <w:r>
        <w:t>控制算法与逻辑程序实现RGV的智能化运行，核心包括运动控制、任务调度与故障处理。</w:t>
      </w:r>
    </w:p>
    <w:p w14:paraId="65067E0C">
      <w:r>
        <w:t>运动控制算法：位置闭环控制采用PID+前馈控制，前馈控制根据速度规划提前输出调节量，补偿系统滞后（如加速时提前增加扭矩）；速度规划采用S型曲线，加加速度j≤50m/s³，确保速度变化平滑（速度波动≤±0.5%）。</w:t>
      </w:r>
    </w:p>
    <w:p w14:paraId="5EEE8F54">
      <w:r>
        <w:t>任务调度算法：基于A*算法的路径规划，根据起点、终点与障碍物信息，计算最短路径（距离优先）或最快路径（时间优先）；动态调度采用“任务池”机制，MES系统下达的任务按优先级（1-5级）排序，RGV完成当前任务后自动执行下一高优先级任务，避免空载运行（空载率≤10%）。</w:t>
      </w:r>
    </w:p>
    <w:p w14:paraId="57C07B08">
      <w:r>
        <w:t>逻辑程序结构：采用模块化编程，主程序调用初始化、手动/自动切换、任务执行、故障处理模块。初始化模块完成传感器自检（响应率100%）、电机回零（定位误差≤±0.1mm）、参数加载；手动模块支持单轴点动（速度≤0.5m/s）、单个气缸动作；自动模块按工单执行取料、转运、卸料流程；故障处理模块采用中断机制，检测到故障时立即停止运动，切断驱动电源，记录故障代码与状态数据（如位置、电流、传感器值）。</w:t>
      </w:r>
    </w:p>
    <w:p w14:paraId="1F04F7F4">
      <w:r>
        <w:t>安全逻辑控制：符合ISO 10218-1标准，设置三级安全链：急停按钮（SIL2等级）直接切断安全继电器；激光扫描仪检测到障碍物触发安全停止（STOP 2）；防撞条触发紧急停止（STOP 0）。安全逻辑通过PLC的安全程序（F-CPU）实现，响应时间≤10ms，确保人机安全。</w:t>
      </w:r>
    </w:p>
    <w:p w14:paraId="123B8649">
      <w:pPr>
        <w:pStyle w:val="3"/>
      </w:pPr>
      <w:r>
        <w:t>六、故障诊断与维护</w:t>
      </w:r>
    </w:p>
    <w:p w14:paraId="7814C6AF">
      <w:pPr>
        <w:pStyle w:val="4"/>
      </w:pPr>
      <w:r>
        <w:t>6.1 常见故障类型与成因</w:t>
      </w:r>
    </w:p>
    <w:p w14:paraId="48B8AEAD">
      <w:r>
        <w:t>RGV常见故障按系统分为机械、电气、控制三类，其特征表现与根本成因如下：</w:t>
      </w:r>
    </w:p>
    <w:p w14:paraId="11E8DF83">
      <w:r>
        <w:t>机械系统故障：</w:t>
      </w:r>
    </w:p>
    <w:p w14:paraId="0465090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驱动轮异响</w:t>
      </w:r>
      <w:r>
        <w:t>：表现为运行时周期性“咔嗒”声，成因是驱动轮轴承游隙增大（径向间隙＞0.03mm）或齿轮啮合不良（减速箱齿轮磨损，齿侧间隙＞0.1mm）；</w:t>
      </w:r>
    </w:p>
    <w:p w14:paraId="75FE25A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定位重复性超差</w:t>
      </w:r>
      <w:r>
        <w:t>：自动模式下多次定位偏差＞±0.5mm，成因是编码器安装松动（轴端固定螺栓扭矩＜20N·m）或激光定位板污染（表面油污导致扫描偏差）；</w:t>
      </w:r>
    </w:p>
    <w:p w14:paraId="4874C64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轨道卡滞</w:t>
      </w:r>
      <w:r>
        <w:t>：RGV运行阻力增大（电流上升20%以上），成因是导向轮间隙过小（＜0.3mm）、清轨器刮板磨损（剩余厚度＜5mm）或轨道异物（如铁屑、螺栓）。</w:t>
      </w:r>
    </w:p>
    <w:p w14:paraId="0C9A64D9">
      <w:r>
        <w:t>电气系统故障：</w:t>
      </w:r>
    </w:p>
    <w:p w14:paraId="790E0963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伺服电机过载</w:t>
      </w:r>
      <w:r>
        <w:t>：驱动器报E024故障，成因是电机绕组匝间短路（三相电阻不平衡度＞10%）、轴承卡滞（转动阻力＞0.5N·m）或负载过大（超载120%以上）；</w:t>
      </w:r>
    </w:p>
    <w:p w14:paraId="4AF655D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受电靴接触不良</w:t>
      </w:r>
      <w:r>
        <w:t>：RGV运行中突然断电，成因是碳刷磨损（剩余长度＜10mm）、滑触线氧化（接触电阻＞0.1Ω）或受电靴弹簧失效（压力＜5N）；</w:t>
      </w:r>
    </w:p>
    <w:p w14:paraId="1385CA60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传感器信号丢失</w:t>
      </w:r>
      <w:r>
        <w:t>：激光传感器无输出（值为0），成因是电缆断线（芯线断裂）、镜头污染（透光率＜80%）或电源故障（24V电压缺失）。</w:t>
      </w:r>
    </w:p>
    <w:p w14:paraId="2D3112BD">
      <w:r>
        <w:t>控制系统故障：</w:t>
      </w:r>
    </w:p>
    <w:p w14:paraId="578A4A4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通信中断</w:t>
      </w:r>
      <w:r>
        <w:t>：PLC与MES系统数据交换失败，成因是网线接触不良（水晶头氧化）、交换机故障（端口指示灯不亮）或IP地址冲突；</w:t>
      </w:r>
    </w:p>
    <w:p w14:paraId="59D85DF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程序死循环</w:t>
      </w:r>
      <w:r>
        <w:t>：RGV无响应，PLC运行指示灯闪烁，成因是逻辑条件冲突（如“取料”与“卸料”信号同时为真）或数组越界（索引超过定义范围）；</w:t>
      </w:r>
    </w:p>
    <w:p w14:paraId="59EE46E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定位指令不执行</w:t>
      </w:r>
      <w:r>
        <w:t>：PLC发出定位指令后电机无动作，成因是伺服使能未接通（SON信号丢失）、限位开关触发（误动作）或位置误差超差（偏差＞±10mm触发软限位）。</w:t>
      </w:r>
    </w:p>
    <w:p w14:paraId="7C1E37B3">
      <w:pPr>
        <w:pStyle w:val="4"/>
      </w:pPr>
      <w:r>
        <w:t>6.2 标准化诊断流程</w:t>
      </w:r>
    </w:p>
    <w:p w14:paraId="456B1595">
      <w:r>
        <w:t>故障诊断遵循“故障识别-定位排查-成因分析-解决方案”四步标准化流程，确保高效准确。</w:t>
      </w:r>
    </w:p>
    <w:p w14:paraId="65B36CAA">
      <w:r>
        <w:t>故障识别阶段：通过三级报警信息确认故障类型：一级报警为HMI显示故障代码（如“E101：激光传感器信号丢失”）；二级报警为驱动器/PLC指示灯状态（如伺服驱动器红灯闪烁3次表示过流）；三级报警为传感器实时数据（如真空度＜-80kPa、电流＞额定值150%）。记录故障发生时间、工况（负载、速度、位置）、环境条件（温度、湿度），形成故障描述文档。</w:t>
      </w:r>
    </w:p>
    <w:p w14:paraId="39C47856">
      <w:r>
        <w:t>定位排查阶段：采用分层排查法，从简单到复杂逐步缩小范围。机械故障检查：手动盘动驱动轮，感受阻力是否均匀（正常应无卡滞）；测量导向轮间隙（0.3-0.5mm）；检查轨道表面有无异物。电气故障检查：用万用表测量电源电压（AC380V±10%）、电机三相电阻（平衡度≤5%）、传感器信号（如激光传感器输出0-10V对应0-1000mm）。控制故障检查：通过PLC在线监控I/O状态（如急停信号是否为“1”）、变量值（如目标位置、当前位置）、通信报文（EtherCAT状态字0x1000表示就绪）。</w:t>
      </w:r>
    </w:p>
    <w:p w14:paraId="4DB0B80A">
      <w:r>
        <w:t>成因分析阶段：结合排查数据与历史记录，确定根本原因。例如定位超差故障，若激光传感器清洁后恢复正常，则成因是镜头污染；若清洁后仍超差，检查编码器电缆屏蔽层接地（接地电阻≤1Ω），排除电磁干扰；若故障依旧，测量驱动轮直径（磨损量＞0.5mm需更换），修正编码器脉冲当量。</w:t>
      </w:r>
    </w:p>
    <w:p w14:paraId="636B631F">
      <w:r>
        <w:t>解决方案阶段：制定针对性措施，机械故障如轴承磨损需更换同型号轴承（如7205AC）；电气故障如碳刷磨损需更换碳刷（规格20×10×50mm）；控制故障如程序逻辑错误需修改条件判断语句。修复后进行功能测试：空载运行3个循环（定位精度≤±0.5mm，速度波动≤±0.5%），带载运行1个循环（负载1000kg），确认故障排除。</w:t>
      </w:r>
    </w:p>
    <w:p w14:paraId="05DDCA67">
      <w:pPr>
        <w:pStyle w:val="4"/>
      </w:pPr>
      <w:r>
        <w:t>6.3 预防性维护策略</w:t>
      </w:r>
    </w:p>
    <w:p w14:paraId="2328A77A">
      <w:r>
        <w:t>预防性维护采用“日常检查-定期维护-预测性维护”三级管理模式，确保RGV平均无故障运行时间（MTBF）≥5000小时。</w:t>
      </w:r>
    </w:p>
    <w:p w14:paraId="5E5334AE">
      <w:r>
        <w:t>日常检查（每班开工前30分钟）：</w:t>
      </w:r>
    </w:p>
    <w:p w14:paraId="06C28C1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机械部分</w:t>
      </w:r>
      <w:r>
        <w:t>：检查驱动轮轮胎磨损（花纹深度≥2mm）、导向轮间隙（0.3-0.5mm）、防撞条完整性（无裂纹）；</w:t>
      </w:r>
    </w:p>
    <w:p w14:paraId="2D8E495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电气部分</w:t>
      </w:r>
      <w:r>
        <w:t>：碳刷长度（≥15mm）、电缆拖链无卡滞、控制柜指示灯正常（电源、通信灯亮）；</w:t>
      </w:r>
    </w:p>
    <w:p w14:paraId="3C25A008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功能测试</w:t>
      </w:r>
      <w:r>
        <w:t>：急停按钮触发后驱动电源切断（响应时间≤100ms），激光传感器扫描定位板（偏差≤±0.1mm）。</w:t>
      </w:r>
    </w:p>
    <w:p w14:paraId="0CA25E22">
      <w:r>
        <w:t>定期维护：</w:t>
      </w:r>
    </w:p>
    <w:p w14:paraId="76A191C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周维护</w:t>
      </w:r>
      <w:r>
        <w:t>：清洁激光传感器镜头（无水乙醇擦拭）、润滑导向轮轴承（加注锂基润滑脂NLGI 2，用量1-2g/个）、检查同步带张力（25-30N，按压中点位移5-8mm）；</w:t>
      </w:r>
    </w:p>
    <w:p w14:paraId="1549F62C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月维护</w:t>
      </w:r>
      <w:r>
        <w:t>：校准工具坐标系（TCP定位误差≤±0.05mm）、测试重复定位精度（10次定位最大偏差≤±0.3mm）、检查电机绝缘电阻（≥100MΩ）；</w:t>
      </w:r>
    </w:p>
    <w:p w14:paraId="15F1A152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季度维护</w:t>
      </w:r>
      <w:r>
        <w:t>：更换碳刷（磨损量达50%）、清洗滑触线（去除氧化层）、检测制动片厚度（≥3mm）、更换液压油（粘度ISO VG32，污染度NAS 8级以下）；</w:t>
      </w:r>
    </w:p>
    <w:p w14:paraId="6CD7751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年度维护</w:t>
      </w:r>
      <w:r>
        <w:t>：更换驱动轮轮胎（寿命约10000小时）、减速器齿轮油（型号ISO VG220，用量至油窗1/2）、校准编码器零点（偏差≤±0.05mm）。</w:t>
      </w:r>
    </w:p>
    <w:p w14:paraId="38A628C6">
      <w:r>
        <w:t>预测性维护：通过振动、温度传感器实时监测关键部件状态：</w:t>
      </w:r>
    </w:p>
    <w:p w14:paraId="334AD89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振动监测</w:t>
      </w:r>
      <w:r>
        <w:t>：驱动轮轴承振动加速度＞5m/s²时预警（正常≤3m/s²），安排更换轴承；</w:t>
      </w:r>
    </w:p>
    <w:p w14:paraId="5E87ED0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温度监测</w:t>
      </w:r>
      <w:r>
        <w:t>：电机绕组温度＞80℃时预警（正常≤70℃），检查冷却风扇或负载情况；</w:t>
      </w:r>
    </w:p>
    <w:p w14:paraId="25A0ADC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趋势分析</w:t>
      </w:r>
      <w:r>
        <w:t>：统计定位精度月变化量（正常≤±0.1mm/月），超过时提前校准激光传感器或修正编码器参数。</w:t>
      </w:r>
    </w:p>
    <w:p w14:paraId="22B5C761">
      <w:r>
        <w:t>维护记录与管理：建立《RGV维护保养手册》，记录维护日期、项目、数据（如振动值、温度）、异常情况、处理措施。关键部件更换需记录序列号（如电机序列号、轴承型号），建立备件更换台账（如碳刷寿命约3个月，最低库存5套）。通过设备管理系统（EMIS）分析维护数据，优化维护周期（如粉尘大的车间缩短清轨器检查周期至3天）。</w:t>
      </w:r>
    </w:p>
    <w:p w14:paraId="654EEE4D">
      <w:pPr>
        <w:pStyle w:val="4"/>
      </w:pPr>
      <w:r>
        <w:t>6.4 典型故障案例分析</w:t>
      </w:r>
    </w:p>
    <w:p w14:paraId="5EE49910">
      <w:pPr>
        <w:pStyle w:val="5"/>
      </w:pPr>
      <w:r>
        <w:t>案例一：驱动轮异响与振动超标</w:t>
      </w:r>
    </w:p>
    <w:p w14:paraId="430B93F8">
      <w:r>
        <w:rPr>
          <w:b/>
        </w:rPr>
        <w:t>故障现象</w:t>
      </w:r>
      <w:r>
        <w:t>：RGV运行时驱动轮发出周期性“嗡嗡”声，振动加速度达6.5m/s²（标准≤3m/s²），定位精度从±0.3mm降至±0.8mm。</w:t>
      </w:r>
    </w:p>
    <w:p w14:paraId="22846D86">
      <w:r>
        <w:rPr>
          <w:b/>
        </w:rPr>
        <w:t>诊断过程</w:t>
      </w:r>
      <w:r>
        <w:t>：</w:t>
      </w:r>
    </w:p>
    <w:p w14:paraId="2E37CFF8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机械检查</w:t>
      </w:r>
      <w:r>
        <w:t>：手动盘动驱动轮，感觉轴承有明显卡滞；拆检轴承，发现滚子表面有压痕（深度0.2mm），保持架断裂。</w:t>
      </w:r>
    </w:p>
    <w:p w14:paraId="4532C239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原因分析</w:t>
      </w:r>
      <w:r>
        <w:t>：轴承润滑不足（上次润滑时间距本次3个月，超过规定的1个月周期），导致滚子与内外圈干摩擦，产生疲劳损伤。</w:t>
      </w:r>
    </w:p>
    <w:p w14:paraId="7D4CD5C6">
      <w:pPr>
        <w:spacing w:before="0" w:beforeAutospacing="1" w:after="0" w:afterAutospacing="1"/>
        <w:ind w:left="720"/>
      </w:pPr>
      <w:r>
        <w:rPr>
          <w:b/>
        </w:rPr>
        <w:t>解决方案</w:t>
      </w:r>
      <w:r>
        <w:t>：更换同型号轴承（7205AC），清洗轴承座，加注锂基润滑脂（NLGI 2）至轴承腔1/2，安装后手动盘动无卡滞；重新校准驱动轮同轴度（误差≤0.05mm/m）。</w:t>
      </w:r>
    </w:p>
    <w:p w14:paraId="005A25D6">
      <w:pPr>
        <w:spacing w:before="0" w:beforeAutospacing="1" w:after="0" w:afterAutospacing="1"/>
        <w:ind w:left="720"/>
      </w:pPr>
      <w:r>
        <w:rPr>
          <w:b/>
        </w:rPr>
        <w:t>预防措施</w:t>
      </w:r>
      <w:r>
        <w:t>：将轴承润滑周期从1个月缩短至2周，使用自动注脂器（设定注脂量1ml/天），每月检测振动加速度（≤3m/s²）。</w:t>
      </w:r>
    </w:p>
    <w:p w14:paraId="459867D2">
      <w:pPr>
        <w:pStyle w:val="5"/>
      </w:pPr>
      <w:r>
        <w:t>案例二：激光传感器定位偏差超差</w:t>
      </w:r>
    </w:p>
    <w:p w14:paraId="6FB60C31">
      <w:r>
        <w:rPr>
          <w:b/>
        </w:rPr>
        <w:t>故障现象</w:t>
      </w:r>
      <w:r>
        <w:t>：RGV在叠装工位定位偏差达±1.2mm（标准≤±0.5mm），HMI显示激光传感器信号不稳定（值跳变±0.3mm）。</w:t>
      </w:r>
    </w:p>
    <w:p w14:paraId="37C90941">
      <w:r>
        <w:rPr>
          <w:b/>
        </w:rPr>
        <w:t>诊断过程</w:t>
      </w:r>
      <w:r>
        <w:t>：</w:t>
      </w:r>
    </w:p>
    <w:p w14:paraId="40F5A210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传感器检查</w:t>
      </w:r>
      <w:r>
        <w:t>：清洁激光传感器镜头后，偏差仍超差；用标准靶板测试传感器线性度，发现误差达±0.4mm（标准≤±0.1mm）。</w:t>
      </w:r>
    </w:p>
    <w:p w14:paraId="0C225CEA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原因分析</w:t>
      </w:r>
      <w:r>
        <w:t>：传感器安装支架松动（固定螺栓扭矩降至15N·m，标准25N·m），导致传感器光路偏移，测量不准。</w:t>
      </w:r>
    </w:p>
    <w:p w14:paraId="202C0921">
      <w:pPr>
        <w:spacing w:before="0" w:beforeAutospacing="1" w:after="0" w:afterAutospacing="1"/>
        <w:ind w:left="720"/>
      </w:pPr>
      <w:r>
        <w:rPr>
          <w:b/>
        </w:rPr>
        <w:t>解决方案</w:t>
      </w:r>
      <w:r>
        <w:t>：重新紧固支架螺栓（扭矩25N·m），用激光干涉仪校准传感器（线性度误差调至±0.05mm），重新标定定位板坐标（偏差≤±0.05mm）。</w:t>
      </w:r>
    </w:p>
    <w:p w14:paraId="1116C9B5">
      <w:pPr>
        <w:spacing w:before="0" w:beforeAutospacing="1" w:after="0" w:afterAutospacing="1"/>
        <w:ind w:left="720"/>
      </w:pPr>
      <w:r>
        <w:rPr>
          <w:b/>
        </w:rPr>
        <w:t>预防措施</w:t>
      </w:r>
      <w:r>
        <w:t>：每周检查传感器支架螺栓扭矩（25N·m），在支架底部增加防松胶（Loctite 243），避免振动松动。</w:t>
      </w:r>
    </w:p>
    <w:p w14:paraId="53636F23">
      <w:pPr>
        <w:pStyle w:val="5"/>
      </w:pPr>
      <w:r>
        <w:t>案例三：受电靴接触不良导致突然停机</w:t>
      </w:r>
    </w:p>
    <w:p w14:paraId="7270F404">
      <w:r>
        <w:rPr>
          <w:b/>
        </w:rPr>
        <w:t>故障现象</w:t>
      </w:r>
      <w:r>
        <w:t>：RGV运行中突然断电，HMI黑屏，重启后运行10分钟再次断电。</w:t>
      </w:r>
    </w:p>
    <w:p w14:paraId="3992BF4E">
      <w:r>
        <w:rPr>
          <w:b/>
        </w:rPr>
        <w:t>诊断过程</w:t>
      </w:r>
      <w:r>
        <w:t>：</w:t>
      </w:r>
    </w:p>
    <w:p w14:paraId="02B5C74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供电检查</w:t>
      </w:r>
      <w:r>
        <w:t>：测量滑触线电压正常（AC36V），受电靴碳刷剩余长度5mm（标准≥15mm），表面有烧灼痕迹。</w:t>
      </w:r>
    </w:p>
    <w:p w14:paraId="41381EE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原因分析</w:t>
      </w:r>
      <w:r>
        <w:t>：碳刷磨损过度，与滑触线接触不良（接触电阻＞0.5Ω），导致供电间歇性中断；碳刷弹簧疲劳（压力降至3N，标准5-8N），加剧接触不良。</w:t>
      </w:r>
    </w:p>
    <w:p w14:paraId="3449EE10">
      <w:pPr>
        <w:spacing w:before="0" w:beforeAutospacing="1" w:after="0" w:afterAutospacing="1"/>
        <w:ind w:left="720"/>
      </w:pPr>
      <w:r>
        <w:rPr>
          <w:b/>
        </w:rPr>
        <w:t>解决方案</w:t>
      </w:r>
      <w:r>
        <w:t>：更换碳刷（规格20×10×50mm）与弹簧（压力6N），调整受电靴高度（与滑触线接触压力7N），清洁滑触线表面氧化层（用细砂纸打磨）。</w:t>
      </w:r>
    </w:p>
    <w:p w14:paraId="7D0B599B">
      <w:pPr>
        <w:spacing w:before="0" w:beforeAutospacing="1" w:after="0" w:afterAutospacing="1"/>
        <w:ind w:left="720"/>
      </w:pPr>
      <w:r>
        <w:rPr>
          <w:b/>
        </w:rPr>
        <w:t>预防措施</w:t>
      </w:r>
      <w:r>
        <w:t>：每周检查碳刷长度（≥15mm），每月测量接触压力（5-8N），雨季增加检查频次至3天/次。</w:t>
      </w:r>
    </w:p>
    <w:p w14:paraId="4EC279EF">
      <w:pPr>
        <w:pStyle w:val="5"/>
      </w:pPr>
      <w:r>
        <w:t>案例四：PLC与伺服驱动器通信中断</w:t>
      </w:r>
    </w:p>
    <w:p w14:paraId="4B4449C5">
      <w:r>
        <w:rPr>
          <w:b/>
        </w:rPr>
        <w:t>故障现象</w:t>
      </w:r>
      <w:r>
        <w:t>：EtherCAT总线报从站丢失故障（代码0x0505），伺服驱动器无响应，RGV无法运行。</w:t>
      </w:r>
    </w:p>
    <w:p w14:paraId="3A504635">
      <w:r>
        <w:rPr>
          <w:b/>
        </w:rPr>
        <w:t>诊断过程</w:t>
      </w:r>
      <w:r>
        <w:t>：</w:t>
      </w:r>
    </w:p>
    <w:p w14:paraId="79AA4BEC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通信检查</w:t>
      </w:r>
      <w:r>
        <w:t>：用EtherCAT诊断工具扫描网络，发现3号驱动器（Y轴）无响应；检查网线接头，发现水晶头氧化（针脚发黑）。</w:t>
      </w:r>
    </w:p>
    <w:p w14:paraId="4C2721E2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原因分析</w:t>
      </w:r>
      <w:r>
        <w:t>：网线接头长期暴露在粉尘环境中，氧化导致接触不良；总线终端电阻未接（标准120Ω），信号反射干扰通信。</w:t>
      </w:r>
    </w:p>
    <w:p w14:paraId="430642C5">
      <w:pPr>
        <w:spacing w:before="0" w:beforeAutospacing="1" w:after="0" w:afterAutospacing="1"/>
        <w:ind w:left="720"/>
      </w:pPr>
      <w:r>
        <w:rPr>
          <w:b/>
        </w:rPr>
        <w:t>解决方案</w:t>
      </w:r>
      <w:r>
        <w:t>：重新制作网线接头（镀金触点），在总线末端接入120Ω终端电阻，用示波器检测差分信号（幅值2-3V，无畸变）。</w:t>
      </w:r>
    </w:p>
    <w:p w14:paraId="03916EE5">
      <w:pPr>
        <w:spacing w:before="0" w:beforeAutospacing="1" w:after="0" w:afterAutospacing="1"/>
        <w:ind w:left="720"/>
      </w:pPr>
      <w:r>
        <w:rPr>
          <w:b/>
        </w:rPr>
        <w:t>预防措施</w:t>
      </w:r>
      <w:r>
        <w:t>：每月检查网线接头（无氧化、松动），在控制柜内安装总线信号避雷器（Imax 20kA），防止雷击干扰。</w:t>
      </w:r>
    </w:p>
    <w:p w14:paraId="198132FB">
      <w:pPr>
        <w:pStyle w:val="3"/>
      </w:pPr>
      <w:r>
        <w:t>七、附录</w:t>
      </w:r>
    </w:p>
    <w:p w14:paraId="4B4AB993">
      <w:pPr>
        <w:pStyle w:val="4"/>
      </w:pPr>
      <w:r>
        <w:t>7.1 机械原理图集</w:t>
      </w:r>
    </w:p>
    <w:p w14:paraId="424ED4AA">
      <w:r>
        <w:t>本手册附图包括：RGV整体结构图（A0幅面），标注车架、驱动轮、导向轮、传感器的安装位置与尺寸（如轴距2500mm，轮距1800mm）；车架系统详图（A1），含焊接结构图、材料牌号（Q235B）、焊缝要求（余高2-3mm，无气孔裂纹）；驱动装置分解图（A1），展示电机、减速器、驱动轮的装配关系（如电机型号MSMF042L1U2M，减速器减速比20:1）；轨道与道岔结构图（A1），含轨道截面尺寸（工字型100×68mm）、道岔切换机构（气缸型号DSBC-50-100-PPVA-N3）。</w:t>
      </w:r>
    </w:p>
    <w:p w14:paraId="7EC829E5">
      <w:pPr>
        <w:pStyle w:val="4"/>
      </w:pPr>
      <w:r>
        <w:t>7.2 电气控制原理图</w:t>
      </w:r>
    </w:p>
    <w:p w14:paraId="17E813E9">
      <w:r>
        <w:t>电气原理图包括：主电路（A1），展示三相电源、断路器（3P 32A）、伺服驱动器、电机的连接关系；控制电路（A2），含PLC I/O接线（如X0急停、Y0伺服使能）、传感器信号回路（激光传感器24V供电）、电磁阀控制回路（清轨器电磁阀DC24V）；通信网络图（A3），标注EtherCAT节点地址（PLC为0号，驱动器1-4号）、Profinet设备IP地址（MES系统192.168.1.100，RGV 192.168.1.101）；接地系统图（A3），说明保护接地（接地电阻≤4Ω）、信号接地（单点接地）、屏蔽接地的连接方式。</w:t>
      </w:r>
    </w:p>
    <w:p w14:paraId="1DE54C64">
      <w:pPr>
        <w:pStyle w:val="4"/>
      </w:pPr>
      <w:r>
        <w:t>7.3 故障代码表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453A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A459159">
            <w:pPr>
              <w:jc w:val="center"/>
              <w:rPr>
                <w:b/>
              </w:rPr>
            </w:pPr>
            <w:r>
              <w:rPr>
                <w:b/>
              </w:rPr>
              <w:t>故障代码</w:t>
            </w:r>
          </w:p>
        </w:tc>
        <w:tc>
          <w:tcPr>
            <w:tcW w:w="0" w:type="auto"/>
            <w:vAlign w:val="center"/>
          </w:tcPr>
          <w:p w14:paraId="28CC1B41">
            <w:pPr>
              <w:jc w:val="center"/>
              <w:rPr>
                <w:b/>
              </w:rPr>
            </w:pPr>
            <w:r>
              <w:rPr>
                <w:b/>
              </w:rPr>
              <w:t>类别</w:t>
            </w:r>
          </w:p>
        </w:tc>
        <w:tc>
          <w:tcPr>
            <w:tcW w:w="0" w:type="auto"/>
            <w:vAlign w:val="center"/>
          </w:tcPr>
          <w:p w14:paraId="6E7718E7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vAlign w:val="center"/>
          </w:tcPr>
          <w:p w14:paraId="4A2E89B2">
            <w:pPr>
              <w:jc w:val="center"/>
              <w:rPr>
                <w:b/>
              </w:rPr>
            </w:pPr>
            <w:r>
              <w:rPr>
                <w:b/>
              </w:rPr>
              <w:t>可能成因</w:t>
            </w:r>
          </w:p>
        </w:tc>
        <w:tc>
          <w:tcPr>
            <w:tcW w:w="0" w:type="auto"/>
            <w:vAlign w:val="center"/>
          </w:tcPr>
          <w:p w14:paraId="265E35A5">
            <w:pPr>
              <w:jc w:val="center"/>
              <w:rPr>
                <w:b/>
              </w:rPr>
            </w:pPr>
            <w:r>
              <w:rPr>
                <w:b/>
              </w:rPr>
              <w:t>排查步骤</w:t>
            </w:r>
          </w:p>
        </w:tc>
        <w:tc>
          <w:tcPr>
            <w:tcW w:w="0" w:type="auto"/>
            <w:vAlign w:val="center"/>
          </w:tcPr>
          <w:p w14:paraId="6530DE3D">
            <w:pPr>
              <w:jc w:val="center"/>
              <w:rPr>
                <w:b/>
              </w:rPr>
            </w:pPr>
            <w:r>
              <w:rPr>
                <w:b/>
              </w:rPr>
              <w:t>解决措施</w:t>
            </w:r>
          </w:p>
        </w:tc>
      </w:tr>
      <w:tr w14:paraId="451219E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43FA69C">
            <w:r>
              <w:t>E001</w:t>
            </w:r>
          </w:p>
        </w:tc>
        <w:tc>
          <w:tcPr>
            <w:tcW w:w="0" w:type="auto"/>
            <w:vAlign w:val="center"/>
          </w:tcPr>
          <w:p w14:paraId="1573C371">
            <w:r>
              <w:t>机械</w:t>
            </w:r>
          </w:p>
        </w:tc>
        <w:tc>
          <w:tcPr>
            <w:tcW w:w="0" w:type="auto"/>
            <w:vAlign w:val="center"/>
          </w:tcPr>
          <w:p w14:paraId="3882F066">
            <w:r>
              <w:t>驱动轮卡滞</w:t>
            </w:r>
          </w:p>
        </w:tc>
        <w:tc>
          <w:tcPr>
            <w:tcW w:w="0" w:type="auto"/>
            <w:vAlign w:val="center"/>
          </w:tcPr>
          <w:p w14:paraId="5CC19BC3">
            <w:r>
              <w:t>轨道异物，导向轮间隙过小</w:t>
            </w:r>
          </w:p>
        </w:tc>
        <w:tc>
          <w:tcPr>
            <w:tcW w:w="0" w:type="auto"/>
            <w:vAlign w:val="center"/>
          </w:tcPr>
          <w:p w14:paraId="551CBA0F">
            <w:r>
              <w:t>检查轨道有无异物，测量导向轮间隙</w:t>
            </w:r>
          </w:p>
        </w:tc>
        <w:tc>
          <w:tcPr>
            <w:tcW w:w="0" w:type="auto"/>
            <w:vAlign w:val="center"/>
          </w:tcPr>
          <w:p w14:paraId="366392BA">
            <w:r>
              <w:t>清除异物，调节导向轮间隙至0.3-0.5mm</w:t>
            </w:r>
          </w:p>
        </w:tc>
      </w:tr>
      <w:tr w14:paraId="3DA7E1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721EB91">
            <w:r>
              <w:t>E024</w:t>
            </w:r>
          </w:p>
        </w:tc>
        <w:tc>
          <w:tcPr>
            <w:tcW w:w="0" w:type="auto"/>
            <w:vAlign w:val="center"/>
          </w:tcPr>
          <w:p w14:paraId="62F7C23A">
            <w:r>
              <w:t>电气</w:t>
            </w:r>
          </w:p>
        </w:tc>
        <w:tc>
          <w:tcPr>
            <w:tcW w:w="0" w:type="auto"/>
            <w:vAlign w:val="center"/>
          </w:tcPr>
          <w:p w14:paraId="4E5F61B3">
            <w:r>
              <w:t>伺服电机过载</w:t>
            </w:r>
          </w:p>
        </w:tc>
        <w:tc>
          <w:tcPr>
            <w:tcW w:w="0" w:type="auto"/>
            <w:vAlign w:val="center"/>
          </w:tcPr>
          <w:p w14:paraId="5A2E5AE3">
            <w:r>
              <w:t>电机轴承卡滞，绕组短路</w:t>
            </w:r>
          </w:p>
        </w:tc>
        <w:tc>
          <w:tcPr>
            <w:tcW w:w="0" w:type="auto"/>
            <w:vAlign w:val="center"/>
          </w:tcPr>
          <w:p w14:paraId="0E3344F1">
            <w:r>
              <w:t>测量电机三相电阻，手动盘动电机</w:t>
            </w:r>
          </w:p>
        </w:tc>
        <w:tc>
          <w:tcPr>
            <w:tcW w:w="0" w:type="auto"/>
            <w:vAlign w:val="center"/>
          </w:tcPr>
          <w:p w14:paraId="5404DBC3">
            <w:r>
              <w:t>更换轴承，修复绕组或更换电机</w:t>
            </w:r>
          </w:p>
        </w:tc>
      </w:tr>
      <w:tr w14:paraId="64C77E5E">
        <w:tc>
          <w:tcPr>
            <w:tcW w:w="0" w:type="auto"/>
            <w:vAlign w:val="center"/>
          </w:tcPr>
          <w:p w14:paraId="0EE9519E">
            <w:r>
              <w:t>E101</w:t>
            </w:r>
          </w:p>
        </w:tc>
        <w:tc>
          <w:tcPr>
            <w:tcW w:w="0" w:type="auto"/>
            <w:vAlign w:val="center"/>
          </w:tcPr>
          <w:p w14:paraId="642B22BE">
            <w:r>
              <w:t>传感器</w:t>
            </w:r>
          </w:p>
        </w:tc>
        <w:tc>
          <w:tcPr>
            <w:tcW w:w="0" w:type="auto"/>
            <w:vAlign w:val="center"/>
          </w:tcPr>
          <w:p w14:paraId="302CE5E0">
            <w:r>
              <w:t>激光传感器信号丢失</w:t>
            </w:r>
          </w:p>
        </w:tc>
        <w:tc>
          <w:tcPr>
            <w:tcW w:w="0" w:type="auto"/>
            <w:vAlign w:val="center"/>
          </w:tcPr>
          <w:p w14:paraId="53356ADD">
            <w:r>
              <w:t>镜头污染，电缆断线</w:t>
            </w:r>
          </w:p>
        </w:tc>
        <w:tc>
          <w:tcPr>
            <w:tcW w:w="0" w:type="auto"/>
            <w:vAlign w:val="center"/>
          </w:tcPr>
          <w:p w14:paraId="19BC6420">
            <w:r>
              <w:t>清洁镜头（无水乙醇），用万用表测电缆通断</w:t>
            </w:r>
          </w:p>
        </w:tc>
        <w:tc>
          <w:tcPr>
            <w:tcW w:w="0" w:type="auto"/>
            <w:vAlign w:val="center"/>
          </w:tcPr>
          <w:p w14:paraId="765FFB82">
            <w:r>
              <w:t>更换电缆，重新校准传感器</w:t>
            </w:r>
          </w:p>
        </w:tc>
      </w:tr>
      <w:tr w14:paraId="04D239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E82DB70">
            <w:r>
              <w:t>E202</w:t>
            </w:r>
          </w:p>
        </w:tc>
        <w:tc>
          <w:tcPr>
            <w:tcW w:w="0" w:type="auto"/>
            <w:vAlign w:val="center"/>
          </w:tcPr>
          <w:p w14:paraId="47F6FCB5">
            <w:r>
              <w:t>通信</w:t>
            </w:r>
          </w:p>
        </w:tc>
        <w:tc>
          <w:tcPr>
            <w:tcW w:w="0" w:type="auto"/>
            <w:vAlign w:val="center"/>
          </w:tcPr>
          <w:p w14:paraId="7666A594">
            <w:r>
              <w:t>EtherCAT从站丢失</w:t>
            </w:r>
          </w:p>
        </w:tc>
        <w:tc>
          <w:tcPr>
            <w:tcW w:w="0" w:type="auto"/>
            <w:vAlign w:val="center"/>
          </w:tcPr>
          <w:p w14:paraId="5C5E34B8">
            <w:r>
              <w:t>网线接触不良，终端电阻缺失</w:t>
            </w:r>
          </w:p>
        </w:tc>
        <w:tc>
          <w:tcPr>
            <w:tcW w:w="0" w:type="auto"/>
            <w:vAlign w:val="center"/>
          </w:tcPr>
          <w:p w14:paraId="35A94D9E">
            <w:r>
              <w:t>检查网线接头，测量终端电阻（120Ω）</w:t>
            </w:r>
          </w:p>
        </w:tc>
        <w:tc>
          <w:tcPr>
            <w:tcW w:w="0" w:type="auto"/>
            <w:vAlign w:val="center"/>
          </w:tcPr>
          <w:p w14:paraId="0C90C883">
            <w:r>
              <w:t>重新制作网线，接入终端电阻</w:t>
            </w:r>
          </w:p>
        </w:tc>
      </w:tr>
      <w:tr w14:paraId="02F4781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A37C01">
            <w:r>
              <w:t>E303</w:t>
            </w:r>
          </w:p>
        </w:tc>
        <w:tc>
          <w:tcPr>
            <w:tcW w:w="0" w:type="auto"/>
            <w:vAlign w:val="center"/>
          </w:tcPr>
          <w:p w14:paraId="76B77A4A">
            <w:r>
              <w:t>控制</w:t>
            </w:r>
          </w:p>
        </w:tc>
        <w:tc>
          <w:tcPr>
            <w:tcW w:w="0" w:type="auto"/>
            <w:vAlign w:val="center"/>
          </w:tcPr>
          <w:p w14:paraId="1176680E">
            <w:r>
              <w:t>定位超差</w:t>
            </w:r>
          </w:p>
        </w:tc>
        <w:tc>
          <w:tcPr>
            <w:tcW w:w="0" w:type="auto"/>
            <w:vAlign w:val="center"/>
          </w:tcPr>
          <w:p w14:paraId="635043C8">
            <w:r>
              <w:t>编码器零点偏移，定位板污染</w:t>
            </w:r>
          </w:p>
        </w:tc>
        <w:tc>
          <w:tcPr>
            <w:tcW w:w="0" w:type="auto"/>
            <w:vAlign w:val="center"/>
          </w:tcPr>
          <w:p w14:paraId="3AFE15B1">
            <w:r>
              <w:t>校准编码器零点，清洁定位板</w:t>
            </w:r>
          </w:p>
        </w:tc>
        <w:tc>
          <w:tcPr>
            <w:tcW w:w="0" w:type="auto"/>
            <w:vAlign w:val="center"/>
          </w:tcPr>
          <w:p w14:paraId="789FA358">
            <w:r>
              <w:t>修正编码器参数，重新标定定位坐标</w:t>
            </w:r>
          </w:p>
        </w:tc>
      </w:tr>
    </w:tbl>
    <w:p w14:paraId="6F2E3C26">
      <w:pPr>
        <w:pStyle w:val="4"/>
      </w:pPr>
      <w:r>
        <w:t>7.4 维护保养流程图</w:t>
      </w:r>
    </w:p>
    <w:p w14:paraId="3E7CA477">
      <w:r>
        <w:t>维护保养流程包括：日常检查流程（开机前准备→机械检查→电气检查→功能测试→正常开机/故障处理）；周维护流程（清洁传感器→润滑导向轮→检查同步带张力→记录数据）；故障处理流程（故障识别→报警代码查询→分层排查→成因分析→修复测试→记录归档）。流程图明确各步骤操作要求（如润滑时加注锂基润滑脂NLGI 2）、判断标准（如同步带张力25-30N）、责任人（操作工/维修工）。</w:t>
      </w:r>
    </w:p>
    <w:p w14:paraId="7C423A36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C07E6F32"/>
    <w:multiLevelType w:val="singleLevel"/>
    <w:tmpl w:val="C07E6F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EEDEA135"/>
    <w:multiLevelType w:val="singleLevel"/>
    <w:tmpl w:val="EEDEA13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EFF94A2E"/>
    <w:multiLevelType w:val="singleLevel"/>
    <w:tmpl w:val="EFF94A2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7">
    <w:nsid w:val="FC7BEB82"/>
    <w:multiLevelType w:val="singleLevel"/>
    <w:tmpl w:val="FC7BEB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9">
    <w:nsid w:val="FF5A528F"/>
    <w:multiLevelType w:val="singleLevel"/>
    <w:tmpl w:val="FF5A528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1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2">
    <w:nsid w:val="FFB44298"/>
    <w:multiLevelType w:val="singleLevel"/>
    <w:tmpl w:val="FFB442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4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6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7">
    <w:nsid w:val="6FFFAF4E"/>
    <w:multiLevelType w:val="singleLevel"/>
    <w:tmpl w:val="6FFFAF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7BFC227D"/>
    <w:multiLevelType w:val="singleLevel"/>
    <w:tmpl w:val="7BFC227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20">
    <w:nsid w:val="7F3B5A34"/>
    <w:multiLevelType w:val="singleLevel"/>
    <w:tmpl w:val="7F3B5A3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1">
    <w:nsid w:val="7FB9DE8C"/>
    <w:multiLevelType w:val="singleLevel"/>
    <w:tmpl w:val="7FB9DE8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5"/>
  </w:num>
  <w:num w:numId="2">
    <w:abstractNumId w:val="19"/>
  </w:num>
  <w:num w:numId="3">
    <w:abstractNumId w:val="1"/>
  </w:num>
  <w:num w:numId="4">
    <w:abstractNumId w:val="13"/>
  </w:num>
  <w:num w:numId="5">
    <w:abstractNumId w:val="8"/>
  </w:num>
  <w:num w:numId="6">
    <w:abstractNumId w:val="16"/>
  </w:num>
  <w:num w:numId="7">
    <w:abstractNumId w:val="6"/>
  </w:num>
  <w:num w:numId="8">
    <w:abstractNumId w:val="14"/>
  </w:num>
  <w:num w:numId="9">
    <w:abstractNumId w:val="10"/>
  </w:num>
  <w:num w:numId="10">
    <w:abstractNumId w:val="11"/>
  </w:num>
  <w:num w:numId="11">
    <w:abstractNumId w:val="2"/>
  </w:num>
  <w:num w:numId="12">
    <w:abstractNumId w:val="0"/>
  </w:num>
  <w:num w:numId="13">
    <w:abstractNumId w:val="17"/>
  </w:num>
  <w:num w:numId="14">
    <w:abstractNumId w:val="7"/>
  </w:num>
  <w:num w:numId="15">
    <w:abstractNumId w:val="3"/>
  </w:num>
  <w:num w:numId="16">
    <w:abstractNumId w:val="12"/>
  </w:num>
  <w:num w:numId="17">
    <w:abstractNumId w:val="21"/>
  </w:num>
  <w:num w:numId="18">
    <w:abstractNumId w:val="18"/>
  </w:num>
  <w:num w:numId="19">
    <w:abstractNumId w:val="5"/>
  </w:num>
  <w:num w:numId="20">
    <w:abstractNumId w:val="4"/>
  </w:num>
  <w:num w:numId="21">
    <w:abstractNumId w:val="2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5BF6FAC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F3EB132D"/>
    <w:rsid w:val="FEF70171"/>
    <w:rsid w:val="FFABA204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2025-10-05T17:39:37Z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4F5F930201BCFBF4D93CE268F84450D8_43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