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EF95A">
      <w:pPr>
        <w:pStyle w:val="2"/>
      </w:pPr>
    </w:p>
    <w:p w14:paraId="71A6446E">
      <w:pPr>
        <w:pStyle w:val="2"/>
      </w:pPr>
    </w:p>
    <w:p w14:paraId="2A9805B6">
      <w:pPr>
        <w:pStyle w:val="2"/>
      </w:pPr>
      <w:r>
        <w:t>干变铁芯车间变压器铁芯叠装生产线机械臂技术手册</w:t>
      </w:r>
    </w:p>
    <w:p w14:paraId="1CA55F8C">
      <w:pPr>
        <w:pStyle w:val="3"/>
      </w:pPr>
      <w:r>
        <w:t>一、概述</w:t>
      </w:r>
    </w:p>
    <w:p w14:paraId="55443626">
      <w:pPr>
        <w:pStyle w:val="4"/>
      </w:pPr>
      <w:r>
        <w:t>1.1 设备用途与应用场景</w:t>
      </w:r>
    </w:p>
    <w:p w14:paraId="3436BE1E">
      <w:r>
        <w:t>干变铁芯车间变压器铁芯叠装生产线机械臂是实现铁芯硅钢片自动化叠装的核心设备，主要承担硅钢片的抓取、转运、精确定位与有序叠放等关键作业环节。在变压器铁芯生产流程中，机械臂位于冲片工序之后、压紧工序之前，通过与供料仓、叠片台、视觉检测系统的协同工作，替代传统人工叠片模式，显著提升生产效率与叠装精度。其具体功能包括：根据生产计划从不同料仓抓取对应规格的柱片或轭片硅钢片；通过多轴运动将硅钢片转运至叠装工位；依托末端执行器的柔性调节功能实现片材的毫米级定位；按照预设叠片顺序完成铁芯的分层堆叠，最终形成符合设计要求的芯柱与上下轭结构。该设备适用于10kV至220kV干式变压器铁芯的批量生产，尤其在大型变压器（容量1000kV·A以上）铁芯叠装中，可有效解决人工操作导致的精度一致性差、劳动强度大、生产周期长等问题，是现代干变铁芯车间实现智能制造的关键装备。</w:t>
      </w:r>
    </w:p>
    <w:p w14:paraId="096EAF86">
      <w:pPr>
        <w:pStyle w:val="4"/>
      </w:pPr>
      <w:r>
        <w:t>1.2 工作环境与技术参数</w:t>
      </w:r>
    </w:p>
    <w:p w14:paraId="45BE106E">
      <w:r>
        <w:t>机械臂运行的环境要求需满足工业生产标准，具体包括：环境温度范围0-40℃，相对湿度≤85%（无凝露），车间粉尘浓度≤10mg/m³，避免强电磁干扰源（如电焊机、大功率变频器）近距离布置（间距≥5m）。电源规格为三相AC 380V±10%，50Hz，总装机容量≤15kW，接地电阻≤4Ω。</w:t>
      </w:r>
    </w:p>
    <w:p w14:paraId="3F1BE8C7">
      <w:r>
        <w:t>核心技术参数如下：额定负载方面，柱片堆叠机械手为8kg（含末端执行器自重），轭片堆叠机械手为15kg；重复定位精度柱片机械手达±0.05mm，轭片机械手±0.1mm；最大运动速度：柱片机械手X/Y轴500mm/s，Z轴300mm/s，轭片机械手Y轴5m/s（长距离转运段）；工作半径覆盖范围1.2-3.5m，可适应铁芯叠装尺寸（高度0.5-2.5m，宽度0.8-1.8m）；适用硅钢片规格：厚度0.23-0.3mm，片材尺寸（长×宽）300×600mm至1200×2500mm；真空吸盘系统真空度稳定范围-85kPa至-95kPa，吸附响应时间≤0.5秒；控制系统通信周期≤1ms（EtherCAT总线），支持与MES系统数据交互。</w:t>
      </w:r>
    </w:p>
    <w:p w14:paraId="6E78768E">
      <w:pPr>
        <w:pStyle w:val="3"/>
      </w:pPr>
      <w:r>
        <w:t>二、机械结构组成</w:t>
      </w:r>
    </w:p>
    <w:p w14:paraId="7E93FF5E">
      <w:pPr>
        <w:pStyle w:val="4"/>
      </w:pPr>
      <w:r>
        <w:t>2.1 基座系统</w:t>
      </w:r>
    </w:p>
    <w:p w14:paraId="1CD67CD1">
      <w:r>
        <w:t>基座作为机械臂的基础支撑部件，采用高强度铸铁（HT300）整体铸造而成，呈矩形框架结构，长×宽×高尺寸为2000mm×1500mm×300mm，上壁面加工有一对平行的第一条形凹槽，槽内安装型号为THK SSR25的条形滑轨，滑轨有效行程1200mm。滑轨上配置4个滑体，通过T型螺栓与承载架刚性连接，可带动机械臂本体沿基座横向移动，移动速度0-300mm/s，定位精度±0.1mm。基座底部四角焊接M20调节支柱，支柱下端装配厚度50mm的减震垫板（材质为丁腈橡胶），通过旋转支柱顶部螺母可调节基座水平度（调节范围±2mm/m），调节完成后采用双螺母锁紧防松。为确保作业稳定性，滑体与滑轨的配合间隙通过侧向预紧块消除，间隙控制在0.01-0.03mm，滑体位置可通过垫片与内六角螺钉固定，固定后定位误差≤0.02mm。部分配置转动功能的基座（如多工位作业场景），底部集成精密回转支承（型号HSW200），可绕地面固定轴实现±180°旋转，旋转角度定位精度±0.05°，最大回转速度60°/s，通过伺服电机（型号SGM7J-04AFC6S）驱动齿轮减速机构实现闭环控制。</w:t>
      </w:r>
    </w:p>
    <w:p w14:paraId="60DC0376">
      <w:pPr>
        <w:pStyle w:val="4"/>
      </w:pPr>
      <w:r>
        <w:t>2.2 机械臂本体</w:t>
      </w:r>
    </w:p>
    <w:p w14:paraId="4D6AB89B">
      <w:r>
        <w:t>机械臂本体采用六轴关节型结构，由基座关节、大臂、小臂、腕部组成，各关节通过高强度铝合金（6061-T6）连杆连接，关键承重部位采用45号钢锻造。基座关节（1轴）实现±170°旋转，采用伺服电机（功率1.5kW，额定转速3000rpm）配合谐波减速器（减速比100:1）驱动，输出扭矩250N·m，关节重复定位精度±0.02°；大臂（2轴）实现-90°至+120°俯仰运动，配置2.0kW伺服电机与行星减速器（减速比50:1），输出扭矩350N·m；小臂（3轴）实现-135°至+150°旋转，采用1.2kW伺服电机与谐波减速器（减速比80:1），输出扭矩180N·m；腕部包含4轴（±180°旋转）、5轴（±90°俯仰）、6轴（±360°旋转），均配置0.75kW伺服电机与精密谐波减速器，末端最大负载时的腕部定位精度±0.03mm。各关节处安装交叉滚子轴承（型号RU42UU），径向间隙≤0.01mm，轴向窜动≤0.02mm，关节运动采用绝对值编码器反馈（分辨率17位），配合伺服驱动器的电子齿轮功能实现微细分控制。连杆结构设计需满足硅钢片抓取时的动态载荷要求，在最大速度运动工况下，一阶固有频率≥50Hz，确保无共振现象。</w:t>
      </w:r>
    </w:p>
    <w:p w14:paraId="547080D0">
      <w:pPr>
        <w:pStyle w:val="4"/>
      </w:pPr>
      <w:r>
        <w:t>2.3 末端执行器</w:t>
      </w:r>
    </w:p>
    <w:p w14:paraId="0ADE2AD7">
      <w:r>
        <w:t>末端执行器为集成真空抓取与柔性定位功能的复合机构，整体重量≤3kg，通过ISO 9409-1标准接口与机械臂腕部连接。抓取系统采用8组真空吸盘阵列，吸盘材质为60 Shore A耐磨硅橡胶，直径10mm，呈2×4矩阵分布，吸盘间距100mm×150mm，单个吸盘理论吸附力47N（真空度-90kPa时），总吸附力376N，满足15kg负载的1.5倍安全系数要求。吸盘通过快换接头与气动管路连接，每组吸盘配置独立电磁阀（响应时间≤5ms），可实现分区吸附控制，适应不同尺寸硅钢片。吸盘上方安装缓冲机构，由导杆、线性轴承与压缩弹簧组成，行程20mm，弹簧刚度5N/mm，可在抓取接触时提供柔性缓冲，避免硅钢片表面压痕。定位辅助装置包括4个万向轮导向柱（尼龙材质，直径20mm），分布于执行器四角，可在叠放时与硅钢片定位孔配合，实现±0.05mm的辅助定位。末端还集成激光轮廓传感器（型号LJ-V7080），扫描频率5000Hz，分辨率1μm，可实时检测硅钢片边缘位置，为叠装精度闭环控制提供反馈数据。</w:t>
      </w:r>
    </w:p>
    <w:p w14:paraId="065CB20F">
      <w:pPr>
        <w:pStyle w:val="3"/>
      </w:pPr>
      <w:r>
        <w:t>三、功能特点与工作参数</w:t>
      </w:r>
    </w:p>
    <w:p w14:paraId="6525DA21">
      <w:pPr>
        <w:pStyle w:val="4"/>
      </w:pPr>
      <w:r>
        <w:t>3.1 柱片堆叠机械手功能</w:t>
      </w:r>
    </w:p>
    <w:p w14:paraId="18AC76B5">
      <w:r>
        <w:t>柱片堆叠机械手专用于变压器芯柱（A、B、C三相）硅钢片的自动化叠装，具备以下核心功能：一是无损抓取功能，通过真空吸盘组件（吸盘气缸行程0-50mm）实现0.3-0.5mm厚度硅钢片的稳定吸附，吸盘真空度实时监测（阈值-85kPa），低于阈值时自动切换备用吸盘组；二是精密定位功能，采用同步带牵引结构（同步齿轮模数m=2，同步带节距5mm）配合伺服引拔臂，X轴方向位移精度达0.1mm，确保芯柱硅钢片在叠片台上的径向对齐误差≤±0.5mm；三是层间绝缘纸自动放置功能，集成绝缘纸料仓与推送机构，可在每叠5层硅钢片后自动插入0.08mm厚绝缘纸，插入位置偏差≤±0.3mm。</w:t>
      </w:r>
    </w:p>
    <w:p w14:paraId="6775F657">
      <w:r>
        <w:t>主要工作参数：额定负载8kg，最大工作半径2.5m，X/Y/Z轴运动速度分别为500mm/s、400mm/s、300mm/s；重复定位精度±0.05mm，角度定位精度±0.01°；吸盘数量6个（直径10mm），真空发生器流量150L/min；适用硅钢片尺寸范围300×600mm-800×1200mm，叠片节拍≤2秒/片（含定位时间）；叠片压力控制范围5-30N，调节步距0.1N，确保芯柱叠装后的紧实度≥7.5kg/cm²。</w:t>
      </w:r>
    </w:p>
    <w:p w14:paraId="219962A0">
      <w:pPr>
        <w:pStyle w:val="4"/>
      </w:pPr>
      <w:r>
        <w:t>3.2 轭片堆叠机械手功能</w:t>
      </w:r>
    </w:p>
    <w:p w14:paraId="63F4C491">
      <w:r>
        <w:t>轭片堆叠机械手负责变压器上下轭硅钢片（D、E轭片）的横向转运与叠放，与柱片机械手呈90°垂直布局，具备以下特点：双列真空吸盘组设计，每组6个直径10mm吸盘，前后列间距200mm，通过独立吸盘气缸控制实现片层间距精确调整（调整步距0.01mm），适应不同厚度轭片的叠装需求；双导轨导向结构（型号THK HSR35），导轨平行度误差≤0.02mm/m，配合光栅尺反馈系统（分辨率0.5μm），Y轴方向最大移动速度5m/s，加速度1.5m/s²，满足长尺寸轭片（长度1.2-2.5m）的高效转运；叠片压力闭环控制，采用松下MSMF042L1U2M伺服电机驱动压头，扭矩控制精度±0.5%FS，叠片压力调节范围5-50N，确保轭片叠装后的平面度误差≤0.3mm/m²。</w:t>
      </w:r>
    </w:p>
    <w:p w14:paraId="61D51E45">
      <w:r>
        <w:t>关键工作参数：额定负载15kg，工作行程Y轴3.5m、Z轴0.8m；重复定位精度Y轴±0.1mm，Z轴±0.05mm；吸盘真空系统响应时间≤10ms，破真空时间≤0.3s；适用轭片尺寸：长度1.2-2.5m，宽度0.3-0.8m，厚度0.3-0.5mm；单片片材转运节拍3-5秒（取决于长度）；配置片材分离装置，采用0.4MPa压缩空气吹气分离，确保单片抓取成功率≥99.5%。</w:t>
      </w:r>
    </w:p>
    <w:p w14:paraId="0D7E1F37">
      <w:pPr>
        <w:pStyle w:val="4"/>
      </w:pPr>
      <w:r>
        <w:t>3.3 协同作业流程</w:t>
      </w:r>
    </w:p>
    <w:p w14:paraId="6F5D60C6">
      <w:r>
        <w:t>柱片与轭片机械手通过西门子S7-1214C PLC实现协同控制，采用EtherCAT总线通信（周期1ms），配合视觉定位系统完成铁芯整体叠装。作业流程如下：首先，供料仓将硅钢片按柱片、轭片分类输送至抓取位，光电传感器检测片材到位后，PLC向对应机械手发送作业指令；柱片机械手根据生产工单信息，通过视觉系统（1200万像素相机，帧率30fps）识别硅钢片型号与纹理方向，调整末端执行器姿态后进行抓取，抓取完成后真空压力传感器确认吸附可靠（压力≥-85kPa）；随后，机械手按预设轨迹将柱片转运至芯柱叠装台，激光轮廓传感器扫描片材边缘，与基准位置对比后通过伺服系统进行±0.05mm级位置修正，完成一层叠放后Z轴上升对应片厚高度；轭片机械手同步进行上下轭片的抓取与转运，在芯柱叠装至设定高度后，从横向将轭片推入芯柱窗口，通过力传感器（分辨率0.1N）检测接触力，确保轭片与柱片紧密贴合；整个过程中，PLC实时监控两机械手的位置与姿态，通过交叉互锁逻辑避免运动干涉，叠装数据（如叠片数量、精度偏差）实时上传至MES系统，形成生产过程追溯记录。典型铁芯（容量1600kV·A）的叠装周期约45分钟（含换型时间），较人工操作效率提升3倍以上。</w:t>
      </w:r>
    </w:p>
    <w:p w14:paraId="30465F71">
      <w:pPr>
        <w:pStyle w:val="3"/>
      </w:pPr>
      <w:r>
        <w:t>四、机械传动原理</w:t>
      </w:r>
    </w:p>
    <w:p w14:paraId="41BA3881">
      <w:pPr>
        <w:pStyle w:val="4"/>
      </w:pPr>
      <w:r>
        <w:t>4.1 驱动部件工作原理</w:t>
      </w:r>
    </w:p>
    <w:p w14:paraId="6C508EF4">
      <w:r>
        <w:t>机械臂驱动系统采用“伺服电机+步进电机+气缸”的混合驱动方案，各部件协同实现高精度运动控制。伺服电机方面，关节驱动选用松下A6系列伺服系统，其中基座关节（1轴）电机型号MSMF042L1U2M，额定功率0.4kW，额定转速3000rpm，通过17位绝对值编码器实现位置闭环控制，驱动器采用速度环、位置环双闭环调节，位置环增益可通过参数设置（范围1-2000Hz），确保动态响应速度；腕部关节电机选用更小惯量的MSMD022P1U，配合200:1谐波减速器，输出扭矩50N·m，满足末端精细操作需求。步进电机应用于基座横向移动轴，型号为雷赛86HS45，步距角1.8°，细分设置2000，通过脉冲控制实现0.01mm级位移精度，驱动电压DC 80V，最大静力矩4.5N·m，采用混合式驱动技术降低低速振动。气缸驱动主要用于末端执行器的吸盘升降与缓冲，选用Festo DSBC系列标准气缸，缸径20mm，行程50mm，工作压力0.4-0.6MPa，通过流量控制阀调节运动速度，确保抓取过程平稳无冲击。</w:t>
      </w:r>
    </w:p>
    <w:p w14:paraId="47A4198E">
      <w:pPr>
        <w:pStyle w:val="4"/>
      </w:pPr>
      <w:r>
        <w:t>4.2 传动部件协同机制</w:t>
      </w:r>
    </w:p>
    <w:p w14:paraId="14D6A5BB">
      <w:r>
        <w:t>机械臂传动系统通过丝杠、同步带、齿轮等部件的协同配合，将电机动力转化为末端执行器的精确运动。丝杠传动应用于基座横向移动轴与腕部伸缩轴，采用高精度滚珠丝杠（型号SFU2505），导程5mm，精度等级C3，轴向间隙≤0.01mm，通过双螺母预紧消除反向间隙。丝杠两端支撑采用角接触球轴承（7005AC），成对安装实现轴向定位，轴承座与丝杠螺母座采用铸铁材质，确保刚性支撑。同步带传动用于小臂与腕部的连接，选用聚氨酯同步带（型号HTD5M），带宽20mm，齿数50，带轮采用铝合金材质，表面阳极氧化处理，张紧度通过调节座实现，张力维持在25-30N，确保传动无打滑且噪声≤65dB。齿轮传动主要应用于基座旋转关节（如配置），采用斜齿轮啮合（模数m=3，齿数20/100），螺旋角15°，齿面硬度HRC58-62，啮合间隙≤0.1mm，润滑采用长效齿轮油（型号ISO VG220），通过油杯定期补充，确保传动效率≥98%。各传动部件的协同工作通过运动控制卡的插补算法实现，如基座横向移动与大臂旋转的圆弧插补，确保末端执行器沿预定轨迹平滑运动，轨迹误差≤0.1mm。</w:t>
      </w:r>
    </w:p>
    <w:p w14:paraId="0D552A05">
      <w:pPr>
        <w:pStyle w:val="4"/>
      </w:pPr>
      <w:r>
        <w:t>4.3 运动模式与轨迹规划</w:t>
      </w:r>
    </w:p>
    <w:p w14:paraId="5466A55E">
      <w:r>
        <w:t>机械臂采用圆柱坐标系与直角坐标系相结合的运动模式，根据作业场景动态切换。圆柱坐标系运动模式适用于供料仓环绕布置的场景，机械臂以基座为中心，通过径向移动（r轴）、旋转运动（θ轴）、垂直升降（z轴）的组合，实现360°范围内的硅钢片抓取，该模式下运动学逆解简单，控制算法复杂度低，适合中小尺寸铁芯叠装，轨迹规划以圆弧过渡为主，避免尖角运动导致的冲击。直角坐标系运动模式则用于长距离直线转运（如轭片从料仓到叠装台的横向移动），通过X/Y/Z轴的线性插补实现直线轨迹，运动平稳性高，定位精度受累积误差影响小，轨迹规划采用S型加减速曲线，加速度从0线性增加至设定值（最大1.5m/s²），减少硅钢片在高速运动中的晃动。</w:t>
      </w:r>
    </w:p>
    <w:p w14:paraId="46EFC512">
      <w:r>
        <w:t>轨迹规划通过工业机器人控制器实现，支持以下功能：一是点到点运动（PTP），用于料仓与叠装台之间的快速转运，路径优先级为时间最优；二是直线运动（LIN），用于硅钢片叠放时的精确对位，路径严格按直线执行；三是圆弧运动（CIR），用于绕开障碍物的过渡运动。控制器内置轨迹平滑算法，可对相邻路径段的衔接处进行圆角过渡（过渡半径0.1-10mm可调），确保速度连续（ jerk≤50m/s³）。在叠装定位阶段，采用“粗定位+精定位”两步法：粗定位通过关节编码器反馈实现，精度±0.5mm；精定位结合视觉传感器与激光轮廓仪数据，通过PID闭环控制将误差修正至±0.05mm以内，满足铁芯叠装的高精度要求。</w:t>
      </w:r>
    </w:p>
    <w:p w14:paraId="65ED6068">
      <w:pPr>
        <w:pStyle w:val="3"/>
      </w:pPr>
      <w:r>
        <w:t>五、电气控制系统</w:t>
      </w:r>
    </w:p>
    <w:p w14:paraId="75503BC2">
      <w:pPr>
        <w:pStyle w:val="4"/>
      </w:pPr>
      <w:r>
        <w:t>5.1 系统架构组成</w:t>
      </w:r>
    </w:p>
    <w:p w14:paraId="7B9AA1F7">
      <w:r>
        <w:t>电气控制系统采用“PLC+运动控制卡+伺服驱动器”的三层架构，实现机械臂的全面控制。核心控制器选用西门子S7-1214C DC/DC/DC型PLC，集成14点数字量输入、10点数字量输出，通过扩展模块增加8路模拟量输入（16位分辨率）、4路模拟量输出，用于连接压力传感器、温度传感器等模拟信号设备。运动控制层采用雷赛DMC5480型四轴运动控制卡，支持脉冲/总线控制模式，通过PCIe接口与工业PC通信，控制周期≤0.1ms，可实现多轴插补、电子齿轮、同步跟随等复杂运动控制功能。驱动层配置松下A6系列伺服驱动器，通过EtherCAT总线与运动控制卡连接，接收位置/速度指令并反馈电机状态（位置、速度、电流），驱动器内置安全扭矩关闭（STO）功能，满足SIL2安全等级要求。人机交互层采用15英寸触摸屏（型号威纶MT8150iE），实时显示机械臂运行状态、报警信息、生产数据，并支持参数设置、程序调试、手动操作等功能。系统还集成工业以太网交换机（8口千兆），实现与车间MES系统、视觉系统、供料设备的通信，通信协议采用Modbus TCP/IP，数据更新周期100ms。</w:t>
      </w:r>
    </w:p>
    <w:p w14:paraId="72D52A34">
      <w:pPr>
        <w:pStyle w:val="4"/>
      </w:pPr>
      <w:r>
        <w:t>5.2 传感器系统</w:t>
      </w:r>
    </w:p>
    <w:p w14:paraId="5454BD89">
      <w:r>
        <w:t>传感器系统是实现机械臂精确控制与安全运行的关键，主要包括位置检测、物体识别、状态监测三类传感器。位置检测传感器方面，各关节电机配置17位绝对值编码器（分辨率131072 ppr），实时反馈电机转角，配合伺服驱动器实现位置闭环控制；基座横向移动轴安装光栅尺（型号HEIDENHAIN LS 487），量程1200mm，分辨率0.5μm，用于补偿丝杠传动间隙导致的位置误差；末端执行器集成激光位移传感器（型号KEYENCE IL-1000），测量范围0-1000mm，线性度±0.03%FS，用于叠片高度实时监测。物体识别传感器包括：料仓入口安装漫反射光电传感器（型号Omron E3Z-LS61），检测距离50-300mm，响应时间≤1ms，用于确认硅钢片到位；叠片台上方安装面阵相机（型号Basler acA2500-14uc），搭配8mm镜头与环形光源，通过边缘检测算法识别硅钢片轮廓，定位精度±0.05mm；吸盘组附近安装光纤传感器（型号Omron E32-DC200），检测距离200mm，用于判断硅钢片是否吸附成功。状态监测传感器有：真空系统配置压力变送器（型号SMC ZSE40A），测量范围-100kPa至0，精度±1%FS，实时监测吸盘真空度；电机绕组内置PTC温度传感器（100kΩ@25℃），温度超过150℃时触发过热保护；机械臂关键部位安装振动传感器（型号B&amp;K 4370），测量范围1-10kHz，用于监测传动部件磨损状态，振动加速度超过5m/s²时发出预警。</w:t>
      </w:r>
    </w:p>
    <w:p w14:paraId="63785C84">
      <w:pPr>
        <w:pStyle w:val="4"/>
      </w:pPr>
      <w:r>
        <w:t>5.3 控制算法与逻辑</w:t>
      </w:r>
    </w:p>
    <w:p w14:paraId="736EF16C">
      <w:r>
        <w:t>控制系统采用多种先进算法实现机械臂的高精度与高可靠性运行。位置控制算法采用双闭环PID结构，外环为位置环（采样周期10ms），内环为速度环（采样周期1ms），PID参数通过自整定功能优化，典型参数范围：位置环Kp=0.5-2.0，Ki=0.1-0.5，Kd=0.01-0.1；速度环Kp=0.1-0.5，Ki=0.05-0.2，Kd=0.001-0.01。针对系统非线性与负载变化，引入模型参考自适应控制（MRAS），通过在线辨识机械臂动力学参数（如关节惯量、摩擦力），实时调整PID参数，使系统在负载变化±20%范围内的位置跟踪误差≤0.05mm。力位混合控制算法用于叠片压力控制，通过末端力传感器反馈叠片压力，与设定值比较后经PID调节输出位置修正量，实现压力控制精度±0.5N，确保铁芯叠装紧实度一致。</w:t>
      </w:r>
    </w:p>
    <w:p w14:paraId="2AF7FB12">
      <w:r>
        <w:t>逻辑控制方面，采用梯形图（LD）与结构化文本（ST）混合编程。主程序包括初始化模块、手动/自动切换模块、作业流程控制模块、故障处理模块。初始化模块完成系统参数加载、传感器自检、电机回零等操作；手动模式支持单轴点动、坐标 jog 运动、吸盘手动控制；自动模式按生产工单执行预设叠装程序，包含料仓选择、片材抓取、定位叠放、质量检测等子流程。故障处理模块采用中断机制，当检测到急停、过载、传感器异常等故障时，立即停止机械臂运动，切断伺服使能，并在触摸屏显示故障代码与处理建议。安全逻辑符合ISO 10218-1标准，设置三级安全防护：外围安全围栏（带安全门锁）、机械臂工作区域激光扫描仪（型号SICK S300）、末端执行器碰撞检测（通过电流阈值判断），确保人机协作安全。</w:t>
      </w:r>
    </w:p>
    <w:p w14:paraId="2E547AEC">
      <w:pPr>
        <w:pStyle w:val="3"/>
      </w:pPr>
      <w:r>
        <w:t>六、故障诊断与维护</w:t>
      </w:r>
    </w:p>
    <w:p w14:paraId="52E51D3C">
      <w:pPr>
        <w:pStyle w:val="4"/>
      </w:pPr>
      <w:r>
        <w:t>6.1 常见故障类型与成因</w:t>
      </w:r>
    </w:p>
    <w:p w14:paraId="687A8266">
      <w:r>
        <w:t>机械臂常见故障可分为机械系统、电气系统、控制系统三类。机械系统故障主要包括：传动部件磨损，如丝杠导轨润滑不良导致运动卡顿（表现为定位重复性超差±0.1mm以上），成因是润滑油干涸或杂质进入；关节异响，多因谐波减速器齿轮啮合不良（齿面磨损或安装偏差），或轴承游隙增大（径向间隙＞0.03mm）；末端执行器故障，如吸盘老化（唇边裂纹或弹性下降）导致吸附力不足（真空度＜-80kPa），或缓冲弹簧疲劳（自由长度缩短＞5%）造成抓取冲击过大。</w:t>
      </w:r>
    </w:p>
    <w:p w14:paraId="5D5445B0">
      <w:r>
        <w:t>电气系统故障表现为：电源异常，如电缆接头氧化导致电压波动（三相不平衡度＞5%），或伺服驱动器过压报警（直流母线电压＞400V）；电机故障，如绕组匝间短路（三相电阻不平衡度＞10%），或编码器信号丢失（断线或接头松动）；传感器信号异常，如光栅尺读数跳变（污染或划痕），或真空压力传感器漂移（零点偏移＞±2kPa）。</w:t>
      </w:r>
    </w:p>
    <w:p w14:paraId="077708F9">
      <w:r>
        <w:t>控制系统故障包括：程序错误，如运动轨迹规划不合理导致关节超限（报警代码201），或逻辑条件冲突造成程序死循环；通信中断，表现为PLC与伺服驱动器数据交换失败（EtherCAT总线错误代码0x0505），成因可能是网线接触不良、交换机故障或电磁干扰；人机界面故障，如触摸屏无响应（通信线松动）或参数无法保存（存储芯片损坏）。</w:t>
      </w:r>
    </w:p>
    <w:p w14:paraId="56BE1115">
      <w:pPr>
        <w:pStyle w:val="4"/>
      </w:pPr>
      <w:r>
        <w:t>6.2 标准化诊断流程</w:t>
      </w:r>
    </w:p>
    <w:p w14:paraId="2962D3B6">
      <w:r>
        <w:t>故障诊断遵循“故障识别-定位排查-成因分析-解决方案”四步标准化流程。故障识别阶段，通过三级报警信息获取故障特征：一级报警为触摸屏显示的故障代码（如E024：伺服电机过载）；二级报警为驱动器状态指示灯（如松下A6驱动器报警灯红灯闪烁3次表示过流）；三级报警为传感器实时数据异常（如真空度持续低于-75kPa）。操作人员需记录报警代码、发生时间、工况参数（负载、速度），形成故障初步描述。</w:t>
      </w:r>
    </w:p>
    <w:p w14:paraId="7972E2D7">
      <w:r>
        <w:t>定位排查采用分层检查法：首先检查机械结构，手动盘动关节判断阻力是否均匀，测量传动部件间隙（丝杠反向间隙＞0.02mm需调整），检查吸盘、缓冲机构等执行元件状态；其次检查气动系统，用压力表测量气源压力（正常值0.5-0.6MPa），检测管路有无泄漏（涂抹肥皂水观察气泡），清洁真空发生器滤芯；然后检查电气元件，用万用表测量电机三相电阻（平衡度应＜5%），用示波器检测编码器信号（波形应无畸变），校准传感器零点；最后检查控制系统，通过PLC诊断界面查看I/O状态（如急停信号是否闭合），监控通信报文（EtherCAT数据链路层状态），验证程序逻辑（如条件跳转是否满足）。</w:t>
      </w:r>
    </w:p>
    <w:p w14:paraId="2857DBB6">
      <w:r>
        <w:t>成因分析需结合历史数据与测试结果，如定位不准故障，对比近期精度校准记录（如三个月内误差从±0.05mm增至±0.15mm），结合导轨磨损测量数据（直线度误差＞0.02mm/m），判断为导轨需要更换；若短期突发定位偏差，优先检查光栅尺是否污染或编码器电缆接触不良。解决方案制定需遵循“先简后繁、先软后硬”原则，如通信故障先检查网线接头，再更换交换机，最后排查接地系统。</w:t>
      </w:r>
    </w:p>
    <w:p w14:paraId="47C856AF">
      <w:pPr>
        <w:pStyle w:val="4"/>
      </w:pPr>
      <w:r>
        <w:t>6.3 预防性维护策略</w:t>
      </w:r>
    </w:p>
    <w:p w14:paraId="59E4969D">
      <w:r>
        <w:t>预防性维护采用“日常检查-定期维护-预测性维护”三级管理模式。日常检查（每班开工前30分钟）项目包括：机械部分检查吸盘外观（无裂纹、变形）、各关节紧固螺丝（扭矩符合要求：M10螺栓35N·m）、导轨丝杠表面清洁度；气动系统检查真空压力（启动后5秒内应达到-90kPa）、气源三联件油雾器油位（不低于1/3）、管路有无泄漏；电气系统检查控制柜指示灯（电源、通信正常）、电机温度（环境温度+40℃以下）、电缆有无破损。</w:t>
      </w:r>
    </w:p>
    <w:p w14:paraId="460B802D">
      <w:r>
        <w:t>定期维护按周期分为：周维护，清洁光栅尺、编码器镜头，润滑关节轴承（加注锂基润滑脂NLGI 2），检查同步带张力（25-30N）；月维护，校准工具坐标系（TCP），测试重复定位精度（应≤±0.05mm），检查谐波减速器油位（低于油窗1/2需补充）；季度维护，更换真空吸盘（寿命3-6个月），清洗真空发生器滤芯，检测电机绝缘电阻（≥100MΩ）；年度维护，更换丝杠导轨润滑油（型号ISO VG32），校准各轴零点，检测机械臂动态性能（最大速度、加速度），进行电气安全测试（接地电阻、绝缘强度）。</w:t>
      </w:r>
    </w:p>
    <w:p w14:paraId="253FC099">
      <w:r>
        <w:t>维护记录需填写《机械臂维护保养手册》，内容包括维护日期、项目、数据（如真空度测量值）、异常情况、处理措施、执行人。关键部件更换需记录序列号，建立备件更换台账，如谐波减速器累计运行10000小时需进行寿命评估，编码器使用5年建议预防性更换。备品备件最低库存要求：真空吸盘10个、电磁阀5个、润滑脂1桶、保险丝10套，确保故障发生时能快速更换。</w:t>
      </w:r>
    </w:p>
    <w:p w14:paraId="3267A2E4">
      <w:pPr>
        <w:pStyle w:val="4"/>
      </w:pPr>
      <w:r>
        <w:t>6.4 典型故障案例分析</w:t>
      </w:r>
    </w:p>
    <w:p w14:paraId="237122AB">
      <w:pPr>
        <w:pStyle w:val="5"/>
      </w:pPr>
      <w:r>
        <w:t>案例一：柱片机械手定位不准导致叠装错位</w:t>
      </w:r>
    </w:p>
    <w:p w14:paraId="4F8DFE0E">
      <w:r>
        <w:rPr>
          <w:b/>
        </w:rPr>
        <w:t>故障现象</w:t>
      </w:r>
      <w:r>
        <w:t>：芯柱叠装接缝处台阶偏差达0.8mm，超出允许范围（≤0.5mm），报警代码108（位置偏差过大）。</w:t>
      </w:r>
    </w:p>
    <w:p w14:paraId="41EB8259">
      <w:r>
        <w:rPr>
          <w:b/>
        </w:rPr>
        <w:t>诊断过程</w:t>
      </w:r>
      <w:r>
        <w:t>：通过示教器监控各轴位置偏差，发现3号轴（小臂）定位误差稳定在+0.12mm；手动移动小臂，感觉运动阻力不均匀；拆卸小臂关节端盖，测量谐波减速器输出轴径向间隙达0.04mm（标准≤0.02mm）；检查减速器润滑油，发现油色发黑且有金属碎屑。</w:t>
      </w:r>
    </w:p>
    <w:p w14:paraId="5683DBF8">
      <w:r>
        <w:rPr>
          <w:b/>
        </w:rPr>
        <w:t>解决方案</w:t>
      </w:r>
      <w:r>
        <w:t>：更换3号轴谐波减速器（型号CSF-17-100-2UH），清洗减速器安装面，涂抹密封胶（型号Loctite 518）；重新加注专用齿轮油（NSK PS2）至油窗1/2处；使用激光跟踪仪校准工具坐标系，将位置偏差修正至±0.03mm以内。</w:t>
      </w:r>
    </w:p>
    <w:p w14:paraId="3F7A0591">
      <w:r>
        <w:rPr>
          <w:b/>
        </w:rPr>
        <w:t>预防措施</w:t>
      </w:r>
      <w:r>
        <w:t>：将该关节减速器换油周期从季度缩短至2个月，增加油样检测（每500小时），监测金属颗粒含量；在程序中增加关节阻力矩监测（阈值≤5N·m），超过时提前预警。</w:t>
      </w:r>
    </w:p>
    <w:p w14:paraId="17104CAD">
      <w:pPr>
        <w:pStyle w:val="5"/>
      </w:pPr>
      <w:r>
        <w:t>案例二：真空吸盘失效导致硅钢片脱落</w:t>
      </w:r>
    </w:p>
    <w:p w14:paraId="44EB0FE5">
      <w:r>
        <w:rPr>
          <w:b/>
        </w:rPr>
        <w:t>故障现象</w:t>
      </w:r>
      <w:r>
        <w:t>：抓取0.27mm薄硅钢片时频繁脱落，脱落率约12%，真空压力显示-82kPa（正常应≥-90kPa）。</w:t>
      </w:r>
    </w:p>
    <w:p w14:paraId="10B486AA">
      <w:r>
        <w:rPr>
          <w:b/>
        </w:rPr>
        <w:t>诊断过程</w:t>
      </w:r>
      <w:r>
        <w:t>：检查吸盘发现4个吸盘唇边有0.3mm深划痕，2个吸盘弹性下降（按压后恢复时间＞3秒）；检测真空管路，发现快换接头O型圈老化（直径φ6mm变为φ5.5mm）；测量压缩空气露点，达-10℃（标准应≤-20℃），导致管路内壁结霜堵塞。</w:t>
      </w:r>
    </w:p>
    <w:p w14:paraId="4A4AD8D3">
      <w:r>
        <w:rPr>
          <w:b/>
        </w:rPr>
        <w:t>解决方案</w:t>
      </w:r>
      <w:r>
        <w:t>：更换全部真空吸盘（型号ZP20BN），选用硬度60 Shore A的耐磨损硅胶材质；更换所有气路O型圈（氟橡胶材质），在真空发生器入口增加冷冻式干燥机（露点≤-40℃）；调整吸盘阵列，从6个增至8个，优化布局使吸附力分布均匀。</w:t>
      </w:r>
    </w:p>
    <w:p w14:paraId="0E4F661E">
      <w:r>
        <w:rPr>
          <w:b/>
        </w:rPr>
        <w:t>预防措施</w:t>
      </w:r>
      <w:r>
        <w:t>：每日检查吸盘外观，使用邵氏硬度计检测硬度（低于55 Shore A及时更换）；每周排水过滤器排水，每月检测压缩空气质量（含油量≤0.1mg/m³）；在控制系统中增加真空度下降速率监测（正常＜5kPa/s），异常时自动切换备用吸盘组。</w:t>
      </w:r>
    </w:p>
    <w:p w14:paraId="6D46B0AE">
      <w:pPr>
        <w:pStyle w:val="5"/>
      </w:pPr>
      <w:r>
        <w:t>案例三：伺服电机过热报警（代码E024）</w:t>
      </w:r>
    </w:p>
    <w:p w14:paraId="38743181">
      <w:r>
        <w:rPr>
          <w:b/>
        </w:rPr>
        <w:t>故障现象</w:t>
      </w:r>
      <w:r>
        <w:t>：大臂电机运行30分钟后报警停机，驱动器显示过热（温度＞100℃），电机外壳烫手。</w:t>
      </w:r>
    </w:p>
    <w:p w14:paraId="2EB1748D">
      <w:r>
        <w:rPr>
          <w:b/>
        </w:rPr>
        <w:t>诊断过程</w:t>
      </w:r>
      <w:r>
        <w:t>：测量电机三相绕组电阻，U相1.2Ω，V相1.2Ω，W相1.8Ω（不平衡度50%）；检查电机冷却风扇，发现扇叶断裂2片，转速降至1500rpm（标准2500rpm）；拆开电机端盖，观察绕组表面有焦糊痕迹，绝缘漆变色。</w:t>
      </w:r>
    </w:p>
    <w:p w14:paraId="3F17AF04">
      <w:r>
        <w:rPr>
          <w:b/>
        </w:rPr>
        <w:t>解决方案</w:t>
      </w:r>
      <w:r>
        <w:t>：更换大臂伺服电机（型号MSMF042L1U2M），重新接线并做相序确认；更换风扇组件，清理电机散热片灰尘；检查驱动器参数，发现电流限幅值设置为200%（标准150%），调整至150%并优化加减速时间（从0.5s增至1.0s）。</w:t>
      </w:r>
    </w:p>
    <w:p w14:paraId="2DB1BEEA">
      <w:r>
        <w:rPr>
          <w:b/>
        </w:rPr>
        <w:t>预防措施</w:t>
      </w:r>
      <w:r>
        <w:t>：在控制柜安装温度传感器，实时监测电机环境温度；定期（每月）用红外测温仪检测电机表面温度（应＜70℃）；驱动器参数备份，防止误修改，建立参数变更记录制度。</w:t>
      </w:r>
    </w:p>
    <w:p w14:paraId="2BCC7554">
      <w:pPr>
        <w:pStyle w:val="5"/>
      </w:pPr>
      <w:r>
        <w:t>案例四：EtherCAT通信中断（代码0x0505）</w:t>
      </w:r>
    </w:p>
    <w:p w14:paraId="5596313B">
      <w:r>
        <w:rPr>
          <w:b/>
        </w:rPr>
        <w:t>故障现象</w:t>
      </w:r>
      <w:r>
        <w:t>：PLC与伺服驱动器周期性通信中断，持续2-3秒后自动恢复，每日发生10次左右，导致叠片错层。</w:t>
      </w:r>
    </w:p>
    <w:p w14:paraId="099914B1">
      <w:r>
        <w:rPr>
          <w:b/>
        </w:rPr>
        <w:t>诊断过程</w:t>
      </w:r>
      <w:r>
        <w:t>：使用Wireshark抓包分析，发现通信中断时数据帧丢失率达2.3%；检查通信线缆，发现靠近伺服柜的一段网线有压痕，屏蔽层破损；测量接地系统，机械臂接地电阻4.5Ω（标准≤1Ω），存在共模干扰；用示波器检测总线信号，发现有200mV尖峰干扰。</w:t>
      </w:r>
    </w:p>
    <w:p w14:paraId="430E501F">
      <w:r>
        <w:rPr>
          <w:b/>
        </w:rPr>
        <w:t>解决方案</w:t>
      </w:r>
      <w:r>
        <w:t>：更换破损网线，采用双屏蔽工业以太网电缆（型号Belden 3105A），接地端子压接牢固；重新制作接地极，采用2根2.5m镀锌角钢（50×50×5mm）打入地下，间距5m，用40×4mm扁钢连接，接地电阻降至0.8Ω；在伺服驱动器电源输入端增加EMC滤波器（型号Schaffner FN3280），抑制传导干扰。</w:t>
      </w:r>
    </w:p>
    <w:p w14:paraId="71B4DC20">
      <w:r>
        <w:rPr>
          <w:b/>
        </w:rPr>
        <w:t>预防措施</w:t>
      </w:r>
      <w:r>
        <w:t>：每周检查通信线缆固定情况，避免拖拽、挤压；每月测量接地电阻，雷雨季节增加至每两周一次；在控制柜内加装浪涌保护器（Imax 40kA），防止雷击干扰。</w:t>
      </w:r>
    </w:p>
    <w:p w14:paraId="7EDE8512">
      <w:pPr>
        <w:pStyle w:val="3"/>
      </w:pPr>
      <w:r>
        <w:t>七、附录</w:t>
      </w:r>
    </w:p>
    <w:p w14:paraId="4ACD9B45">
      <w:pPr>
        <w:pStyle w:val="4"/>
      </w:pPr>
      <w:r>
        <w:t>7.1 机械原理图集</w:t>
      </w:r>
    </w:p>
    <w:p w14:paraId="06C65F38">
      <w:r>
        <w:t>本手册附图包括：机械臂整体结构图（A0幅面），标注各部件名称、型号及安装位置；基座系统详图（A1），含滑轨滑体装配尺寸、调节支柱位置参数；机械臂本体关节分解图（A1），展示各关节电机、减速器、轴承的装配关系；末端执行器结构图（A2），包含吸盘阵列布局、缓冲机构尺寸、传感器安装位置；传动系统原理图（A2），标注丝杠导程、同步带轮齿数、齿轮模数等关键参数。所有图纸均符合GB/T 18229-2000《机械工程CAD制图规则》，可通过扫描图纸二维码获取电子版。</w:t>
      </w:r>
    </w:p>
    <w:p w14:paraId="24B93AC4">
      <w:pPr>
        <w:pStyle w:val="4"/>
      </w:pPr>
      <w:r>
        <w:t>7.2 电气控制原理图</w:t>
      </w:r>
    </w:p>
    <w:p w14:paraId="20733DA1">
      <w:r>
        <w:t>电气原理图包括：主电路原理图（A1），展示三相电源、伺服驱动器、电机、断路器的连接关系，标注元件型号（如断路器MCB1：3P 32A）；控制电路原理图（A2），含PLC I/O接线、传感器信号回路、电磁阀控制回路，端子排编号采用“柜号-端子号”格式（如X1-10）；气动系统原理图（A2），标注真空发生器、电磁阀、压力表、过滤器的型号及管路走向，工作压力范围标注于气源入口；接地系统图（A3），说明设备保护接地、信号接地、屏蔽接地的连接方式及接地电阻要求。</w:t>
      </w:r>
    </w:p>
    <w:p w14:paraId="34184E49">
      <w:pPr>
        <w:pStyle w:val="4"/>
      </w:pPr>
      <w:r>
        <w:t>7.3 故障代码表</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39780BAC">
        <w:tblPrEx>
          <w:tblCellMar>
            <w:top w:w="0" w:type="dxa"/>
            <w:left w:w="0" w:type="dxa"/>
            <w:bottom w:w="0" w:type="dxa"/>
            <w:right w:w="0" w:type="dxa"/>
          </w:tblCellMar>
        </w:tblPrEx>
        <w:tc>
          <w:tcPr>
            <w:tcW w:w="0" w:type="auto"/>
            <w:vAlign w:val="center"/>
          </w:tcPr>
          <w:p w14:paraId="67D6D0B1">
            <w:pPr>
              <w:jc w:val="center"/>
              <w:rPr>
                <w:b/>
              </w:rPr>
            </w:pPr>
            <w:r>
              <w:rPr>
                <w:b/>
              </w:rPr>
              <w:t>故障代码</w:t>
            </w:r>
          </w:p>
        </w:tc>
        <w:tc>
          <w:tcPr>
            <w:tcW w:w="0" w:type="auto"/>
            <w:vAlign w:val="center"/>
          </w:tcPr>
          <w:p w14:paraId="13C340B1">
            <w:pPr>
              <w:jc w:val="center"/>
              <w:rPr>
                <w:b/>
              </w:rPr>
            </w:pPr>
            <w:r>
              <w:rPr>
                <w:b/>
              </w:rPr>
              <w:t>类别</w:t>
            </w:r>
          </w:p>
        </w:tc>
        <w:tc>
          <w:tcPr>
            <w:tcW w:w="0" w:type="auto"/>
            <w:vAlign w:val="center"/>
          </w:tcPr>
          <w:p w14:paraId="2E4247C2">
            <w:pPr>
              <w:jc w:val="center"/>
              <w:rPr>
                <w:b/>
              </w:rPr>
            </w:pPr>
            <w:r>
              <w:rPr>
                <w:b/>
              </w:rPr>
              <w:t>含义</w:t>
            </w:r>
          </w:p>
        </w:tc>
        <w:tc>
          <w:tcPr>
            <w:tcW w:w="0" w:type="auto"/>
            <w:vAlign w:val="center"/>
          </w:tcPr>
          <w:p w14:paraId="4D005E89">
            <w:pPr>
              <w:jc w:val="center"/>
              <w:rPr>
                <w:b/>
              </w:rPr>
            </w:pPr>
            <w:r>
              <w:rPr>
                <w:b/>
              </w:rPr>
              <w:t>可能成因</w:t>
            </w:r>
          </w:p>
        </w:tc>
        <w:tc>
          <w:tcPr>
            <w:tcW w:w="0" w:type="auto"/>
            <w:vAlign w:val="center"/>
          </w:tcPr>
          <w:p w14:paraId="08B458B5">
            <w:pPr>
              <w:jc w:val="center"/>
              <w:rPr>
                <w:b/>
              </w:rPr>
            </w:pPr>
            <w:r>
              <w:rPr>
                <w:b/>
              </w:rPr>
              <w:t>排查步骤</w:t>
            </w:r>
          </w:p>
        </w:tc>
        <w:tc>
          <w:tcPr>
            <w:tcW w:w="0" w:type="auto"/>
            <w:vAlign w:val="center"/>
          </w:tcPr>
          <w:p w14:paraId="3C0E9C72">
            <w:pPr>
              <w:jc w:val="center"/>
              <w:rPr>
                <w:b/>
              </w:rPr>
            </w:pPr>
            <w:r>
              <w:rPr>
                <w:b/>
              </w:rPr>
              <w:t>解决措施</w:t>
            </w:r>
          </w:p>
        </w:tc>
      </w:tr>
      <w:tr w14:paraId="5647A3A8">
        <w:tblPrEx>
          <w:tblCellMar>
            <w:top w:w="0" w:type="dxa"/>
            <w:left w:w="0" w:type="dxa"/>
            <w:bottom w:w="0" w:type="dxa"/>
            <w:right w:w="0" w:type="dxa"/>
          </w:tblCellMar>
        </w:tblPrEx>
        <w:tc>
          <w:tcPr>
            <w:tcW w:w="0" w:type="auto"/>
            <w:vAlign w:val="center"/>
          </w:tcPr>
          <w:p w14:paraId="793CC199">
            <w:r>
              <w:t>E001</w:t>
            </w:r>
          </w:p>
        </w:tc>
        <w:tc>
          <w:tcPr>
            <w:tcW w:w="0" w:type="auto"/>
            <w:vAlign w:val="center"/>
          </w:tcPr>
          <w:p w14:paraId="671083DA">
            <w:r>
              <w:t>机械</w:t>
            </w:r>
          </w:p>
        </w:tc>
        <w:tc>
          <w:tcPr>
            <w:tcW w:w="0" w:type="auto"/>
            <w:vAlign w:val="center"/>
          </w:tcPr>
          <w:p w14:paraId="5008E44E">
            <w:r>
              <w:t>轴超程</w:t>
            </w:r>
          </w:p>
        </w:tc>
        <w:tc>
          <w:tcPr>
            <w:tcW w:w="0" w:type="auto"/>
            <w:vAlign w:val="center"/>
          </w:tcPr>
          <w:p w14:paraId="52925918">
            <w:r>
              <w:t>软限位参数设置错误，或原点开关故障</w:t>
            </w:r>
          </w:p>
        </w:tc>
        <w:tc>
          <w:tcPr>
            <w:tcW w:w="0" w:type="auto"/>
            <w:vAlign w:val="center"/>
          </w:tcPr>
          <w:p w14:paraId="3713CB0B">
            <w:r>
              <w:t>检查软限位坐标值，测试原点开关信号</w:t>
            </w:r>
          </w:p>
        </w:tc>
        <w:tc>
          <w:tcPr>
            <w:tcW w:w="0" w:type="auto"/>
            <w:vAlign w:val="center"/>
          </w:tcPr>
          <w:p w14:paraId="0CAC2FA9">
            <w:r>
              <w:t>重新设置软限位，更换原点开关</w:t>
            </w:r>
          </w:p>
        </w:tc>
      </w:tr>
      <w:tr w14:paraId="48FFA4C1">
        <w:tblPrEx>
          <w:tblCellMar>
            <w:top w:w="0" w:type="dxa"/>
            <w:left w:w="0" w:type="dxa"/>
            <w:bottom w:w="0" w:type="dxa"/>
            <w:right w:w="0" w:type="dxa"/>
          </w:tblCellMar>
        </w:tblPrEx>
        <w:tc>
          <w:tcPr>
            <w:tcW w:w="0" w:type="auto"/>
            <w:vAlign w:val="center"/>
          </w:tcPr>
          <w:p w14:paraId="7F5B8AA8">
            <w:r>
              <w:t>E024</w:t>
            </w:r>
          </w:p>
        </w:tc>
        <w:tc>
          <w:tcPr>
            <w:tcW w:w="0" w:type="auto"/>
            <w:vAlign w:val="center"/>
          </w:tcPr>
          <w:p w14:paraId="69D04A04">
            <w:r>
              <w:t>电气</w:t>
            </w:r>
          </w:p>
        </w:tc>
        <w:tc>
          <w:tcPr>
            <w:tcW w:w="0" w:type="auto"/>
            <w:vAlign w:val="center"/>
          </w:tcPr>
          <w:p w14:paraId="62415017">
            <w:r>
              <w:t>伺服电机过载</w:t>
            </w:r>
          </w:p>
        </w:tc>
        <w:tc>
          <w:tcPr>
            <w:tcW w:w="0" w:type="auto"/>
            <w:vAlign w:val="center"/>
          </w:tcPr>
          <w:p w14:paraId="43DD9671">
            <w:r>
              <w:t>负载过大，电机堵转，或驱动器参数设置不当</w:t>
            </w:r>
          </w:p>
        </w:tc>
        <w:tc>
          <w:tcPr>
            <w:tcW w:w="0" w:type="auto"/>
            <w:vAlign w:val="center"/>
          </w:tcPr>
          <w:p w14:paraId="47E8E1C8">
            <w:r>
              <w:t>测量电机电流，检查机械阻力，查看参数P2-01</w:t>
            </w:r>
          </w:p>
        </w:tc>
        <w:tc>
          <w:tcPr>
            <w:tcW w:w="0" w:type="auto"/>
            <w:vAlign w:val="center"/>
          </w:tcPr>
          <w:p w14:paraId="74140DDA">
            <w:r>
              <w:t>优化轨迹减小负载，调整电流限幅参数</w:t>
            </w:r>
          </w:p>
        </w:tc>
      </w:tr>
      <w:tr w14:paraId="5E17BED8">
        <w:tc>
          <w:tcPr>
            <w:tcW w:w="0" w:type="auto"/>
            <w:vAlign w:val="center"/>
          </w:tcPr>
          <w:p w14:paraId="4BD1F57F">
            <w:r>
              <w:t>E050</w:t>
            </w:r>
          </w:p>
        </w:tc>
        <w:tc>
          <w:tcPr>
            <w:tcW w:w="0" w:type="auto"/>
            <w:vAlign w:val="center"/>
          </w:tcPr>
          <w:p w14:paraId="3ED03C51">
            <w:r>
              <w:t>电气</w:t>
            </w:r>
          </w:p>
        </w:tc>
        <w:tc>
          <w:tcPr>
            <w:tcW w:w="0" w:type="auto"/>
            <w:vAlign w:val="center"/>
          </w:tcPr>
          <w:p w14:paraId="29CE5B21">
            <w:r>
              <w:t>编码器信号异常</w:t>
            </w:r>
          </w:p>
        </w:tc>
        <w:tc>
          <w:tcPr>
            <w:tcW w:w="0" w:type="auto"/>
            <w:vAlign w:val="center"/>
          </w:tcPr>
          <w:p w14:paraId="19C4FF85">
            <w:r>
              <w:t>编码器线缆断线，接头松动，或电磁干扰</w:t>
            </w:r>
          </w:p>
        </w:tc>
        <w:tc>
          <w:tcPr>
            <w:tcW w:w="0" w:type="auto"/>
            <w:vAlign w:val="center"/>
          </w:tcPr>
          <w:p w14:paraId="3407C83E">
            <w:r>
              <w:t>用示波器检测编码器信号，检查线缆屏蔽</w:t>
            </w:r>
          </w:p>
        </w:tc>
        <w:tc>
          <w:tcPr>
            <w:tcW w:w="0" w:type="auto"/>
            <w:vAlign w:val="center"/>
          </w:tcPr>
          <w:p w14:paraId="3BA95CF9">
            <w:r>
              <w:t>更换线缆，重新插拔接头，增加信号屏蔽</w:t>
            </w:r>
          </w:p>
        </w:tc>
      </w:tr>
      <w:tr w14:paraId="201BD3B0">
        <w:tblPrEx>
          <w:tblCellMar>
            <w:top w:w="0" w:type="dxa"/>
            <w:left w:w="0" w:type="dxa"/>
            <w:bottom w:w="0" w:type="dxa"/>
            <w:right w:w="0" w:type="dxa"/>
          </w:tblCellMar>
        </w:tblPrEx>
        <w:tc>
          <w:tcPr>
            <w:tcW w:w="0" w:type="auto"/>
            <w:vAlign w:val="center"/>
          </w:tcPr>
          <w:p w14:paraId="5537C9FF">
            <w:r>
              <w:t>E108</w:t>
            </w:r>
          </w:p>
        </w:tc>
        <w:tc>
          <w:tcPr>
            <w:tcW w:w="0" w:type="auto"/>
            <w:vAlign w:val="center"/>
          </w:tcPr>
          <w:p w14:paraId="6F2FCDEC">
            <w:r>
              <w:t>控制</w:t>
            </w:r>
          </w:p>
        </w:tc>
        <w:tc>
          <w:tcPr>
            <w:tcW w:w="0" w:type="auto"/>
            <w:vAlign w:val="center"/>
          </w:tcPr>
          <w:p w14:paraId="32A0C2FB">
            <w:r>
              <w:t>位置偏差过大</w:t>
            </w:r>
          </w:p>
        </w:tc>
        <w:tc>
          <w:tcPr>
            <w:tcW w:w="0" w:type="auto"/>
            <w:vAlign w:val="center"/>
          </w:tcPr>
          <w:p w14:paraId="42AF7C27">
            <w:r>
              <w:t>伺服增益过低，机械传动间隙大，或负载突变</w:t>
            </w:r>
          </w:p>
        </w:tc>
        <w:tc>
          <w:tcPr>
            <w:tcW w:w="0" w:type="auto"/>
            <w:vAlign w:val="center"/>
          </w:tcPr>
          <w:p w14:paraId="3881AE52">
            <w:r>
              <w:t>监控位置偏差曲线，测量传动间隙</w:t>
            </w:r>
          </w:p>
        </w:tc>
        <w:tc>
          <w:tcPr>
            <w:tcW w:w="0" w:type="auto"/>
            <w:vAlign w:val="center"/>
          </w:tcPr>
          <w:p w14:paraId="69E46F7C">
            <w:r>
              <w:t>优化PID参数，调整传动预紧，检查负载状况</w:t>
            </w:r>
          </w:p>
        </w:tc>
      </w:tr>
      <w:tr w14:paraId="43C0E0B7">
        <w:tblPrEx>
          <w:tblCellMar>
            <w:top w:w="0" w:type="dxa"/>
            <w:left w:w="0" w:type="dxa"/>
            <w:bottom w:w="0" w:type="dxa"/>
            <w:right w:w="0" w:type="dxa"/>
          </w:tblCellMar>
        </w:tblPrEx>
        <w:tc>
          <w:tcPr>
            <w:tcW w:w="0" w:type="auto"/>
            <w:vAlign w:val="center"/>
          </w:tcPr>
          <w:p w14:paraId="3F4DFC41">
            <w:r>
              <w:t>E201</w:t>
            </w:r>
          </w:p>
        </w:tc>
        <w:tc>
          <w:tcPr>
            <w:tcW w:w="0" w:type="auto"/>
            <w:vAlign w:val="center"/>
          </w:tcPr>
          <w:p w14:paraId="28918F22">
            <w:r>
              <w:t>控制</w:t>
            </w:r>
          </w:p>
        </w:tc>
        <w:tc>
          <w:tcPr>
            <w:tcW w:w="0" w:type="auto"/>
            <w:vAlign w:val="center"/>
          </w:tcPr>
          <w:p w14:paraId="03F22CF8">
            <w:r>
              <w:t>程序逻辑错误</w:t>
            </w:r>
          </w:p>
        </w:tc>
        <w:tc>
          <w:tcPr>
            <w:tcW w:w="0" w:type="auto"/>
            <w:vAlign w:val="center"/>
          </w:tcPr>
          <w:p w14:paraId="7A188E3E">
            <w:r>
              <w:t>条件跳转指令不满足，或数组越界</w:t>
            </w:r>
          </w:p>
        </w:tc>
        <w:tc>
          <w:tcPr>
            <w:tcW w:w="0" w:type="auto"/>
            <w:vAlign w:val="center"/>
          </w:tcPr>
          <w:p w14:paraId="0766DAE7">
            <w:r>
              <w:t>在线监控程序执行步骤，检查变量值</w:t>
            </w:r>
          </w:p>
        </w:tc>
        <w:tc>
          <w:tcPr>
            <w:tcW w:w="0" w:type="auto"/>
            <w:vAlign w:val="center"/>
          </w:tcPr>
          <w:p w14:paraId="12C90D9E">
            <w:r>
              <w:t>修改程序逻辑，修正数组索引范围</w:t>
            </w:r>
          </w:p>
        </w:tc>
      </w:tr>
      <w:tr w14:paraId="7274895C">
        <w:tblPrEx>
          <w:tblCellMar>
            <w:top w:w="0" w:type="dxa"/>
            <w:left w:w="0" w:type="dxa"/>
            <w:bottom w:w="0" w:type="dxa"/>
            <w:right w:w="0" w:type="dxa"/>
          </w:tblCellMar>
        </w:tblPrEx>
        <w:tc>
          <w:tcPr>
            <w:tcW w:w="0" w:type="auto"/>
            <w:vAlign w:val="center"/>
          </w:tcPr>
          <w:p w14:paraId="6526036B">
            <w:r>
              <w:t>E302</w:t>
            </w:r>
          </w:p>
        </w:tc>
        <w:tc>
          <w:tcPr>
            <w:tcW w:w="0" w:type="auto"/>
            <w:vAlign w:val="center"/>
          </w:tcPr>
          <w:p w14:paraId="53C80031">
            <w:r>
              <w:t>传感器</w:t>
            </w:r>
          </w:p>
        </w:tc>
        <w:tc>
          <w:tcPr>
            <w:tcW w:w="0" w:type="auto"/>
            <w:vAlign w:val="center"/>
          </w:tcPr>
          <w:p w14:paraId="022F7CFE">
            <w:r>
              <w:t>真空度不足</w:t>
            </w:r>
          </w:p>
        </w:tc>
        <w:tc>
          <w:tcPr>
            <w:tcW w:w="0" w:type="auto"/>
            <w:vAlign w:val="center"/>
          </w:tcPr>
          <w:p w14:paraId="5F492B0C">
            <w:r>
              <w:t>吸盘泄漏，真空发生器故障，或气源压力低</w:t>
            </w:r>
          </w:p>
        </w:tc>
        <w:tc>
          <w:tcPr>
            <w:tcW w:w="0" w:type="auto"/>
            <w:vAlign w:val="center"/>
          </w:tcPr>
          <w:p w14:paraId="4388D41B">
            <w:r>
              <w:t>检测真空压力曲线，检查吸盘密封性</w:t>
            </w:r>
          </w:p>
        </w:tc>
        <w:tc>
          <w:tcPr>
            <w:tcW w:w="0" w:type="auto"/>
            <w:vAlign w:val="center"/>
          </w:tcPr>
          <w:p w14:paraId="4FB726AC">
            <w:r>
              <w:t>更换吸盘，维修真空发生器，调整气源压力</w:t>
            </w:r>
          </w:p>
        </w:tc>
      </w:tr>
      <w:tr w14:paraId="7A6EB963">
        <w:tc>
          <w:tcPr>
            <w:tcW w:w="0" w:type="auto"/>
            <w:vAlign w:val="center"/>
          </w:tcPr>
          <w:p w14:paraId="78F1F1CE">
            <w:r>
              <w:t>0x0505</w:t>
            </w:r>
          </w:p>
        </w:tc>
        <w:tc>
          <w:tcPr>
            <w:tcW w:w="0" w:type="auto"/>
            <w:vAlign w:val="center"/>
          </w:tcPr>
          <w:p w14:paraId="0035D55D">
            <w:r>
              <w:t>通信</w:t>
            </w:r>
          </w:p>
        </w:tc>
        <w:tc>
          <w:tcPr>
            <w:tcW w:w="0" w:type="auto"/>
            <w:vAlign w:val="center"/>
          </w:tcPr>
          <w:p w14:paraId="50A67EE7">
            <w:r>
              <w:t>EtherCAT总线错误</w:t>
            </w:r>
          </w:p>
        </w:tc>
        <w:tc>
          <w:tcPr>
            <w:tcW w:w="0" w:type="auto"/>
            <w:vAlign w:val="center"/>
          </w:tcPr>
          <w:p w14:paraId="0D02CCF3">
            <w:r>
              <w:t>网线故障，节点地址冲突，或从站设备故障</w:t>
            </w:r>
          </w:p>
        </w:tc>
        <w:tc>
          <w:tcPr>
            <w:tcW w:w="0" w:type="auto"/>
            <w:vAlign w:val="center"/>
          </w:tcPr>
          <w:p w14:paraId="5E634A6B">
            <w:r>
              <w:t>检查总线拓扑，用诊断工具扫描节点状态</w:t>
            </w:r>
          </w:p>
        </w:tc>
        <w:tc>
          <w:tcPr>
            <w:tcW w:w="0" w:type="auto"/>
            <w:vAlign w:val="center"/>
          </w:tcPr>
          <w:p w14:paraId="5159AAC4">
            <w:r>
              <w:t>更换网线，重新分配节点地址，复位从站设备</w:t>
            </w:r>
          </w:p>
        </w:tc>
      </w:tr>
    </w:tbl>
    <w:p w14:paraId="04CA874D">
      <w:pPr>
        <w:pStyle w:val="4"/>
      </w:pPr>
      <w:r>
        <w:t>7.4 维护保养流程图</w:t>
      </w:r>
    </w:p>
    <w:p w14:paraId="7989540B">
      <w:r>
        <w:t>维护保养流程包括：日常检查流程图，步骤为“开机前准备→机械结构检查→气动系统检查→电气系统检查→功能测试→正常开机/故障处理”；周维护流程图，包含“清洁→润滑→紧固→参数检查→记录”五个环节；减速器换油流程图，详细说明“放油→清洗→加注新油→油位检查→试运行”步骤；编码器校准流程图，步骤为“进入校准模式→触发校准信号→移动至基准点→保存参数→验证精度”。各流程图在《机械臂维护保养手册》中有详细图示，操作人员需按流程执行并签字确认。</w:t>
      </w:r>
    </w:p>
    <w:p w14:paraId="0130DEF3">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F2FCE08"/>
    <w:rsid w:val="F3EB132D"/>
    <w:rsid w:val="FEF70171"/>
    <w:rsid w:val="FFCF89A2"/>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2025-10-05T17:04:06Z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0C2C020884E0B0FA8634E2684ECB9ADC_43</vt:lpwstr>
  </property>
  <property fmtid="{D5CDD505-2E9C-101B-9397-08002B2CF9AE}" pid="4" name="KSOTemplateDocerSaveRecord">
    <vt:lpwstr>eyJoZGlkIjoiNzI4YmNmYThhZjA0NTVhODllNDhjMGZiNmFkMDJjN2YiLCJ1c2VySWQiOiIxNjA5OTI0MDI0In0=</vt:lpwstr>
  </property>
</Properties>
</file>