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0FF51">
      <w:pPr>
        <w:pStyle w:val="2"/>
      </w:pPr>
    </w:p>
    <w:p w14:paraId="1DCAE78C">
      <w:pPr>
        <w:pStyle w:val="2"/>
      </w:pPr>
      <w:r>
        <w:t>变压器铁芯集送线技术手册与故障分析指南</w:t>
      </w:r>
    </w:p>
    <w:p w14:paraId="23669746">
      <w:pPr>
        <w:pStyle w:val="3"/>
      </w:pPr>
      <w:r>
        <w:t>一、概述</w:t>
      </w:r>
    </w:p>
    <w:p w14:paraId="73455217">
      <w:pPr>
        <w:pStyle w:val="4"/>
      </w:pPr>
      <w:r>
        <w:t>1.1 变压器铁芯集送线的定义与应用场景</w:t>
      </w:r>
    </w:p>
    <w:p w14:paraId="339AAAFB">
      <w:r>
        <w:t>变压器铁芯集送线是连接变压器铁芯生产各工序的自动化物料流转设备，通过送料、输送、转运、定位等系统的协同工作，实现硅钢片从储料区到叠装台、成品铁芯从叠装区到检测/下一工序的全程自动化输送。其核心功能是解决人工转运效率低、硅钢片易损伤、定位误差大等问题，是变压器智能制造的关键纽带设备。</w:t>
      </w:r>
    </w:p>
    <w:p w14:paraId="249DFBE4">
      <w:r>
        <w:t>基本组成包括送料与储料系统（多工位储料架、转运料车、分片装置）、输送与转运机构（链式输送轨道、往复式转运小车、翻转机构）、定位与导向装置（激光轮廓传感器、编码器、机械限位）及控制系统（PLC、伺服驱动、人机交互界面）。</w:t>
      </w:r>
    </w:p>
    <w:p w14:paraId="0F493EDF">
      <w:r>
        <w:t>在电力变压器生产中，集送线实现硅钢片从原材料库到叠装工位的精准配送，国家电网某生产基地应用案例显示，其将单台铁芯的物料流转时间从人工转运的20分钟缩短至3分钟，定位误差从±1mm降至±0.1mm，硅钢片表面划伤率从8%降至0.5%。新能源领域中，风电变压器铁芯通过集送线的多路径调度功能，实现“剪片-叠装-检测”工序的无缝衔接，生产节拍提升40%。特种变压器生产中，如轨道交通牵引变压器铁芯（重量500-1000kg）需抗振动输送，集送线的缓冲机构可将输送冲击加速度控制在0.3g以内，满足铁芯磁性能稳定性要求。</w:t>
      </w:r>
    </w:p>
    <w:p w14:paraId="4531129D">
      <w:pPr>
        <w:pStyle w:val="4"/>
      </w:pPr>
      <w:r>
        <w:t>1.2 集送线分类与技术特点</w:t>
      </w:r>
    </w:p>
    <w:p w14:paraId="4B2AF08E">
      <w:pPr>
        <w:pStyle w:val="5"/>
      </w:pPr>
      <w:r>
        <w:t>按自动化程度分类</w:t>
      </w:r>
    </w:p>
    <w:p w14:paraId="5AD99C2B">
      <w:pPr>
        <w:numPr>
          <w:ilvl w:val="0"/>
          <w:numId w:val="13"/>
        </w:numPr>
        <w:spacing w:before="0" w:beforeAutospacing="1" w:after="0" w:afterAutospacing="1"/>
        <w:ind w:left="720" w:hanging="360"/>
      </w:pPr>
      <w:r>
        <w:rPr>
          <w:b/>
        </w:rPr>
        <w:t>半自动集送线</w:t>
      </w:r>
      <w:r>
        <w:t>：人工辅助上料（硅钢片料柱需人工吊装至储料架），机械完成输送与定位。配置基础传感器（光电开关、接近开关），定位精度±0.5mm，输送速度0.3-0.8m/s，负载能力≤500kg/工位。适用于中小批量多品种生产（如年产能＜5000台配电变压器），投资成本约为全自动线的60%，换型时间＜15分钟。</w:t>
      </w:r>
    </w:p>
    <w:p w14:paraId="330B9B53">
      <w:pPr>
        <w:numPr>
          <w:ilvl w:val="0"/>
          <w:numId w:val="13"/>
        </w:numPr>
        <w:spacing w:before="0" w:beforeAutospacing="1" w:after="0" w:afterAutospacing="1"/>
        <w:ind w:left="720" w:hanging="360"/>
      </w:pPr>
      <w:r>
        <w:rPr>
          <w:b/>
        </w:rPr>
        <w:t>全自动集送线</w:t>
      </w:r>
      <w:r>
        <w:t>：集成RFID物料识别、智能调度系统，实现无人化生产。配置激光定位、多轴伺服驱动，定位精度±0.1mm，输送速度0.5-1.5m/s，负载能力50-2000kg/工位。支持多路径规划（如“紧急品优先输送”“最短路径算法”），适用于大规模标准化生产（如年产能＞10000台电力变压器），但维护成本较高（年维护费用约为设备原值的3%-5%）。</w:t>
      </w:r>
    </w:p>
    <w:p w14:paraId="26B35443">
      <w:pPr>
        <w:pStyle w:val="5"/>
      </w:pPr>
      <w:r>
        <w:t>按输送方式分类</w:t>
      </w:r>
    </w:p>
    <w:p w14:paraId="0BD14E85">
      <w:pPr>
        <w:numPr>
          <w:ilvl w:val="0"/>
          <w:numId w:val="14"/>
        </w:numPr>
        <w:spacing w:before="0" w:beforeAutospacing="1" w:after="0" w:afterAutospacing="1"/>
        <w:ind w:left="720" w:hanging="360"/>
      </w:pPr>
      <w:r>
        <w:rPr>
          <w:b/>
        </w:rPr>
        <w:t>链式输送</w:t>
      </w:r>
      <w:r>
        <w:t>：采用滚子链（如16A节距25.4mm）传动，承载能力强（单链可承重1000kg/m），适应恶劣环境（多尘、温差大），但运行噪音较高（＞75dB），需定期张紧维护。</w:t>
      </w:r>
    </w:p>
    <w:p w14:paraId="5523B2FC">
      <w:pPr>
        <w:numPr>
          <w:ilvl w:val="0"/>
          <w:numId w:val="14"/>
        </w:numPr>
        <w:spacing w:before="0" w:beforeAutospacing="1" w:after="0" w:afterAutospacing="1"/>
        <w:ind w:left="720" w:hanging="360"/>
      </w:pPr>
      <w:r>
        <w:rPr>
          <w:b/>
        </w:rPr>
        <w:t>辊道输送</w:t>
      </w:r>
      <w:r>
        <w:t>：通过动力辊筒（直径50-80mm）输送，运行平稳（振动加速度＜0.2g），噪音低（＜65dB），但对地面平整度要求高（安装面平面度≤0.1mm/m），维护成本高于链式输送。</w:t>
      </w:r>
    </w:p>
    <w:p w14:paraId="61DBE047">
      <w:pPr>
        <w:numPr>
          <w:ilvl w:val="0"/>
          <w:numId w:val="14"/>
        </w:numPr>
        <w:spacing w:before="0" w:beforeAutospacing="1" w:after="0" w:afterAutospacing="1"/>
        <w:ind w:left="720" w:hanging="360"/>
      </w:pPr>
      <w:r>
        <w:rPr>
          <w:b/>
        </w:rPr>
        <w:t>悬挂输送</w:t>
      </w:r>
      <w:r>
        <w:t>：通过空中轨道与小车实现立体输送，节省地面空间，适用于长距离转运（如跨车间输送），但负载能力有限（单小车≤300kg），定位精度较低（±1mm）。</w:t>
      </w:r>
    </w:p>
    <w:p w14:paraId="13664661">
      <w:pPr>
        <w:pStyle w:val="5"/>
      </w:pPr>
      <w:r>
        <w:t>技术特点</w:t>
      </w:r>
    </w:p>
    <w:p w14:paraId="7BE68BF8">
      <w:pPr>
        <w:numPr>
          <w:ilvl w:val="0"/>
          <w:numId w:val="15"/>
        </w:numPr>
        <w:spacing w:before="0" w:beforeAutospacing="1" w:after="0" w:afterAutospacing="1"/>
        <w:ind w:left="720" w:hanging="360"/>
      </w:pPr>
      <w:r>
        <w:rPr>
          <w:b/>
        </w:rPr>
        <w:t>模块化设计</w:t>
      </w:r>
      <w:r>
        <w:t>：各子系统（送料、输送、转运）独立成模块，可根据产能需求灵活组合（如2条储料线+1条主输送线），扩展性强。</w:t>
      </w:r>
    </w:p>
    <w:p w14:paraId="541B4273">
      <w:pPr>
        <w:numPr>
          <w:ilvl w:val="0"/>
          <w:numId w:val="15"/>
        </w:numPr>
        <w:spacing w:before="0" w:beforeAutospacing="1" w:after="0" w:afterAutospacing="1"/>
        <w:ind w:left="720" w:hanging="360"/>
      </w:pPr>
      <w:r>
        <w:rPr>
          <w:b/>
        </w:rPr>
        <w:t>高兼容性</w:t>
      </w:r>
      <w:r>
        <w:t>：适应不同规格铁芯（宽度50-500mm，高度100-1500mm），换型时通过HMI修改参数即可，无需机械调整。</w:t>
      </w:r>
    </w:p>
    <w:p w14:paraId="52AC0B35">
      <w:pPr>
        <w:numPr>
          <w:ilvl w:val="0"/>
          <w:numId w:val="15"/>
        </w:numPr>
        <w:spacing w:before="0" w:beforeAutospacing="1" w:after="0" w:afterAutospacing="1"/>
        <w:ind w:left="720" w:hanging="360"/>
      </w:pPr>
      <w:r>
        <w:rPr>
          <w:b/>
        </w:rPr>
        <w:t>安全联锁</w:t>
      </w:r>
      <w:r>
        <w:t>：配备安全光幕（响应时间≤10ms）、急停按钮（每5m设置1个）、过载保护（电机电流＞1.2倍额定值时停机），符合GB/T 23821-2022机械安全标准。</w:t>
      </w:r>
    </w:p>
    <w:p w14:paraId="101E0CF7">
      <w:pPr>
        <w:pStyle w:val="4"/>
      </w:pPr>
      <w:r>
        <w:t>1.3 手册使用说明与安全警示</w:t>
      </w:r>
    </w:p>
    <w:p w14:paraId="0C0550ED">
      <w:pPr>
        <w:pStyle w:val="5"/>
      </w:pPr>
      <w:r>
        <w:t>手册使用对象与方法</w:t>
      </w:r>
    </w:p>
    <w:p w14:paraId="3F8B45C7">
      <w:r>
        <w:t>本手册供设备工程师、维护技术人员使用，需具备机械传动、电气控制基础知识。安装调试阶段重点阅读第二章（结构组成）、第四章（控制系统）；日常操作参考第五章（故障诊断）、第六章（维护保养）；故障排查查阅第五章；选型改造参考第七章（技术参数与选型）。建议建立“设备运行档案”，记录实际参数与标准值偏差，形成适配特定工况的管理方案。</w:t>
      </w:r>
    </w:p>
    <w:p w14:paraId="507754FB">
      <w:pPr>
        <w:pStyle w:val="5"/>
      </w:pPr>
      <w:r>
        <w:t>安全警示</w:t>
      </w:r>
    </w:p>
    <w:p w14:paraId="7F79903A">
      <w:pPr>
        <w:numPr>
          <w:ilvl w:val="0"/>
          <w:numId w:val="16"/>
        </w:numPr>
        <w:spacing w:before="0" w:beforeAutospacing="1" w:after="0" w:afterAutospacing="1"/>
        <w:ind w:left="720" w:hanging="360"/>
      </w:pPr>
      <w:r>
        <w:rPr>
          <w:b/>
        </w:rPr>
        <w:t>机械运动防护</w:t>
      </w:r>
      <w:r>
        <w:t>：输送轨道、转运小车等运动部件周围2米内严禁站人，防护栏（高度≥1.2m）、安全光幕必须保持完好，打开防护门时系统必须立即停机并锁定轴系。</w:t>
      </w:r>
    </w:p>
    <w:p w14:paraId="6BAAAC54">
      <w:pPr>
        <w:numPr>
          <w:ilvl w:val="0"/>
          <w:numId w:val="16"/>
        </w:numPr>
        <w:spacing w:before="0" w:beforeAutospacing="1" w:after="0" w:afterAutospacing="1"/>
        <w:ind w:left="720" w:hanging="360"/>
      </w:pPr>
      <w:r>
        <w:rPr>
          <w:b/>
        </w:rPr>
        <w:t>电气安全</w:t>
      </w:r>
      <w:r>
        <w:t>：系统需可靠接地（接地电阻≤4Ω），动力线（YJV-3×4mm²）与控制线（RVV-2×1.5mm²）分开敷设，间距≥150mm。检查线路前必须切断主电源，并用验电器确认断电。</w:t>
      </w:r>
    </w:p>
    <w:p w14:paraId="3DD2D608">
      <w:pPr>
        <w:numPr>
          <w:ilvl w:val="0"/>
          <w:numId w:val="16"/>
        </w:numPr>
        <w:spacing w:before="0" w:beforeAutospacing="1" w:after="0" w:afterAutospacing="1"/>
        <w:ind w:left="720" w:hanging="360"/>
      </w:pPr>
      <w:r>
        <w:rPr>
          <w:b/>
        </w:rPr>
        <w:t>负载限制</w:t>
      </w:r>
      <w:r>
        <w:t>：额定负载包含铁芯自重与工装重量，实际负载不得超过额定值，短期峰值负载≤120%额定负载。超载会导致链条断裂、轨道变形，甚至引发设备倾覆。</w:t>
      </w:r>
    </w:p>
    <w:p w14:paraId="4D171F70">
      <w:pPr>
        <w:numPr>
          <w:ilvl w:val="0"/>
          <w:numId w:val="16"/>
        </w:numPr>
        <w:spacing w:before="0" w:beforeAutospacing="1" w:after="0" w:afterAutospacing="1"/>
        <w:ind w:left="720" w:hanging="360"/>
      </w:pPr>
      <w:r>
        <w:rPr>
          <w:b/>
        </w:rPr>
        <w:t>紧急处理</w:t>
      </w:r>
      <w:r>
        <w:t>：运行中出现异响（＞85dB）、剧烈振动（振幅＞0.1mm）或报警代码时，立即按下急停按钮（红色蘑菇头按钮，安装高度1.2-1.5m），切断所有动力源。待设备停稳（≥30秒）后检查，排除故障前禁止复位急停。</w:t>
      </w:r>
    </w:p>
    <w:p w14:paraId="3F8C495A">
      <w:pPr>
        <w:pStyle w:val="3"/>
      </w:pPr>
      <w:r>
        <w:t>二、结构组成与功能特性</w:t>
      </w:r>
    </w:p>
    <w:p w14:paraId="629E47CD">
      <w:pPr>
        <w:pStyle w:val="4"/>
      </w:pPr>
      <w:r>
        <w:t>2.1 送料与储料系统</w:t>
      </w:r>
    </w:p>
    <w:p w14:paraId="75946181">
      <w:pPr>
        <w:pStyle w:val="5"/>
      </w:pPr>
      <w:r>
        <w:t>多工位储料架</w:t>
      </w:r>
    </w:p>
    <w:p w14:paraId="674343C7">
      <w:r>
        <w:t>采用Q235型钢焊接框架结构，配置5-8个储料工位，每个工位可存放高度1.2-1.5m、直径≤800mm的硅钢片料柱。工位两侧安装光电传感器（欧姆龙E3Z系列），实时检测料柱有无，当料柱高度＜200mm时，HMI自动提示“补料”并显示工位编号。底部铺设20号导轨（直线度≤0.05mm/m），配合转运料车实现料柱横向移动，轨道间距根据料柱直径设计（通常800-1000mm）。</w:t>
      </w:r>
    </w:p>
    <w:p w14:paraId="273C0A17">
      <w:pPr>
        <w:pStyle w:val="5"/>
      </w:pPr>
      <w:r>
        <w:t>转运料车</w:t>
      </w:r>
    </w:p>
    <w:p w14:paraId="4B5D9534">
      <w:r>
        <w:t>由伺服电机（功率0.75kW）驱动齿轮齿条传动，承载平台配置V型定位块（与料柱外圆间隙2-3mm）和气动夹紧装置（夹紧力500-800N），防止料柱倾倒。料车安装RFID读卡器，可识别料柱规格（与储料架工位一一对应），自动将指定料柱推送至分片装置上料位，推送速度0.5m/s，定位精度±2mm，推送时间≤30秒/次。</w:t>
      </w:r>
    </w:p>
    <w:p w14:paraId="2B5CA113">
      <w:pPr>
        <w:pStyle w:val="5"/>
      </w:pPr>
      <w:r>
        <w:t>分片装置</w:t>
      </w:r>
    </w:p>
    <w:p w14:paraId="545AF459">
      <w:r>
        <w:t>用于将料柱分离为单片硅钢片，主要由送料辊（直径80mm，Cr12MoV淬火处理，表面网纹滚花）、分料挡板（厚度5mm，间距通过伺服电机调节，范围50-300mm）、真空吸盘（直径50mm，数量4-6个，负压-80~-90kPa）组成。工作时，送料辊将料柱逐层分离，分料挡板确保单片通过，真空吸盘吸取硅钢片后经纠偏平台（激光定位，偏差≤0.1mm）调整，送至输送轨道，分片速度8-12片/分钟，合格率≥99.5%。</w:t>
      </w:r>
    </w:p>
    <w:p w14:paraId="52F7303E">
      <w:pPr>
        <w:pStyle w:val="4"/>
      </w:pPr>
      <w:r>
        <w:t>2.2 输送与转运机构</w:t>
      </w:r>
    </w:p>
    <w:p w14:paraId="5CB434A1">
      <w:pPr>
        <w:pStyle w:val="5"/>
      </w:pPr>
      <w:r>
        <w:t>链式输送轨道</w:t>
      </w:r>
    </w:p>
    <w:p w14:paraId="4A8D54B7">
      <w:r>
        <w:t>采用双列滚子链（型号16A，节距25.4mm），由伺服电机（功率1.1kW）通过减速器（减速比10:1）驱动，运行速度0.2-0.5m/s。轨道两侧安装导向板（高度100mm，间距可调，调节范围50-500mm），防止铁芯偏移。轨道下方设张紧装置（手动调节螺杆），通过调整从动链轮位置控制链条张紧度，标准下垂量为中心距的2%-3%（如中心距2m时下垂40-60mm）。</w:t>
      </w:r>
    </w:p>
    <w:p w14:paraId="327D8284">
      <w:pPr>
        <w:pStyle w:val="5"/>
      </w:pPr>
      <w:r>
        <w:t>往复式转运小车</w:t>
      </w:r>
    </w:p>
    <w:p w14:paraId="4F45D691">
      <w:r>
        <w:t>用于铁芯在不同轨道间的跨线转运，主体为焊接框架结构（Q345钢，厚度12mm），台面铺设不锈钢板（平面度≤0.05mm/m）。X/Y轴采用伺服电机+滚珠丝杠传动（丝杠导程16mm，重复定位精度±0.01mm），Z轴（升降）配置剪叉式液压升降台（最大负载1500kg，行程500mm，通过编码器实时反馈高度，到位精度±1mm）。台面安装液压夹紧装置（夹紧力1500-2000N）和称重传感器（量程0-2000kg，精度±0.5%），确保铁芯转运平稳且可追溯。</w:t>
      </w:r>
    </w:p>
    <w:p w14:paraId="78CBDCD3">
      <w:pPr>
        <w:pStyle w:val="5"/>
      </w:pPr>
      <w:r>
        <w:t>翻转机构</w:t>
      </w:r>
    </w:p>
    <w:p w14:paraId="52C93499">
      <w:r>
        <w:t>用于调整铁芯姿态（如水平转垂直），由伺服电机（功率2.2kW）通过谐波减速器（传动比50:1）驱动，翻转角度0-180°可调，定位精度±0.5°，翻转时间15-20秒/次，最大负载1000kg。翻转架与铁芯接触部位铺设耐磨橡胶（厚度10mm，邵氏硬度60±5A），防止表面划伤，两侧设机械限位（翻转至极限位置前2°触发减速，机械挡块为最终防护）。</w:t>
      </w:r>
    </w:p>
    <w:p w14:paraId="004CAC4D">
      <w:pPr>
        <w:pStyle w:val="4"/>
      </w:pPr>
      <w:r>
        <w:t>2.3 定位与导向装置</w:t>
      </w:r>
    </w:p>
    <w:p w14:paraId="218D9CF3">
      <w:pPr>
        <w:pStyle w:val="5"/>
      </w:pPr>
      <w:r>
        <w:t>激光轮廓定位系统</w:t>
      </w:r>
    </w:p>
    <w:p w14:paraId="23191E33">
      <w:r>
        <w:t>采用基恩士LK-G5000激光轮廓传感器（扫描频率500Hz，分辨率±0.03mm），安装于输送轨道侧面，实时扫描铁芯边缘轮廓，获取X/Y方向偏差值（如Δx=0.08mm，Δy=-0.05mm），数据通过以太网传输至PLC，采样周期10ms。系统支持“三点校准法”，通过标准块（宽度100.00mm，精度±0.001mm）校准后，定位精度可达±0.03mm。</w:t>
      </w:r>
    </w:p>
    <w:p w14:paraId="317D1D6C">
      <w:pPr>
        <w:pStyle w:val="5"/>
      </w:pPr>
      <w:r>
        <w:t>编码器定位</w:t>
      </w:r>
    </w:p>
    <w:p w14:paraId="69A0A55A">
      <w:r>
        <w:t>输送轨道、转运小车各轴均配置编码器（倍加福RHI58N，13位分辨率），实时反馈位置信息，与PLC形成闭环控制。例如，输送轨道编码器每10ms向PLC发送位置数据，当铁芯接近目标工位时，PLC控制电机减速（速度从0.5m/s降至0.1m/s），确保停靠精度±0.1mm。</w:t>
      </w:r>
    </w:p>
    <w:p w14:paraId="6D9ECACB">
      <w:pPr>
        <w:pStyle w:val="5"/>
      </w:pPr>
      <w:r>
        <w:t>机械限位与导向</w:t>
      </w:r>
    </w:p>
    <w:p w14:paraId="5858B1C4">
      <w:r>
        <w:t>机械限位由定位销（φ20h6）与定位孔（H7）配合实现，间隙0.02-0.05mm，用于铁芯在叠装台、检测工位的最终定位；导向轮（材质MC尼龙，直径50mm）安装于轨道两侧，与铁芯间隙0.5-1mm，确保输送过程中无偏移，导向轮磨损量＞0.2mm时需更换。</w:t>
      </w:r>
    </w:p>
    <w:p w14:paraId="304339A1">
      <w:pPr>
        <w:pStyle w:val="4"/>
      </w:pPr>
      <w:r>
        <w:t>2.4 控制系统与传感器</w:t>
      </w:r>
    </w:p>
    <w:p w14:paraId="52F03741">
      <w:pPr>
        <w:pStyle w:val="5"/>
      </w:pPr>
      <w:r>
        <w:t>控制系统架构</w:t>
      </w:r>
    </w:p>
    <w:p w14:paraId="24D96DCE">
      <w:r>
        <w:t>采用分层控制架构：</w:t>
      </w:r>
    </w:p>
    <w:p w14:paraId="0C19A5A3">
      <w:pPr>
        <w:numPr>
          <w:ilvl w:val="0"/>
          <w:numId w:val="17"/>
        </w:numPr>
        <w:spacing w:before="0" w:beforeAutospacing="1" w:after="0" w:afterAutospacing="1"/>
        <w:ind w:left="720" w:hanging="360"/>
      </w:pPr>
      <w:r>
        <w:rPr>
          <w:b/>
        </w:rPr>
        <w:t>设备层</w:t>
      </w:r>
      <w:r>
        <w:t>：包括输送电机、转运小车、翻转机构等执行单元，通过伺服驱动器（西门子V90系列）实现运动控制；</w:t>
      </w:r>
    </w:p>
    <w:p w14:paraId="44072690">
      <w:pPr>
        <w:numPr>
          <w:ilvl w:val="0"/>
          <w:numId w:val="17"/>
        </w:numPr>
        <w:spacing w:before="0" w:beforeAutospacing="1" w:after="0" w:afterAutospacing="1"/>
        <w:ind w:left="720" w:hanging="360"/>
      </w:pPr>
      <w:r>
        <w:rPr>
          <w:b/>
        </w:rPr>
        <w:t>控制层</w:t>
      </w:r>
      <w:r>
        <w:t>：以PLC（西门子S7-1214C DC/DC/DC）为核心，通过PROFINET总线（传输速率100Mbps）连接伺服驱动器、传感器，支持200种以上工艺参数存储，调用响应时间≤0.5秒；</w:t>
      </w:r>
    </w:p>
    <w:p w14:paraId="530FC0CA">
      <w:pPr>
        <w:numPr>
          <w:ilvl w:val="0"/>
          <w:numId w:val="17"/>
        </w:numPr>
        <w:spacing w:before="0" w:beforeAutospacing="1" w:after="0" w:afterAutospacing="1"/>
        <w:ind w:left="720" w:hanging="360"/>
      </w:pPr>
      <w:r>
        <w:rPr>
          <w:b/>
        </w:rPr>
        <w:t>监控层</w:t>
      </w:r>
      <w:r>
        <w:t>：人机界面（威纶通MT8150iE）实现状态显示（当前工位、速度、故障代码）、参数设置（目标位置、加速度）、报警记录（近3个月故障信息）。</w:t>
      </w:r>
    </w:p>
    <w:p w14:paraId="451163CF">
      <w:pPr>
        <w:pStyle w:val="5"/>
      </w:pPr>
      <w:r>
        <w:t>传感器系统</w:t>
      </w:r>
    </w:p>
    <w:p w14:paraId="6706D4CA">
      <w:pPr>
        <w:numPr>
          <w:ilvl w:val="0"/>
          <w:numId w:val="18"/>
        </w:numPr>
        <w:spacing w:before="0" w:beforeAutospacing="1" w:after="0" w:afterAutospacing="1"/>
        <w:ind w:left="720" w:hanging="360"/>
      </w:pPr>
      <w:r>
        <w:rPr>
          <w:b/>
        </w:rPr>
        <w:t>接近开关</w:t>
      </w:r>
      <w:r>
        <w:t>：欧姆龙E3Z系列，检测距离5-30mm，用于料车到位、铁芯存在等状态检测；</w:t>
      </w:r>
    </w:p>
    <w:p w14:paraId="60C5E972">
      <w:pPr>
        <w:numPr>
          <w:ilvl w:val="0"/>
          <w:numId w:val="18"/>
        </w:numPr>
        <w:spacing w:before="0" w:beforeAutospacing="1" w:after="0" w:afterAutospacing="1"/>
        <w:ind w:left="720" w:hanging="360"/>
      </w:pPr>
      <w:r>
        <w:rPr>
          <w:b/>
        </w:rPr>
        <w:t>真空压力开关</w:t>
      </w:r>
      <w:r>
        <w:t>：SMC ZSE30A，设定值-80kPa，当真空吸盘负压＜-70kPa时报警，防止硅钢片脱落；</w:t>
      </w:r>
    </w:p>
    <w:p w14:paraId="40F1B9D1">
      <w:pPr>
        <w:numPr>
          <w:ilvl w:val="0"/>
          <w:numId w:val="18"/>
        </w:numPr>
        <w:spacing w:before="0" w:beforeAutospacing="1" w:after="0" w:afterAutospacing="1"/>
        <w:ind w:left="720" w:hanging="360"/>
      </w:pPr>
      <w:r>
        <w:rPr>
          <w:b/>
        </w:rPr>
        <w:t>电流传感器</w:t>
      </w:r>
      <w:r>
        <w:t>：检测伺服电机负载，过载阈值1.2倍额定电流，超过时切断电源；</w:t>
      </w:r>
    </w:p>
    <w:p w14:paraId="0BD7B751">
      <w:pPr>
        <w:numPr>
          <w:ilvl w:val="0"/>
          <w:numId w:val="18"/>
        </w:numPr>
        <w:spacing w:before="0" w:beforeAutospacing="1" w:after="0" w:afterAutospacing="1"/>
        <w:ind w:left="720" w:hanging="360"/>
      </w:pPr>
      <w:r>
        <w:rPr>
          <w:b/>
        </w:rPr>
        <w:t>红外温度传感器</w:t>
      </w:r>
      <w:r>
        <w:t>：检测铁芯温升，正常≤环境温度+30℃，异常时提示“检查散热”。</w:t>
      </w:r>
    </w:p>
    <w:p w14:paraId="10044049">
      <w:pPr>
        <w:pStyle w:val="3"/>
      </w:pPr>
      <w:r>
        <w:t>三、机械工作原理</w:t>
      </w:r>
    </w:p>
    <w:p w14:paraId="43D25128">
      <w:pPr>
        <w:pStyle w:val="4"/>
      </w:pPr>
      <w:r>
        <w:t>3.1 输送传动系统原理</w:t>
      </w:r>
    </w:p>
    <w:p w14:paraId="11DA0FF2">
      <w:pPr>
        <w:pStyle w:val="5"/>
      </w:pPr>
      <w:r>
        <w:t>链式输送轨道传动</w:t>
      </w:r>
    </w:p>
    <w:p w14:paraId="08B0133F">
      <w:r>
        <w:t>动力传递路径：伺服电机→减速器（i=10:1）→主动链轮（z1=17）→链条→从动链轮（z2=34）→轨道输送。传动比i=z2/z1=2，电机转速n1=1450r/min时，链条线速度v=πd1n1/(60i)=π×0.136m×1450/(60×2)≈0.51m/s（d1为主动链轮分度圆直径，d1=z1×节距/π=17×25.4/π≈136mm）。</w:t>
      </w:r>
    </w:p>
    <w:p w14:paraId="71AF5773">
      <w:r>
        <w:t>链条张紧通过调节从动链轮位置实现，张紧度以“下垂量为中心距的2%-3%”为标准（如中心距2m时下垂40-60mm）。过紧会导致轴承磨损加剧（寿命缩短30%），过松则可能跳齿（节距伸长量＞2%时需更换链条）。</w:t>
      </w:r>
    </w:p>
    <w:p w14:paraId="3209B272">
      <w:pPr>
        <w:pStyle w:val="5"/>
      </w:pPr>
      <w:r>
        <w:t>转运小车传动</w:t>
      </w:r>
    </w:p>
    <w:p w14:paraId="5DF735EC">
      <w:r>
        <w:t>X/Y轴移动采用伺服电机（功率1.5kW）+滚珠丝杠（导程16mm）传动，重复定位精度±0.01mm，最大速度1m/s，加速度2m/s²。驱动力计算：F=ma+μmg（m为小车+负载质量，a为加速度，μ为摩擦系数0.02），如m=500kg、a=2m/s²时，F=500×2+0.02×500×9.8≈1098N，对应电机扭矩T=F×d/2/i（d为丝杠直径，i为减速比），需≥理论值1.5倍安全系数。</w:t>
      </w:r>
    </w:p>
    <w:p w14:paraId="6E112C00">
      <w:r>
        <w:t>Z轴升降采用双液压油缸同步控制，通过节流阀调节两缸伸出速度（速度差≤0.05m/s），确保台面水平度≤0.1mm/m。油缸工作压力12-15MPa，由溢流阀限定，防止超载。</w:t>
      </w:r>
    </w:p>
    <w:p w14:paraId="0F71918E">
      <w:pPr>
        <w:pStyle w:val="4"/>
      </w:pPr>
      <w:r>
        <w:t>3.2 定位与转运协同原理</w:t>
      </w:r>
    </w:p>
    <w:p w14:paraId="75070C31">
      <w:pPr>
        <w:pStyle w:val="5"/>
      </w:pPr>
      <w:r>
        <w:t>定位流程</w:t>
      </w:r>
    </w:p>
    <w:p w14:paraId="1FC4480D">
      <w:r>
        <w:t>铁芯输送定位遵循“粗定位-精校准-锁紧”三步流程：</w:t>
      </w:r>
    </w:p>
    <w:p w14:paraId="35FD9C48">
      <w:pPr>
        <w:numPr>
          <w:ilvl w:val="0"/>
          <w:numId w:val="19"/>
        </w:numPr>
        <w:spacing w:before="0" w:beforeAutospacing="1" w:after="0" w:afterAutospacing="1"/>
        <w:ind w:left="720" w:hanging="360"/>
      </w:pPr>
      <w:r>
        <w:rPr>
          <w:b/>
        </w:rPr>
        <w:t>粗定位</w:t>
      </w:r>
      <w:r>
        <w:t>：铁芯随输送轨道运行至目标工位，接近开关检测到铁芯后，PLC控制电机减速，编码器反馈位置，停靠精度±0.5mm；</w:t>
      </w:r>
    </w:p>
    <w:p w14:paraId="4CF3F2F5">
      <w:pPr>
        <w:numPr>
          <w:ilvl w:val="0"/>
          <w:numId w:val="19"/>
        </w:numPr>
        <w:spacing w:before="0" w:beforeAutospacing="1" w:after="0" w:afterAutospacing="1"/>
        <w:ind w:left="720" w:hanging="360"/>
      </w:pPr>
      <w:r>
        <w:rPr>
          <w:b/>
        </w:rPr>
        <w:t>精校准</w:t>
      </w:r>
      <w:r>
        <w:t>：激光轮廓传感器扫描铁芯边缘，获取X/Y偏差值，PLC控制转运小车微调（X轴移动Δx，Y轴移动Δy），补偿偏差；</w:t>
      </w:r>
    </w:p>
    <w:p w14:paraId="5810CD7A">
      <w:pPr>
        <w:numPr>
          <w:ilvl w:val="0"/>
          <w:numId w:val="19"/>
        </w:numPr>
        <w:spacing w:before="0" w:beforeAutospacing="1" w:after="0" w:afterAutospacing="1"/>
        <w:ind w:left="720" w:hanging="360"/>
      </w:pPr>
      <w:r>
        <w:rPr>
          <w:b/>
        </w:rPr>
        <w:t>锁紧</w:t>
      </w:r>
      <w:r>
        <w:t>：校准完成后，真空吸附装置（负压-60kPa）启动，将铁芯吸附在台面上，同时定位销气缸伸出，插入定位孔，实现最终定位（精度±0.1mm）。</w:t>
      </w:r>
    </w:p>
    <w:p w14:paraId="4560D4AD">
      <w:pPr>
        <w:pStyle w:val="5"/>
      </w:pPr>
      <w:r>
        <w:t>多工位协同调度</w:t>
      </w:r>
    </w:p>
    <w:p w14:paraId="3DB78CEC">
      <w:r>
        <w:t>系统通过RFID识别铁芯型号（如“日”型500kVA、“E”型100kVA），PLC根据生产计划自动分配输送路径。例如，当叠装台1需要“日”型铁芯时，系统优先调度对应储料工位的料柱，并规划最短输送路径（避开其他工位拥堵）；紧急品（如试验用铁芯）可通过HMI设置“优先级别1”，系统暂停当前低优先级任务，优先输送紧急品，调度响应时间≤1秒。</w:t>
      </w:r>
    </w:p>
    <w:p w14:paraId="63A99892">
      <w:pPr>
        <w:pStyle w:val="4"/>
      </w:pPr>
      <w:r>
        <w:t>3.3 自动化流程逻辑</w:t>
      </w:r>
    </w:p>
    <w:p w14:paraId="0F9B9905">
      <w:pPr>
        <w:pStyle w:val="5"/>
      </w:pPr>
      <w:r>
        <w:t>标准工作流程</w:t>
      </w:r>
    </w:p>
    <w:p w14:paraId="79BFB7E7">
      <w:pPr>
        <w:numPr>
          <w:ilvl w:val="0"/>
          <w:numId w:val="20"/>
        </w:numPr>
        <w:spacing w:before="0" w:beforeAutospacing="1" w:after="0" w:afterAutospacing="1"/>
        <w:ind w:left="720" w:hanging="360"/>
      </w:pPr>
      <w:r>
        <w:rPr>
          <w:b/>
        </w:rPr>
        <w:t>上料阶段</w:t>
      </w:r>
      <w:r>
        <w:t>：操作人员在HMI选择铁芯型号，系统调用工艺参数（输送速度0.8m/s、目标工位、定位偏差阈值±0.1mm），PLC检测储料架对应工位料柱到位信号（光电传感器ON）、防护门关闭信号（行程开关闭合），所有条件满足后进入“就绪”状态；</w:t>
      </w:r>
    </w:p>
    <w:p w14:paraId="3F9477CA">
      <w:pPr>
        <w:numPr>
          <w:ilvl w:val="0"/>
          <w:numId w:val="20"/>
        </w:numPr>
        <w:spacing w:before="0" w:beforeAutospacing="1" w:after="0" w:afterAutospacing="1"/>
        <w:ind w:left="720" w:hanging="360"/>
      </w:pPr>
      <w:r>
        <w:rPr>
          <w:b/>
        </w:rPr>
        <w:t>输送阶段</w:t>
      </w:r>
      <w:r>
        <w:t>：转运料车将料柱推送至分片装置，分片后硅钢片经输送轨道送至叠装台，每片硅钢片到位后，激光传感器检测定位偏差，PLC实时补偿；</w:t>
      </w:r>
    </w:p>
    <w:p w14:paraId="54B1255D">
      <w:pPr>
        <w:numPr>
          <w:ilvl w:val="0"/>
          <w:numId w:val="20"/>
        </w:numPr>
        <w:spacing w:before="0" w:beforeAutospacing="1" w:after="0" w:afterAutospacing="1"/>
        <w:ind w:left="720" w:hanging="360"/>
      </w:pPr>
      <w:r>
        <w:rPr>
          <w:b/>
        </w:rPr>
        <w:t>成品转运</w:t>
      </w:r>
      <w:r>
        <w:t>：叠装完成的铁芯由转运小车抓取，经输送轨道送至检测工位，检测合格后输送至成品库，不合格品自动转入返修通道；</w:t>
      </w:r>
    </w:p>
    <w:p w14:paraId="79530FCF">
      <w:pPr>
        <w:numPr>
          <w:ilvl w:val="0"/>
          <w:numId w:val="20"/>
        </w:numPr>
        <w:spacing w:before="0" w:beforeAutospacing="1" w:after="0" w:afterAutospacing="1"/>
        <w:ind w:left="720" w:hanging="360"/>
      </w:pPr>
      <w:r>
        <w:rPr>
          <w:b/>
        </w:rPr>
        <w:t>异常处理</w:t>
      </w:r>
      <w:r>
        <w:t>：运行中若出现真空负压＜-70kPa（持续2秒）、输送卡顿（电机电流＞1.2倍额定值）等异常，系统立即停机并报警，HMI显示故障代码及排除指引。</w:t>
      </w:r>
    </w:p>
    <w:p w14:paraId="67BA5A45">
      <w:pPr>
        <w:pStyle w:val="3"/>
      </w:pPr>
      <w:r>
        <w:t>四、控制系统原理</w:t>
      </w:r>
    </w:p>
    <w:p w14:paraId="09911E25">
      <w:pPr>
        <w:pStyle w:val="4"/>
      </w:pPr>
      <w:r>
        <w:t>4.1 电气系统组成</w:t>
      </w:r>
    </w:p>
    <w:p w14:paraId="27CD3970">
      <w:pPr>
        <w:pStyle w:val="5"/>
      </w:pPr>
      <w:r>
        <w:t>动力回路</w:t>
      </w:r>
    </w:p>
    <w:p w14:paraId="3E795D82">
      <w:r>
        <w:t>采用380V三相五线制电源，主断路器（施耐德NSX系列，额定电流250A）控制总电源，下设分支回路：</w:t>
      </w:r>
    </w:p>
    <w:p w14:paraId="34FE91E4">
      <w:pPr>
        <w:numPr>
          <w:ilvl w:val="0"/>
          <w:numId w:val="21"/>
        </w:numPr>
        <w:spacing w:before="0" w:beforeAutospacing="1" w:after="0" w:afterAutospacing="1"/>
        <w:ind w:left="720" w:hanging="360"/>
      </w:pPr>
      <w:r>
        <w:rPr>
          <w:b/>
        </w:rPr>
        <w:t>输送电机回路</w:t>
      </w:r>
      <w:r>
        <w:t>：配置断路器（16A）、接触器（LC1D系列）、变频器（台达VFD-M，功率1.5kW），实现软启动（启动电流≤1.5倍额定值）、无级调速；</w:t>
      </w:r>
    </w:p>
    <w:p w14:paraId="60367BA4">
      <w:pPr>
        <w:numPr>
          <w:ilvl w:val="0"/>
          <w:numId w:val="21"/>
        </w:numPr>
        <w:spacing w:before="0" w:beforeAutospacing="1" w:after="0" w:afterAutospacing="1"/>
        <w:ind w:left="720" w:hanging="360"/>
      </w:pPr>
      <w:r>
        <w:rPr>
          <w:b/>
        </w:rPr>
        <w:t>液压站回路</w:t>
      </w:r>
      <w:r>
        <w:t>：断路器（32A）、接触器控制液压泵电机（功率4kW），系统压力12-15MPa，由溢流阀限定；</w:t>
      </w:r>
    </w:p>
    <w:p w14:paraId="7765B1FF">
      <w:pPr>
        <w:numPr>
          <w:ilvl w:val="0"/>
          <w:numId w:val="21"/>
        </w:numPr>
        <w:spacing w:before="0" w:beforeAutospacing="1" w:after="0" w:afterAutospacing="1"/>
        <w:ind w:left="720" w:hanging="360"/>
      </w:pPr>
      <w:r>
        <w:rPr>
          <w:b/>
        </w:rPr>
        <w:t>伺服驱动回路</w:t>
      </w:r>
      <w:r>
        <w:t>：伺服驱动器（西门子V90）通过电抗器接入电源，减少谐波干扰（总谐波畸变率THD＜5%）。</w:t>
      </w:r>
    </w:p>
    <w:p w14:paraId="5A7794CD">
      <w:pPr>
        <w:pStyle w:val="5"/>
      </w:pPr>
      <w:r>
        <w:t>控制回路</w:t>
      </w:r>
    </w:p>
    <w:p w14:paraId="7F50282D">
      <w:r>
        <w:t>24V直流电源（明纬S-150-24，输出24V/6.5A）为PLC、传感器、继电器供电。安全回路采用双通道设计，急停按钮、防护门行程开关、安全光幕信号串联接入安全继电器（PILZ PNOZ X2.8，安全等级PLd），安全继电器输出控制主接触器线圈，任何一个信号断开，主电源立即切断。</w:t>
      </w:r>
    </w:p>
    <w:p w14:paraId="2A9E3CFF">
      <w:pPr>
        <w:pStyle w:val="5"/>
      </w:pPr>
      <w:r>
        <w:t>信号回路</w:t>
      </w:r>
    </w:p>
    <w:p w14:paraId="7A6D2560">
      <w:r>
        <w:t>数字量信号（行程开关、接近开关）通过屏蔽电缆（RVVP-2×1.0mm²）接入PLC数字量输入模块，屏蔽层单端接地（接地电阻≤1Ω）；模拟量信号（激光传感器4-20mA、编码器0-10V）采用双绞屏蔽电缆（RVSP-2×1.0mm²），传输距离≤50m，超过时加装信号隔离器（精度0.1%）。</w:t>
      </w:r>
    </w:p>
    <w:p w14:paraId="7AF29466">
      <w:pPr>
        <w:pStyle w:val="4"/>
      </w:pPr>
      <w:r>
        <w:t>4.2 控制逻辑与工作模式</w:t>
      </w:r>
    </w:p>
    <w:p w14:paraId="029CF533">
      <w:pPr>
        <w:pStyle w:val="5"/>
      </w:pPr>
      <w:r>
        <w:t>自动模式</w:t>
      </w:r>
    </w:p>
    <w:p w14:paraId="33DED402">
      <w:r>
        <w:t>自动模式为正常生产模式，流程如下：</w:t>
      </w:r>
    </w:p>
    <w:p w14:paraId="6761B486">
      <w:pPr>
        <w:numPr>
          <w:ilvl w:val="0"/>
          <w:numId w:val="22"/>
        </w:numPr>
        <w:spacing w:before="0" w:beforeAutospacing="1" w:after="0" w:afterAutospacing="1"/>
        <w:ind w:left="720" w:hanging="360"/>
      </w:pPr>
      <w:r>
        <w:rPr>
          <w:b/>
        </w:rPr>
        <w:t>初始化</w:t>
      </w:r>
      <w:r>
        <w:t>：PLC上电后自检，检查各模块通讯（PROFINET总线正常）、传感器状态（无故障信号）、轴系回零（所有轴返回参考点），自检通过后进入“就绪”状态；</w:t>
      </w:r>
    </w:p>
    <w:p w14:paraId="7DC0AA73">
      <w:pPr>
        <w:numPr>
          <w:ilvl w:val="0"/>
          <w:numId w:val="22"/>
        </w:numPr>
        <w:spacing w:before="0" w:beforeAutospacing="1" w:after="0" w:afterAutospacing="1"/>
        <w:ind w:left="720" w:hanging="360"/>
      </w:pPr>
      <w:r>
        <w:rPr>
          <w:b/>
        </w:rPr>
        <w:t>参数调用</w:t>
      </w:r>
      <w:r>
        <w:t>：操作人员在HMI选择铁芯型号，系统自动加载对应工艺参数（如输送速度、定位坐标、翻转角度）；</w:t>
      </w:r>
    </w:p>
    <w:p w14:paraId="17979F4C">
      <w:pPr>
        <w:numPr>
          <w:ilvl w:val="0"/>
          <w:numId w:val="22"/>
        </w:numPr>
        <w:spacing w:before="0" w:beforeAutospacing="1" w:after="0" w:afterAutospacing="1"/>
        <w:ind w:left="720" w:hanging="360"/>
      </w:pPr>
      <w:r>
        <w:rPr>
          <w:b/>
        </w:rPr>
        <w:t>自动运行</w:t>
      </w:r>
      <w:r>
        <w:t>：PLC按设定流程控制送料、输送、定位、转运，每完成一个循环，计数器加1，并上传数据至MES系统；</w:t>
      </w:r>
    </w:p>
    <w:p w14:paraId="5B60BAF5">
      <w:pPr>
        <w:numPr>
          <w:ilvl w:val="0"/>
          <w:numId w:val="22"/>
        </w:numPr>
        <w:spacing w:before="0" w:beforeAutospacing="1" w:after="0" w:afterAutospacing="1"/>
        <w:ind w:left="720" w:hanging="360"/>
      </w:pPr>
      <w:r>
        <w:rPr>
          <w:b/>
        </w:rPr>
        <w:t>完成停机</w:t>
      </w:r>
      <w:r>
        <w:t>：达到设定产量或接收到“停止”指令后，系统执行“当前任务完成→所有轴回零→待机”流程。</w:t>
      </w:r>
    </w:p>
    <w:p w14:paraId="4E74A115">
      <w:pPr>
        <w:pStyle w:val="5"/>
      </w:pPr>
      <w:r>
        <w:t>手动模式</w:t>
      </w:r>
    </w:p>
    <w:p w14:paraId="4A6AC76D">
      <w:r>
        <w:t>手动模式用于调试或故障处理，通过HMI“手动控制”界面操作各执行机构（如“输送轨道点动”“转运小车升降”），各轴独立运动，无联锁关系。此时安全保护仍生效，若部件触及限位，系统立即停止该轴并报警。切换至手动模式需输入工程师密码（权限管理），防止误操作。</w:t>
      </w:r>
    </w:p>
    <w:p w14:paraId="1F50E393">
      <w:pPr>
        <w:pStyle w:val="4"/>
      </w:pPr>
      <w:r>
        <w:t>4.3 人机交互与安全联锁</w:t>
      </w:r>
    </w:p>
    <w:p w14:paraId="3852B81A">
      <w:pPr>
        <w:pStyle w:val="5"/>
      </w:pPr>
      <w:r>
        <w:t>HMI界面功能</w:t>
      </w:r>
    </w:p>
    <w:p w14:paraId="19FFDAF1">
      <w:r>
        <w:t>HMI界面分为四个区域：</w:t>
      </w:r>
    </w:p>
    <w:p w14:paraId="47D02C26">
      <w:pPr>
        <w:numPr>
          <w:ilvl w:val="0"/>
          <w:numId w:val="23"/>
        </w:numPr>
        <w:spacing w:before="0" w:beforeAutospacing="1" w:after="0" w:afterAutospacing="1"/>
        <w:ind w:left="720" w:hanging="360"/>
      </w:pPr>
      <w:r>
        <w:rPr>
          <w:b/>
        </w:rPr>
        <w:t>状态显示区</w:t>
      </w:r>
      <w:r>
        <w:t>：实时显示当前工位（如“储料架3→叠装台2”）、运行速度（0.8m/s）、故障代码（如“E01-真空压力不足”）；</w:t>
      </w:r>
    </w:p>
    <w:p w14:paraId="391E0740">
      <w:pPr>
        <w:numPr>
          <w:ilvl w:val="0"/>
          <w:numId w:val="23"/>
        </w:numPr>
        <w:spacing w:before="0" w:beforeAutospacing="1" w:after="0" w:afterAutospacing="1"/>
        <w:ind w:left="720" w:hanging="360"/>
      </w:pPr>
      <w:r>
        <w:rPr>
          <w:b/>
        </w:rPr>
        <w:t>参数设置区</w:t>
      </w:r>
      <w:r>
        <w:t>：可修改输送速度、定位偏差阈值、加速度等参数，修改后需“确认”并“保存配方”，支持200组配方存储；</w:t>
      </w:r>
    </w:p>
    <w:p w14:paraId="0164EFEC">
      <w:pPr>
        <w:numPr>
          <w:ilvl w:val="0"/>
          <w:numId w:val="23"/>
        </w:numPr>
        <w:spacing w:before="0" w:beforeAutospacing="1" w:after="0" w:afterAutospacing="1"/>
        <w:ind w:left="720" w:hanging="360"/>
      </w:pPr>
      <w:r>
        <w:rPr>
          <w:b/>
        </w:rPr>
        <w:t>控制按钮区</w:t>
      </w:r>
      <w:r>
        <w:t>：包含“启动”“停止”“急停”按钮，启动前需确认“安全条件满足”（指示灯绿色）；</w:t>
      </w:r>
    </w:p>
    <w:p w14:paraId="74656E57">
      <w:pPr>
        <w:numPr>
          <w:ilvl w:val="0"/>
          <w:numId w:val="23"/>
        </w:numPr>
        <w:spacing w:before="0" w:beforeAutospacing="1" w:after="0" w:afterAutospacing="1"/>
        <w:ind w:left="720" w:hanging="360"/>
      </w:pPr>
      <w:r>
        <w:rPr>
          <w:b/>
        </w:rPr>
        <w:t>趋势图区</w:t>
      </w:r>
      <w:r>
        <w:t>：实时绘制定位偏差、电机电流曲线，更新周期1秒，可查看24小时历史数据，辅助分析设备运行趋势。</w:t>
      </w:r>
    </w:p>
    <w:p w14:paraId="5E182136">
      <w:pPr>
        <w:pStyle w:val="5"/>
      </w:pPr>
      <w:r>
        <w:t>安全联锁机制</w:t>
      </w:r>
    </w:p>
    <w:p w14:paraId="4ACF72DC">
      <w:pPr>
        <w:numPr>
          <w:ilvl w:val="0"/>
          <w:numId w:val="24"/>
        </w:numPr>
        <w:spacing w:before="0" w:beforeAutospacing="1" w:after="0" w:afterAutospacing="1"/>
        <w:ind w:left="720" w:hanging="360"/>
      </w:pPr>
      <w:r>
        <w:rPr>
          <w:b/>
        </w:rPr>
        <w:t>硬件联锁</w:t>
      </w:r>
      <w:r>
        <w:t>：急停按钮、防护门行程开关直接接入安全继电器，安全继电器输出控制主电源接触器，响应时间≤10ms；</w:t>
      </w:r>
    </w:p>
    <w:p w14:paraId="29296590">
      <w:pPr>
        <w:numPr>
          <w:ilvl w:val="0"/>
          <w:numId w:val="24"/>
        </w:numPr>
        <w:spacing w:before="0" w:beforeAutospacing="1" w:after="0" w:afterAutospacing="1"/>
        <w:ind w:left="720" w:hanging="360"/>
      </w:pPr>
      <w:r>
        <w:rPr>
          <w:b/>
        </w:rPr>
        <w:t>软件联锁</w:t>
      </w:r>
      <w:r>
        <w:t>：自动运行时，若激光传感器信号丢失＞200ms、编码器数据异常，PLC立即触发急停，所有轴抱闸（电磁制动器响应时间≤0.1s）；</w:t>
      </w:r>
    </w:p>
    <w:p w14:paraId="6B8D47F7">
      <w:pPr>
        <w:numPr>
          <w:ilvl w:val="0"/>
          <w:numId w:val="24"/>
        </w:numPr>
        <w:spacing w:before="0" w:beforeAutospacing="1" w:after="0" w:afterAutospacing="1"/>
        <w:ind w:left="720" w:hanging="360"/>
      </w:pPr>
      <w:r>
        <w:rPr>
          <w:b/>
        </w:rPr>
        <w:t>过载保护</w:t>
      </w:r>
      <w:r>
        <w:t>：伺服电机配置过载保护（电流＞1.2倍额定值持续5秒），液压系统设溢流阀（压力＞15MPa时卸荷），气动系统设安全阀（压力＞0.8MPa时排气）。</w:t>
      </w:r>
    </w:p>
    <w:p w14:paraId="6979D5E9">
      <w:pPr>
        <w:pStyle w:val="3"/>
      </w:pPr>
      <w:r>
        <w:t>五、常见故障诊断与排除</w:t>
      </w:r>
    </w:p>
    <w:p w14:paraId="058DE0B2">
      <w:pPr>
        <w:pStyle w:val="4"/>
      </w:pPr>
      <w:r>
        <w:t>5.1 机械系统故障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B74AD84">
        <w:tblPrEx>
          <w:tblCellMar>
            <w:top w:w="0" w:type="dxa"/>
            <w:left w:w="0" w:type="dxa"/>
            <w:bottom w:w="0" w:type="dxa"/>
            <w:right w:w="0" w:type="dxa"/>
          </w:tblCellMar>
        </w:tblPrEx>
        <w:tc>
          <w:tcPr>
            <w:tcW w:w="0" w:type="auto"/>
            <w:vAlign w:val="center"/>
          </w:tcPr>
          <w:p w14:paraId="13A4083E">
            <w:pPr>
              <w:jc w:val="center"/>
              <w:rPr>
                <w:b/>
              </w:rPr>
            </w:pPr>
            <w:r>
              <w:rPr>
                <w:b/>
              </w:rPr>
              <w:t>故障现象</w:t>
            </w:r>
          </w:p>
        </w:tc>
        <w:tc>
          <w:tcPr>
            <w:tcW w:w="0" w:type="auto"/>
            <w:vAlign w:val="center"/>
          </w:tcPr>
          <w:p w14:paraId="504C68F7">
            <w:pPr>
              <w:jc w:val="center"/>
              <w:rPr>
                <w:b/>
              </w:rPr>
            </w:pPr>
            <w:r>
              <w:rPr>
                <w:b/>
              </w:rPr>
              <w:t>根本原因</w:t>
            </w:r>
          </w:p>
        </w:tc>
        <w:tc>
          <w:tcPr>
            <w:tcW w:w="0" w:type="auto"/>
            <w:vAlign w:val="center"/>
          </w:tcPr>
          <w:p w14:paraId="31B82ED6">
            <w:pPr>
              <w:jc w:val="center"/>
              <w:rPr>
                <w:b/>
              </w:rPr>
            </w:pPr>
            <w:r>
              <w:rPr>
                <w:b/>
              </w:rPr>
              <w:t>排除对策</w:t>
            </w:r>
          </w:p>
        </w:tc>
      </w:tr>
      <w:tr w14:paraId="2961A23C">
        <w:tblPrEx>
          <w:tblCellMar>
            <w:top w:w="0" w:type="dxa"/>
            <w:left w:w="0" w:type="dxa"/>
            <w:bottom w:w="0" w:type="dxa"/>
            <w:right w:w="0" w:type="dxa"/>
          </w:tblCellMar>
        </w:tblPrEx>
        <w:tc>
          <w:tcPr>
            <w:tcW w:w="0" w:type="auto"/>
            <w:vAlign w:val="center"/>
          </w:tcPr>
          <w:p w14:paraId="10340B77">
            <w:r>
              <w:t>输送轨道链条跳齿</w:t>
            </w:r>
          </w:p>
        </w:tc>
        <w:tc>
          <w:tcPr>
            <w:tcW w:w="0" w:type="auto"/>
            <w:vAlign w:val="center"/>
          </w:tcPr>
          <w:p w14:paraId="66440E4F">
            <w:r>
              <w:t>1. 链轮齿形磨损＞0.2mm</w:t>
            </w:r>
            <w:r>
              <w:br w:type="textWrapping"/>
            </w:r>
            <w:r>
              <w:t>2. 链条张紧度不足（下垂量＞3%中心距）</w:t>
            </w:r>
            <w:r>
              <w:br w:type="textWrapping"/>
            </w:r>
            <w:r>
              <w:t>3. 链条节距伸长＞2%</w:t>
            </w:r>
          </w:p>
        </w:tc>
        <w:tc>
          <w:tcPr>
            <w:tcW w:w="0" w:type="auto"/>
            <w:vAlign w:val="center"/>
          </w:tcPr>
          <w:p w14:paraId="591B0764">
            <w:r>
              <w:t>1. 更换16A链轮（齿数z1=17，z2=34）</w:t>
            </w:r>
            <w:r>
              <w:br w:type="textWrapping"/>
            </w:r>
            <w:r>
              <w:t>2. 调整张紧轮，使下垂量=2%-3%中心距</w:t>
            </w:r>
            <w:r>
              <w:br w:type="textWrapping"/>
            </w:r>
            <w:r>
              <w:t>3. 更换链条（节距25.4mm），安装时涂抹链条油</w:t>
            </w:r>
          </w:p>
        </w:tc>
      </w:tr>
      <w:tr w14:paraId="11A0A83F">
        <w:tblPrEx>
          <w:tblCellMar>
            <w:top w:w="0" w:type="dxa"/>
            <w:left w:w="0" w:type="dxa"/>
            <w:bottom w:w="0" w:type="dxa"/>
            <w:right w:w="0" w:type="dxa"/>
          </w:tblCellMar>
        </w:tblPrEx>
        <w:tc>
          <w:tcPr>
            <w:tcW w:w="0" w:type="auto"/>
            <w:vAlign w:val="center"/>
          </w:tcPr>
          <w:p w14:paraId="0EA1D27E">
            <w:r>
              <w:t>转运小车升降不平</w:t>
            </w:r>
          </w:p>
        </w:tc>
        <w:tc>
          <w:tcPr>
            <w:tcW w:w="0" w:type="auto"/>
            <w:vAlign w:val="center"/>
          </w:tcPr>
          <w:p w14:paraId="30FB2D9F">
            <w:r>
              <w:t>1. 双液压油缸速度差＞0.05m/s</w:t>
            </w:r>
            <w:r>
              <w:br w:type="textWrapping"/>
            </w:r>
            <w:r>
              <w:t>2. 导向轮直径偏差＞0.5mm</w:t>
            </w:r>
            <w:r>
              <w:br w:type="textWrapping"/>
            </w:r>
            <w:r>
              <w:t>3. 台面变形（平面度＞0.1mm/m）</w:t>
            </w:r>
          </w:p>
        </w:tc>
        <w:tc>
          <w:tcPr>
            <w:tcW w:w="0" w:type="auto"/>
            <w:vAlign w:val="center"/>
          </w:tcPr>
          <w:p w14:paraId="76E8A135">
            <w:r>
              <w:t>1. 调节节流阀，使两缸伸出速度一致</w:t>
            </w:r>
            <w:r>
              <w:br w:type="textWrapping"/>
            </w:r>
            <w:r>
              <w:t>2. 更换导向轮（直径50mm，偏差≤0.2mm）</w:t>
            </w:r>
            <w:r>
              <w:br w:type="textWrapping"/>
            </w:r>
            <w:r>
              <w:t>3. 台面焊接加强筋，重新研磨（平面度≤0.05mm/m）</w:t>
            </w:r>
          </w:p>
        </w:tc>
      </w:tr>
      <w:tr w14:paraId="75E8F268">
        <w:tc>
          <w:tcPr>
            <w:tcW w:w="0" w:type="auto"/>
            <w:vAlign w:val="center"/>
          </w:tcPr>
          <w:p w14:paraId="49D6B55D">
            <w:r>
              <w:t>定位销磨损卡滞</w:t>
            </w:r>
          </w:p>
        </w:tc>
        <w:tc>
          <w:tcPr>
            <w:tcW w:w="0" w:type="auto"/>
            <w:vAlign w:val="center"/>
          </w:tcPr>
          <w:p w14:paraId="361E9CF8">
            <w:r>
              <w:t>1. 配合间隙＞0.1mm</w:t>
            </w:r>
            <w:r>
              <w:br w:type="textWrapping"/>
            </w:r>
            <w:r>
              <w:t>2. 润滑不足（未定期加注润滑脂）</w:t>
            </w:r>
            <w:r>
              <w:br w:type="textWrapping"/>
            </w:r>
            <w:r>
              <w:t>3. 定位孔变形（椭圆度＞0.05mm）</w:t>
            </w:r>
          </w:p>
        </w:tc>
        <w:tc>
          <w:tcPr>
            <w:tcW w:w="0" w:type="auto"/>
            <w:vAlign w:val="center"/>
          </w:tcPr>
          <w:p w14:paraId="450296EF">
            <w:r>
              <w:t>1. 更换定位销（φ20h6，Cr12MoV材质）</w:t>
            </w:r>
            <w:r>
              <w:br w:type="textWrapping"/>
            </w:r>
            <w:r>
              <w:t>2. 每周加注锂基润滑脂（ZL-3），用量2-3g/个</w:t>
            </w:r>
            <w:r>
              <w:br w:type="textWrapping"/>
            </w:r>
            <w:r>
              <w:t>3. 扩孔并更换定位套（H7公差）</w:t>
            </w:r>
          </w:p>
        </w:tc>
      </w:tr>
    </w:tbl>
    <w:p w14:paraId="3484FD8A">
      <w:pPr>
        <w:pStyle w:val="4"/>
      </w:pPr>
      <w:r>
        <w:t>5.2 电气系统故障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50FA8EBA">
        <w:tblPrEx>
          <w:tblCellMar>
            <w:top w:w="0" w:type="dxa"/>
            <w:left w:w="0" w:type="dxa"/>
            <w:bottom w:w="0" w:type="dxa"/>
            <w:right w:w="0" w:type="dxa"/>
          </w:tblCellMar>
        </w:tblPrEx>
        <w:tc>
          <w:tcPr>
            <w:tcW w:w="0" w:type="auto"/>
            <w:vAlign w:val="center"/>
          </w:tcPr>
          <w:p w14:paraId="45C4C530">
            <w:pPr>
              <w:jc w:val="center"/>
              <w:rPr>
                <w:b/>
              </w:rPr>
            </w:pPr>
            <w:r>
              <w:rPr>
                <w:b/>
              </w:rPr>
              <w:t>故障现象</w:t>
            </w:r>
          </w:p>
        </w:tc>
        <w:tc>
          <w:tcPr>
            <w:tcW w:w="0" w:type="auto"/>
            <w:vAlign w:val="center"/>
          </w:tcPr>
          <w:p w14:paraId="39336750">
            <w:pPr>
              <w:jc w:val="center"/>
              <w:rPr>
                <w:b/>
              </w:rPr>
            </w:pPr>
            <w:r>
              <w:rPr>
                <w:b/>
              </w:rPr>
              <w:t>根本原因</w:t>
            </w:r>
          </w:p>
        </w:tc>
        <w:tc>
          <w:tcPr>
            <w:tcW w:w="0" w:type="auto"/>
            <w:vAlign w:val="center"/>
          </w:tcPr>
          <w:p w14:paraId="5E3EEE39">
            <w:pPr>
              <w:jc w:val="center"/>
              <w:rPr>
                <w:b/>
              </w:rPr>
            </w:pPr>
            <w:r>
              <w:rPr>
                <w:b/>
              </w:rPr>
              <w:t>排除对策</w:t>
            </w:r>
          </w:p>
        </w:tc>
      </w:tr>
      <w:tr w14:paraId="1B2C630C">
        <w:tblPrEx>
          <w:tblCellMar>
            <w:top w:w="0" w:type="dxa"/>
            <w:left w:w="0" w:type="dxa"/>
            <w:bottom w:w="0" w:type="dxa"/>
            <w:right w:w="0" w:type="dxa"/>
          </w:tblCellMar>
        </w:tblPrEx>
        <w:tc>
          <w:tcPr>
            <w:tcW w:w="0" w:type="auto"/>
            <w:vAlign w:val="center"/>
          </w:tcPr>
          <w:p w14:paraId="0779DB18">
            <w:r>
              <w:t>伺服电机过载报警（AL51）</w:t>
            </w:r>
          </w:p>
        </w:tc>
        <w:tc>
          <w:tcPr>
            <w:tcW w:w="0" w:type="auto"/>
            <w:vAlign w:val="center"/>
          </w:tcPr>
          <w:p w14:paraId="57E408D2">
            <w:r>
              <w:t>1. 机械卡滞（如导轨滑块间隙＞0.1mm）</w:t>
            </w:r>
            <w:r>
              <w:br w:type="textWrapping"/>
            </w:r>
            <w:r>
              <w:t>2. 编码器电缆屏蔽层接地不良</w:t>
            </w:r>
            <w:r>
              <w:br w:type="textWrapping"/>
            </w:r>
            <w:r>
              <w:t>3. 驱动器参数设置错误（过载阈值＜1.2倍额定电流）</w:t>
            </w:r>
          </w:p>
        </w:tc>
        <w:tc>
          <w:tcPr>
            <w:tcW w:w="0" w:type="auto"/>
            <w:vAlign w:val="center"/>
          </w:tcPr>
          <w:p w14:paraId="1AEC803A">
            <w:r>
              <w:t>1. 检查导轨滑块，更换磨损部件（型号HGW20CA）</w:t>
            </w:r>
            <w:r>
              <w:br w:type="textWrapping"/>
            </w:r>
            <w:r>
              <w:t>2. 更换编码器电缆（双绞屏蔽，长度≤50m），屏蔽层单端接地</w:t>
            </w:r>
            <w:r>
              <w:br w:type="textWrapping"/>
            </w:r>
            <w:r>
              <w:t>3. 进入驱动器参数，将P29240设为1.5倍额定电流</w:t>
            </w:r>
          </w:p>
        </w:tc>
      </w:tr>
      <w:tr w14:paraId="27692267">
        <w:tblPrEx>
          <w:tblCellMar>
            <w:top w:w="0" w:type="dxa"/>
            <w:left w:w="0" w:type="dxa"/>
            <w:bottom w:w="0" w:type="dxa"/>
            <w:right w:w="0" w:type="dxa"/>
          </w:tblCellMar>
        </w:tblPrEx>
        <w:tc>
          <w:tcPr>
            <w:tcW w:w="0" w:type="auto"/>
            <w:vAlign w:val="center"/>
          </w:tcPr>
          <w:p w14:paraId="2AD11B0D">
            <w:r>
              <w:t>激光传感器无轮廓数据</w:t>
            </w:r>
          </w:p>
        </w:tc>
        <w:tc>
          <w:tcPr>
            <w:tcW w:w="0" w:type="auto"/>
            <w:vAlign w:val="center"/>
          </w:tcPr>
          <w:p w14:paraId="010EC5F5">
            <w:r>
              <w:t>1. 镜头油污或光路遮挡</w:t>
            </w:r>
            <w:r>
              <w:br w:type="textWrapping"/>
            </w:r>
            <w:r>
              <w:t>2. IP地址冲突（与PLC不在同一网段）</w:t>
            </w:r>
            <w:r>
              <w:br w:type="textWrapping"/>
            </w:r>
            <w:r>
              <w:t>3. 传感器供电故障（24V电压＜22V）</w:t>
            </w:r>
          </w:p>
        </w:tc>
        <w:tc>
          <w:tcPr>
            <w:tcW w:w="0" w:type="auto"/>
            <w:vAlign w:val="center"/>
          </w:tcPr>
          <w:p w14:paraId="54741532">
            <w:r>
              <w:t>1. 用无水乙醇清洁镜头，移除光路遮挡物</w:t>
            </w:r>
            <w:r>
              <w:br w:type="textWrapping"/>
            </w:r>
            <w:r>
              <w:t>2. 重新设置传感器IP地址（如192.168.0.100，与PLC同网段）</w:t>
            </w:r>
            <w:r>
              <w:br w:type="textWrapping"/>
            </w:r>
            <w:r>
              <w:t>3. 检查电源模块输出，更换损坏的24V电源</w:t>
            </w:r>
          </w:p>
        </w:tc>
      </w:tr>
      <w:tr w14:paraId="18DE87C9">
        <w:tc>
          <w:tcPr>
            <w:tcW w:w="0" w:type="auto"/>
            <w:vAlign w:val="center"/>
          </w:tcPr>
          <w:p w14:paraId="7F97D1F9">
            <w:r>
              <w:t>PLC与HMI通讯失败</w:t>
            </w:r>
          </w:p>
        </w:tc>
        <w:tc>
          <w:tcPr>
            <w:tcW w:w="0" w:type="auto"/>
            <w:vAlign w:val="center"/>
          </w:tcPr>
          <w:p w14:paraId="33F33987">
            <w:r>
              <w:t>1. 以太网电缆断线或水晶头接触不良</w:t>
            </w:r>
            <w:r>
              <w:br w:type="textWrapping"/>
            </w:r>
            <w:r>
              <w:t>2. PLC以太网模块故障（PROFINET指示灯不亮）</w:t>
            </w:r>
            <w:r>
              <w:br w:type="textWrapping"/>
            </w:r>
            <w:r>
              <w:t>3. HMI组态软件版本不兼容</w:t>
            </w:r>
          </w:p>
        </w:tc>
        <w:tc>
          <w:tcPr>
            <w:tcW w:w="0" w:type="auto"/>
            <w:vAlign w:val="center"/>
          </w:tcPr>
          <w:p w14:paraId="72DF2EF0">
            <w:r>
              <w:t>1. 更换超五类网线（线序568B），重新压接水晶头</w:t>
            </w:r>
            <w:r>
              <w:br w:type="textWrapping"/>
            </w:r>
            <w:r>
              <w:t>2. 更换PLC以太网模块（如CP1243-1）</w:t>
            </w:r>
            <w:r>
              <w:br w:type="textWrapping"/>
            </w:r>
            <w:r>
              <w:t>3. 更新HMI组态软件至V2.0，重新下载项目</w:t>
            </w:r>
          </w:p>
        </w:tc>
      </w:tr>
    </w:tbl>
    <w:p w14:paraId="593FA1EB">
      <w:pPr>
        <w:pStyle w:val="4"/>
      </w:pPr>
      <w:r>
        <w:t>5.3 工艺质量与环境故障</w:t>
      </w:r>
    </w:p>
    <w:p w14:paraId="69409FAE">
      <w:pPr>
        <w:pStyle w:val="5"/>
      </w:pPr>
      <w:r>
        <w:t>铁芯输送定位偏差超标（＞0.3mm）</w:t>
      </w:r>
    </w:p>
    <w:p w14:paraId="25DCD32D">
      <w:r>
        <w:rPr>
          <w:b/>
        </w:rPr>
        <w:t>成因</w:t>
      </w:r>
      <w:r>
        <w:t>：</w:t>
      </w:r>
    </w:p>
    <w:p w14:paraId="7FB321BD">
      <w:pPr>
        <w:numPr>
          <w:ilvl w:val="0"/>
          <w:numId w:val="25"/>
        </w:numPr>
        <w:spacing w:before="0" w:beforeAutospacing="1" w:after="0" w:afterAutospacing="1"/>
        <w:ind w:left="720" w:hanging="360"/>
      </w:pPr>
      <w:r>
        <w:t>激光传感器校准过期（偏差累积＞0.1mm）；</w:t>
      </w:r>
    </w:p>
    <w:p w14:paraId="34A842F1">
      <w:pPr>
        <w:numPr>
          <w:ilvl w:val="0"/>
          <w:numId w:val="25"/>
        </w:numPr>
        <w:spacing w:before="0" w:beforeAutospacing="1" w:after="0" w:afterAutospacing="1"/>
        <w:ind w:left="720" w:hanging="360"/>
      </w:pPr>
      <w:r>
        <w:t>硅钢片料卷端面不平整（＞0.5mm/m），导致输送时重心偏移；</w:t>
      </w:r>
    </w:p>
    <w:p w14:paraId="1FD2BD94">
      <w:pPr>
        <w:numPr>
          <w:ilvl w:val="0"/>
          <w:numId w:val="25"/>
        </w:numPr>
        <w:spacing w:before="0" w:beforeAutospacing="1" w:after="0" w:afterAutospacing="1"/>
        <w:ind w:left="720" w:hanging="360"/>
      </w:pPr>
      <w:r>
        <w:t>轨道基础沉降（水平度变化＞0.1mm/m）。</w:t>
      </w:r>
    </w:p>
    <w:p w14:paraId="6EC21F0D">
      <w:r>
        <w:rPr>
          <w:b/>
        </w:rPr>
        <w:t>对策</w:t>
      </w:r>
      <w:r>
        <w:t>：</w:t>
      </w:r>
    </w:p>
    <w:p w14:paraId="2FB16DDC">
      <w:pPr>
        <w:numPr>
          <w:ilvl w:val="0"/>
          <w:numId w:val="26"/>
        </w:numPr>
        <w:spacing w:before="0" w:beforeAutospacing="1" w:after="0" w:afterAutospacing="1"/>
        <w:ind w:left="720" w:hanging="360"/>
      </w:pPr>
      <w:r>
        <w:t>重新校准激光传感器：用标准块（100.00mm）三点校准，3次测量偏差均≤±0.01mm；</w:t>
      </w:r>
    </w:p>
    <w:p w14:paraId="62207BA2">
      <w:pPr>
        <w:numPr>
          <w:ilvl w:val="0"/>
          <w:numId w:val="26"/>
        </w:numPr>
        <w:spacing w:before="0" w:beforeAutospacing="1" w:after="0" w:afterAutospacing="1"/>
        <w:ind w:left="720" w:hanging="360"/>
      </w:pPr>
      <w:r>
        <w:t>更换平整料卷（端面平整度≤0.3mm/m），或人工修正料卷端面；</w:t>
      </w:r>
    </w:p>
    <w:p w14:paraId="74312268">
      <w:pPr>
        <w:numPr>
          <w:ilvl w:val="0"/>
          <w:numId w:val="26"/>
        </w:numPr>
        <w:spacing w:before="0" w:beforeAutospacing="1" w:after="0" w:afterAutospacing="1"/>
        <w:ind w:left="720" w:hanging="360"/>
      </w:pPr>
      <w:r>
        <w:t>调整轨道水平度（用水平仪校准，≤0.05mm/m），紧固地脚螺栓（扭矩50N·m）。</w:t>
      </w:r>
    </w:p>
    <w:p w14:paraId="577D4648">
      <w:pPr>
        <w:pStyle w:val="5"/>
      </w:pPr>
      <w:r>
        <w:t>硅钢片表面划伤</w:t>
      </w:r>
    </w:p>
    <w:p w14:paraId="36AD6C85">
      <w:r>
        <w:rPr>
          <w:b/>
        </w:rPr>
        <w:t>成因</w:t>
      </w:r>
      <w:r>
        <w:t>：</w:t>
      </w:r>
    </w:p>
    <w:p w14:paraId="53C8463A">
      <w:pPr>
        <w:numPr>
          <w:ilvl w:val="0"/>
          <w:numId w:val="27"/>
        </w:numPr>
        <w:spacing w:before="0" w:beforeAutospacing="1" w:after="0" w:afterAutospacing="1"/>
        <w:ind w:left="720" w:hanging="360"/>
      </w:pPr>
      <w:r>
        <w:t>输送轨道有异物（如铁屑、焊渣）；</w:t>
      </w:r>
    </w:p>
    <w:p w14:paraId="730176C1">
      <w:pPr>
        <w:numPr>
          <w:ilvl w:val="0"/>
          <w:numId w:val="27"/>
        </w:numPr>
        <w:spacing w:before="0" w:beforeAutospacing="1" w:after="0" w:afterAutospacing="1"/>
        <w:ind w:left="720" w:hanging="360"/>
      </w:pPr>
      <w:r>
        <w:t>真空吸盘老化（邵氏硬度变化±10 Shore A），抓取时打滑；</w:t>
      </w:r>
    </w:p>
    <w:p w14:paraId="71127BFE">
      <w:pPr>
        <w:numPr>
          <w:ilvl w:val="0"/>
          <w:numId w:val="27"/>
        </w:numPr>
        <w:spacing w:before="0" w:beforeAutospacing="1" w:after="0" w:afterAutospacing="1"/>
        <w:ind w:left="720" w:hanging="360"/>
      </w:pPr>
      <w:r>
        <w:t>导向轮与铁芯间隙过小（＜0.5mm），摩擦划伤。</w:t>
      </w:r>
    </w:p>
    <w:p w14:paraId="2DE64BD7">
      <w:r>
        <w:rPr>
          <w:b/>
        </w:rPr>
        <w:t>对策</w:t>
      </w:r>
      <w:r>
        <w:t>：</w:t>
      </w:r>
    </w:p>
    <w:p w14:paraId="1EFF5E9D">
      <w:pPr>
        <w:numPr>
          <w:ilvl w:val="0"/>
          <w:numId w:val="28"/>
        </w:numPr>
        <w:spacing w:before="0" w:beforeAutospacing="1" w:after="0" w:afterAutospacing="1"/>
        <w:ind w:left="720" w:hanging="360"/>
      </w:pPr>
      <w:r>
        <w:t>用高压空气（0.4MPa）吹扫轨道，每周检查并清理异物；</w:t>
      </w:r>
    </w:p>
    <w:p w14:paraId="5C47FDAF">
      <w:pPr>
        <w:numPr>
          <w:ilvl w:val="0"/>
          <w:numId w:val="28"/>
        </w:numPr>
        <w:spacing w:before="0" w:beforeAutospacing="1" w:after="0" w:afterAutospacing="1"/>
        <w:ind w:left="720" w:hanging="360"/>
      </w:pPr>
      <w:r>
        <w:t>每3个月更换真空吸盘（丁腈橡胶材质，φ50mm），确保负压≥-80kPa；</w:t>
      </w:r>
    </w:p>
    <w:p w14:paraId="68C30B0F">
      <w:pPr>
        <w:numPr>
          <w:ilvl w:val="0"/>
          <w:numId w:val="28"/>
        </w:numPr>
        <w:spacing w:before="0" w:beforeAutospacing="1" w:after="0" w:afterAutospacing="1"/>
        <w:ind w:left="720" w:hanging="360"/>
      </w:pPr>
      <w:r>
        <w:t>调整导向轮间隙至0.5-1mm，磨损量＞0.2mm时更换导向轮。</w:t>
      </w:r>
    </w:p>
    <w:p w14:paraId="6B091E62">
      <w:pPr>
        <w:pStyle w:val="3"/>
      </w:pPr>
      <w:r>
        <w:t>六、维护保养</w:t>
      </w:r>
    </w:p>
    <w:p w14:paraId="33215217">
      <w:pPr>
        <w:pStyle w:val="4"/>
      </w:pPr>
      <w:r>
        <w:t>6.1 日常点检</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A6B4649">
        <w:tblPrEx>
          <w:tblCellMar>
            <w:top w:w="0" w:type="dxa"/>
            <w:left w:w="0" w:type="dxa"/>
            <w:bottom w:w="0" w:type="dxa"/>
            <w:right w:w="0" w:type="dxa"/>
          </w:tblCellMar>
        </w:tblPrEx>
        <w:tc>
          <w:tcPr>
            <w:tcW w:w="0" w:type="auto"/>
            <w:vAlign w:val="center"/>
          </w:tcPr>
          <w:p w14:paraId="24EDF4FC">
            <w:pPr>
              <w:jc w:val="center"/>
              <w:rPr>
                <w:b/>
              </w:rPr>
            </w:pPr>
            <w:r>
              <w:rPr>
                <w:b/>
              </w:rPr>
              <w:t>检查项目</w:t>
            </w:r>
          </w:p>
        </w:tc>
        <w:tc>
          <w:tcPr>
            <w:tcW w:w="0" w:type="auto"/>
            <w:vAlign w:val="center"/>
          </w:tcPr>
          <w:p w14:paraId="1F460381">
            <w:pPr>
              <w:jc w:val="center"/>
              <w:rPr>
                <w:b/>
              </w:rPr>
            </w:pPr>
            <w:r>
              <w:rPr>
                <w:b/>
              </w:rPr>
              <w:t>检查标准</w:t>
            </w:r>
          </w:p>
        </w:tc>
        <w:tc>
          <w:tcPr>
            <w:tcW w:w="0" w:type="auto"/>
            <w:vAlign w:val="center"/>
          </w:tcPr>
          <w:p w14:paraId="369C9D9A">
            <w:pPr>
              <w:jc w:val="center"/>
              <w:rPr>
                <w:b/>
              </w:rPr>
            </w:pPr>
            <w:r>
              <w:rPr>
                <w:b/>
              </w:rPr>
              <w:t>检查工具</w:t>
            </w:r>
          </w:p>
        </w:tc>
        <w:tc>
          <w:tcPr>
            <w:tcW w:w="0" w:type="auto"/>
            <w:vAlign w:val="center"/>
          </w:tcPr>
          <w:p w14:paraId="56C49F45">
            <w:pPr>
              <w:jc w:val="center"/>
              <w:rPr>
                <w:b/>
              </w:rPr>
            </w:pPr>
            <w:r>
              <w:rPr>
                <w:b/>
              </w:rPr>
              <w:t>频次</w:t>
            </w:r>
          </w:p>
        </w:tc>
      </w:tr>
      <w:tr w14:paraId="601C41CE">
        <w:tblPrEx>
          <w:tblCellMar>
            <w:top w:w="0" w:type="dxa"/>
            <w:left w:w="0" w:type="dxa"/>
            <w:bottom w:w="0" w:type="dxa"/>
            <w:right w:w="0" w:type="dxa"/>
          </w:tblCellMar>
        </w:tblPrEx>
        <w:tc>
          <w:tcPr>
            <w:tcW w:w="0" w:type="auto"/>
            <w:vAlign w:val="center"/>
          </w:tcPr>
          <w:p w14:paraId="48A476E4">
            <w:r>
              <w:t>链条张紧度</w:t>
            </w:r>
          </w:p>
        </w:tc>
        <w:tc>
          <w:tcPr>
            <w:tcW w:w="0" w:type="auto"/>
            <w:vAlign w:val="center"/>
          </w:tcPr>
          <w:p w14:paraId="6CF32001">
            <w:r>
              <w:t>下垂量=2%-3%中心距</w:t>
            </w:r>
          </w:p>
        </w:tc>
        <w:tc>
          <w:tcPr>
            <w:tcW w:w="0" w:type="auto"/>
            <w:vAlign w:val="center"/>
          </w:tcPr>
          <w:p w14:paraId="4C00ACAB">
            <w:r>
              <w:t>直尺、塞尺</w:t>
            </w:r>
          </w:p>
        </w:tc>
        <w:tc>
          <w:tcPr>
            <w:tcW w:w="0" w:type="auto"/>
            <w:vAlign w:val="center"/>
          </w:tcPr>
          <w:p w14:paraId="3CB2B3FE">
            <w:r>
              <w:t>每班1次</w:t>
            </w:r>
          </w:p>
        </w:tc>
      </w:tr>
      <w:tr w14:paraId="0E048CBC">
        <w:tblPrEx>
          <w:tblCellMar>
            <w:top w:w="0" w:type="dxa"/>
            <w:left w:w="0" w:type="dxa"/>
            <w:bottom w:w="0" w:type="dxa"/>
            <w:right w:w="0" w:type="dxa"/>
          </w:tblCellMar>
        </w:tblPrEx>
        <w:tc>
          <w:tcPr>
            <w:tcW w:w="0" w:type="auto"/>
            <w:vAlign w:val="center"/>
          </w:tcPr>
          <w:p w14:paraId="0597DD6E">
            <w:r>
              <w:t>激光传感器镜头</w:t>
            </w:r>
          </w:p>
        </w:tc>
        <w:tc>
          <w:tcPr>
            <w:tcW w:w="0" w:type="auto"/>
            <w:vAlign w:val="center"/>
          </w:tcPr>
          <w:p w14:paraId="2D7A571E">
            <w:r>
              <w:t>无油污、无划痕</w:t>
            </w:r>
          </w:p>
        </w:tc>
        <w:tc>
          <w:tcPr>
            <w:tcW w:w="0" w:type="auto"/>
            <w:vAlign w:val="center"/>
          </w:tcPr>
          <w:p w14:paraId="2B2804C5">
            <w:r>
              <w:t>目视、镜头纸</w:t>
            </w:r>
          </w:p>
        </w:tc>
        <w:tc>
          <w:tcPr>
            <w:tcW w:w="0" w:type="auto"/>
            <w:vAlign w:val="center"/>
          </w:tcPr>
          <w:p w14:paraId="5E157338">
            <w:r>
              <w:t>每班2次</w:t>
            </w:r>
          </w:p>
        </w:tc>
      </w:tr>
      <w:tr w14:paraId="26564471">
        <w:tc>
          <w:tcPr>
            <w:tcW w:w="0" w:type="auto"/>
            <w:vAlign w:val="center"/>
          </w:tcPr>
          <w:p w14:paraId="516DBCB2">
            <w:r>
              <w:t>液压油位</w:t>
            </w:r>
          </w:p>
        </w:tc>
        <w:tc>
          <w:tcPr>
            <w:tcW w:w="0" w:type="auto"/>
            <w:vAlign w:val="center"/>
          </w:tcPr>
          <w:p w14:paraId="03543706">
            <w:r>
              <w:t>液位计1/2-2/3，油质清澈（无乳化、发黑）</w:t>
            </w:r>
          </w:p>
        </w:tc>
        <w:tc>
          <w:tcPr>
            <w:tcW w:w="0" w:type="auto"/>
            <w:vAlign w:val="center"/>
          </w:tcPr>
          <w:p w14:paraId="1EF44943">
            <w:r>
              <w:t>目视、红外测温仪</w:t>
            </w:r>
          </w:p>
        </w:tc>
        <w:tc>
          <w:tcPr>
            <w:tcW w:w="0" w:type="auto"/>
            <w:vAlign w:val="center"/>
          </w:tcPr>
          <w:p w14:paraId="128A290A">
            <w:r>
              <w:t>每日1次</w:t>
            </w:r>
          </w:p>
        </w:tc>
      </w:tr>
      <w:tr w14:paraId="74C4212F">
        <w:tblPrEx>
          <w:tblCellMar>
            <w:top w:w="0" w:type="dxa"/>
            <w:left w:w="0" w:type="dxa"/>
            <w:bottom w:w="0" w:type="dxa"/>
            <w:right w:w="0" w:type="dxa"/>
          </w:tblCellMar>
        </w:tblPrEx>
        <w:tc>
          <w:tcPr>
            <w:tcW w:w="0" w:type="auto"/>
            <w:vAlign w:val="center"/>
          </w:tcPr>
          <w:p w14:paraId="28CBCAFA">
            <w:r>
              <w:t>定位销磨损</w:t>
            </w:r>
          </w:p>
        </w:tc>
        <w:tc>
          <w:tcPr>
            <w:tcW w:w="0" w:type="auto"/>
            <w:vAlign w:val="center"/>
          </w:tcPr>
          <w:p w14:paraId="1B784D13">
            <w:r>
              <w:t>磨损量≤0.05mm，无卡滞</w:t>
            </w:r>
          </w:p>
        </w:tc>
        <w:tc>
          <w:tcPr>
            <w:tcW w:w="0" w:type="auto"/>
            <w:vAlign w:val="center"/>
          </w:tcPr>
          <w:p w14:paraId="4B4F91AE">
            <w:r>
              <w:t>千分尺、手感</w:t>
            </w:r>
          </w:p>
        </w:tc>
        <w:tc>
          <w:tcPr>
            <w:tcW w:w="0" w:type="auto"/>
            <w:vAlign w:val="center"/>
          </w:tcPr>
          <w:p w14:paraId="6D3A6523">
            <w:r>
              <w:t>每班1次</w:t>
            </w:r>
          </w:p>
        </w:tc>
      </w:tr>
      <w:tr w14:paraId="0B45280E">
        <w:tblPrEx>
          <w:tblCellMar>
            <w:top w:w="0" w:type="dxa"/>
            <w:left w:w="0" w:type="dxa"/>
            <w:bottom w:w="0" w:type="dxa"/>
            <w:right w:w="0" w:type="dxa"/>
          </w:tblCellMar>
        </w:tblPrEx>
        <w:tc>
          <w:tcPr>
            <w:tcW w:w="0" w:type="auto"/>
            <w:vAlign w:val="center"/>
          </w:tcPr>
          <w:p w14:paraId="3DEEAD1D">
            <w:r>
              <w:t>安全光幕</w:t>
            </w:r>
          </w:p>
        </w:tc>
        <w:tc>
          <w:tcPr>
            <w:tcW w:w="0" w:type="auto"/>
            <w:vAlign w:val="center"/>
          </w:tcPr>
          <w:p w14:paraId="49D32CC5">
            <w:r>
              <w:t>遮挡任意光束，设备立即停机</w:t>
            </w:r>
          </w:p>
        </w:tc>
        <w:tc>
          <w:tcPr>
            <w:tcW w:w="0" w:type="auto"/>
            <w:vAlign w:val="center"/>
          </w:tcPr>
          <w:p w14:paraId="05A8743C">
            <w:r>
              <w:t>遮光测试</w:t>
            </w:r>
          </w:p>
        </w:tc>
        <w:tc>
          <w:tcPr>
            <w:tcW w:w="0" w:type="auto"/>
            <w:vAlign w:val="center"/>
          </w:tcPr>
          <w:p w14:paraId="1BAC50CA">
            <w:r>
              <w:t>每班1次</w:t>
            </w:r>
          </w:p>
        </w:tc>
      </w:tr>
    </w:tbl>
    <w:p w14:paraId="2E9FD148">
      <w:r>
        <w:rPr>
          <w:b/>
        </w:rPr>
        <w:t>异常处理</w:t>
      </w:r>
      <w:r>
        <w:t>：点检发现异常时，立即停机并记录“设备点检表”（注明现象、时间），通知维护人员处理，未排除前禁止开机。</w:t>
      </w:r>
    </w:p>
    <w:p w14:paraId="3070FF15">
      <w:pPr>
        <w:pStyle w:val="4"/>
      </w:pPr>
      <w:r>
        <w:t>6.2 定期保养</w:t>
      </w:r>
    </w:p>
    <w:p w14:paraId="0FC50C78">
      <w:pPr>
        <w:pStyle w:val="5"/>
      </w:pPr>
      <w:r>
        <w:t>每周保养</w:t>
      </w:r>
    </w:p>
    <w:p w14:paraId="6E9CF5D6">
      <w:pPr>
        <w:numPr>
          <w:ilvl w:val="0"/>
          <w:numId w:val="29"/>
        </w:numPr>
        <w:spacing w:before="0" w:beforeAutospacing="1" w:after="0" w:afterAutospacing="1"/>
        <w:ind w:left="720" w:hanging="360"/>
      </w:pPr>
      <w:r>
        <w:rPr>
          <w:b/>
        </w:rPr>
        <w:t>润滑</w:t>
      </w:r>
      <w:r>
        <w:t>：导轨、滚珠丝杠加注锂基润滑脂（ZL-3），用量为导轨长度的1/3（均匀涂抹）；链条喷涂链条油（ISO VG32），每节1-2滴；</w:t>
      </w:r>
    </w:p>
    <w:p w14:paraId="15CC781A">
      <w:pPr>
        <w:numPr>
          <w:ilvl w:val="0"/>
          <w:numId w:val="29"/>
        </w:numPr>
        <w:spacing w:before="0" w:beforeAutospacing="1" w:after="0" w:afterAutospacing="1"/>
        <w:ind w:left="720" w:hanging="360"/>
      </w:pPr>
      <w:r>
        <w:rPr>
          <w:b/>
        </w:rPr>
        <w:t>紧固</w:t>
      </w:r>
      <w:r>
        <w:t>：紧固定位销螺栓（扭矩25N·m）、链轮固定螺栓（扭矩40N·m）；</w:t>
      </w:r>
    </w:p>
    <w:p w14:paraId="5CBD7EDC">
      <w:pPr>
        <w:numPr>
          <w:ilvl w:val="0"/>
          <w:numId w:val="29"/>
        </w:numPr>
        <w:spacing w:before="0" w:beforeAutospacing="1" w:after="0" w:afterAutospacing="1"/>
        <w:ind w:left="720" w:hanging="360"/>
      </w:pPr>
      <w:r>
        <w:rPr>
          <w:b/>
        </w:rPr>
        <w:t>清洁</w:t>
      </w:r>
      <w:r>
        <w:t>：用高压空气吹扫电气柜滤网、编码器读数头，确保无粉尘堆积。</w:t>
      </w:r>
    </w:p>
    <w:p w14:paraId="6ED4AAF6">
      <w:pPr>
        <w:pStyle w:val="5"/>
      </w:pPr>
      <w:r>
        <w:t>每月保养</w:t>
      </w:r>
    </w:p>
    <w:p w14:paraId="3580B41B">
      <w:pPr>
        <w:numPr>
          <w:ilvl w:val="0"/>
          <w:numId w:val="30"/>
        </w:numPr>
        <w:spacing w:before="0" w:beforeAutospacing="1" w:after="0" w:afterAutospacing="1"/>
        <w:ind w:left="720" w:hanging="360"/>
      </w:pPr>
      <w:r>
        <w:rPr>
          <w:b/>
        </w:rPr>
        <w:t>校准</w:t>
      </w:r>
      <w:r>
        <w:t>：校准激光传感器（三点校准法）、编码器定位精度（用激光干涉仪检测，偏差≤±0.01mm）；</w:t>
      </w:r>
    </w:p>
    <w:p w14:paraId="2B4E5487">
      <w:pPr>
        <w:numPr>
          <w:ilvl w:val="0"/>
          <w:numId w:val="30"/>
        </w:numPr>
        <w:spacing w:before="0" w:beforeAutospacing="1" w:after="0" w:afterAutospacing="1"/>
        <w:ind w:left="720" w:hanging="360"/>
      </w:pPr>
      <w:r>
        <w:rPr>
          <w:b/>
        </w:rPr>
        <w:t>液压系统</w:t>
      </w:r>
      <w:r>
        <w:t>：检测液压油污染度（NAS 8级），油质超标时更换46#抗磨液压油；检查油箱通气帽滤芯，堵塞时更换（精度10μm）；</w:t>
      </w:r>
    </w:p>
    <w:p w14:paraId="437AAF5A">
      <w:pPr>
        <w:numPr>
          <w:ilvl w:val="0"/>
          <w:numId w:val="30"/>
        </w:numPr>
        <w:spacing w:before="0" w:beforeAutospacing="1" w:after="0" w:afterAutospacing="1"/>
        <w:ind w:left="720" w:hanging="360"/>
      </w:pPr>
      <w:r>
        <w:rPr>
          <w:b/>
        </w:rPr>
        <w:t>气动系统</w:t>
      </w:r>
      <w:r>
        <w:t>：排水（气源三联件水杯、储气罐），调整油雾器滴油量1滴/分钟（油型号ISO VG32）。</w:t>
      </w:r>
    </w:p>
    <w:p w14:paraId="56BBA80D">
      <w:pPr>
        <w:pStyle w:val="5"/>
      </w:pPr>
      <w:r>
        <w:t>季度保养</w:t>
      </w:r>
    </w:p>
    <w:p w14:paraId="693C2001">
      <w:pPr>
        <w:numPr>
          <w:ilvl w:val="0"/>
          <w:numId w:val="31"/>
        </w:numPr>
        <w:spacing w:before="0" w:beforeAutospacing="1" w:after="0" w:afterAutospacing="1"/>
        <w:ind w:left="720" w:hanging="360"/>
      </w:pPr>
      <w:r>
        <w:rPr>
          <w:b/>
        </w:rPr>
        <w:t>部件检查</w:t>
      </w:r>
      <w:r>
        <w:t>：检查同步带磨损（齿面磨损≤0.2mm）、真空吸盘老化（邵氏硬度60±5 Shore A）、电机绝缘电阻（相间≥0.5MΩ，对地≥1MΩ）；</w:t>
      </w:r>
    </w:p>
    <w:p w14:paraId="70BB75A7">
      <w:pPr>
        <w:numPr>
          <w:ilvl w:val="0"/>
          <w:numId w:val="31"/>
        </w:numPr>
        <w:spacing w:before="0" w:beforeAutospacing="1" w:after="0" w:afterAutospacing="1"/>
        <w:ind w:left="720" w:hanging="360"/>
      </w:pPr>
      <w:r>
        <w:rPr>
          <w:b/>
        </w:rPr>
        <w:t>安全装置</w:t>
      </w:r>
      <w:r>
        <w:t>：测试急停回路响应时间（≤0.1s），安全光幕遮光测试（100%遮光率时停机）。</w:t>
      </w:r>
    </w:p>
    <w:p w14:paraId="1C0754F9">
      <w:pPr>
        <w:pStyle w:val="5"/>
      </w:pPr>
      <w:r>
        <w:t>年度保养</w:t>
      </w:r>
    </w:p>
    <w:p w14:paraId="1B94E1F0">
      <w:pPr>
        <w:numPr>
          <w:ilvl w:val="0"/>
          <w:numId w:val="32"/>
        </w:numPr>
        <w:spacing w:before="0" w:beforeAutospacing="1" w:after="0" w:afterAutospacing="1"/>
        <w:ind w:left="720" w:hanging="360"/>
      </w:pPr>
      <w:r>
        <w:rPr>
          <w:b/>
        </w:rPr>
        <w:t>精度恢复</w:t>
      </w:r>
      <w:r>
        <w:t>：用激光干涉仪校准所有线性轴定位精度（≤±0.01mm）、重复定位精度（≤±0.005mm）；</w:t>
      </w:r>
    </w:p>
    <w:p w14:paraId="49C6D231">
      <w:pPr>
        <w:numPr>
          <w:ilvl w:val="0"/>
          <w:numId w:val="32"/>
        </w:numPr>
        <w:spacing w:before="0" w:beforeAutospacing="1" w:after="0" w:afterAutospacing="1"/>
        <w:ind w:left="720" w:hanging="360"/>
      </w:pPr>
      <w:r>
        <w:rPr>
          <w:b/>
        </w:rPr>
        <w:t>易损件更换</w:t>
      </w:r>
      <w:r>
        <w:t>：更换链条（节距伸长＞2%）、定位销（磨损量＞0.1mm）、液压密封件（O型圈、活塞杆密封）。</w:t>
      </w:r>
    </w:p>
    <w:p w14:paraId="1AAB2004">
      <w:pPr>
        <w:pStyle w:val="4"/>
      </w:pPr>
      <w:r>
        <w:t>6.3 预防性维护与安全注意事项</w:t>
      </w:r>
    </w:p>
    <w:p w14:paraId="6EB36DB5">
      <w:pPr>
        <w:pStyle w:val="5"/>
      </w:pPr>
      <w:r>
        <w:t>易损件更换计划</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122A063">
        <w:tblPrEx>
          <w:tblCellMar>
            <w:top w:w="0" w:type="dxa"/>
            <w:left w:w="0" w:type="dxa"/>
            <w:bottom w:w="0" w:type="dxa"/>
            <w:right w:w="0" w:type="dxa"/>
          </w:tblCellMar>
        </w:tblPrEx>
        <w:tc>
          <w:tcPr>
            <w:tcW w:w="0" w:type="auto"/>
            <w:vAlign w:val="center"/>
          </w:tcPr>
          <w:p w14:paraId="70A7D3F9">
            <w:pPr>
              <w:jc w:val="center"/>
              <w:rPr>
                <w:b/>
              </w:rPr>
            </w:pPr>
            <w:r>
              <w:rPr>
                <w:b/>
              </w:rPr>
              <w:t>易损件名称</w:t>
            </w:r>
          </w:p>
        </w:tc>
        <w:tc>
          <w:tcPr>
            <w:tcW w:w="0" w:type="auto"/>
            <w:vAlign w:val="center"/>
          </w:tcPr>
          <w:p w14:paraId="5460F5D7">
            <w:pPr>
              <w:jc w:val="center"/>
              <w:rPr>
                <w:b/>
              </w:rPr>
            </w:pPr>
            <w:r>
              <w:rPr>
                <w:b/>
              </w:rPr>
              <w:t>材质/型号</w:t>
            </w:r>
          </w:p>
        </w:tc>
        <w:tc>
          <w:tcPr>
            <w:tcW w:w="0" w:type="auto"/>
            <w:vAlign w:val="center"/>
          </w:tcPr>
          <w:p w14:paraId="60810C5B">
            <w:pPr>
              <w:jc w:val="center"/>
              <w:rPr>
                <w:b/>
              </w:rPr>
            </w:pPr>
            <w:r>
              <w:rPr>
                <w:b/>
              </w:rPr>
              <w:t>更换周期</w:t>
            </w:r>
          </w:p>
        </w:tc>
        <w:tc>
          <w:tcPr>
            <w:tcW w:w="0" w:type="auto"/>
            <w:vAlign w:val="center"/>
          </w:tcPr>
          <w:p w14:paraId="64E28B31">
            <w:pPr>
              <w:jc w:val="center"/>
              <w:rPr>
                <w:b/>
              </w:rPr>
            </w:pPr>
            <w:r>
              <w:rPr>
                <w:b/>
              </w:rPr>
              <w:t>更换标准</w:t>
            </w:r>
          </w:p>
        </w:tc>
        <w:tc>
          <w:tcPr>
            <w:tcW w:w="0" w:type="auto"/>
            <w:vAlign w:val="center"/>
          </w:tcPr>
          <w:p w14:paraId="0BE1C2A9">
            <w:pPr>
              <w:jc w:val="center"/>
              <w:rPr>
                <w:b/>
              </w:rPr>
            </w:pPr>
            <w:r>
              <w:rPr>
                <w:b/>
              </w:rPr>
              <w:t>库存数量</w:t>
            </w:r>
          </w:p>
        </w:tc>
      </w:tr>
      <w:tr w14:paraId="1B297714">
        <w:tblPrEx>
          <w:tblCellMar>
            <w:top w:w="0" w:type="dxa"/>
            <w:left w:w="0" w:type="dxa"/>
            <w:bottom w:w="0" w:type="dxa"/>
            <w:right w:w="0" w:type="dxa"/>
          </w:tblCellMar>
        </w:tblPrEx>
        <w:tc>
          <w:tcPr>
            <w:tcW w:w="0" w:type="auto"/>
            <w:vAlign w:val="center"/>
          </w:tcPr>
          <w:p w14:paraId="0BAF75C4">
            <w:r>
              <w:t>定位销</w:t>
            </w:r>
          </w:p>
        </w:tc>
        <w:tc>
          <w:tcPr>
            <w:tcW w:w="0" w:type="auto"/>
            <w:vAlign w:val="center"/>
          </w:tcPr>
          <w:p w14:paraId="7F6AC44D">
            <w:r>
              <w:t>Cr12MoV，φ20h6</w:t>
            </w:r>
          </w:p>
        </w:tc>
        <w:tc>
          <w:tcPr>
            <w:tcW w:w="0" w:type="auto"/>
            <w:vAlign w:val="center"/>
          </w:tcPr>
          <w:p w14:paraId="6B6A5B53">
            <w:r>
              <w:t>5万次输送</w:t>
            </w:r>
          </w:p>
        </w:tc>
        <w:tc>
          <w:tcPr>
            <w:tcW w:w="0" w:type="auto"/>
            <w:vAlign w:val="center"/>
          </w:tcPr>
          <w:p w14:paraId="47620B0E">
            <w:r>
              <w:t>磨损量＞0.1mm或变形</w:t>
            </w:r>
          </w:p>
        </w:tc>
        <w:tc>
          <w:tcPr>
            <w:tcW w:w="0" w:type="auto"/>
            <w:vAlign w:val="center"/>
          </w:tcPr>
          <w:p w14:paraId="256E57D4">
            <w:r>
              <w:t>5件</w:t>
            </w:r>
          </w:p>
        </w:tc>
      </w:tr>
      <w:tr w14:paraId="6FC66896">
        <w:tblPrEx>
          <w:tblCellMar>
            <w:top w:w="0" w:type="dxa"/>
            <w:left w:w="0" w:type="dxa"/>
            <w:bottom w:w="0" w:type="dxa"/>
            <w:right w:w="0" w:type="dxa"/>
          </w:tblCellMar>
        </w:tblPrEx>
        <w:tc>
          <w:tcPr>
            <w:tcW w:w="0" w:type="auto"/>
            <w:vAlign w:val="center"/>
          </w:tcPr>
          <w:p w14:paraId="073B0742">
            <w:r>
              <w:t>真空吸盘</w:t>
            </w:r>
          </w:p>
        </w:tc>
        <w:tc>
          <w:tcPr>
            <w:tcW w:w="0" w:type="auto"/>
            <w:vAlign w:val="center"/>
          </w:tcPr>
          <w:p w14:paraId="23FAB8BE">
            <w:r>
              <w:t>丁腈橡胶，φ50mm</w:t>
            </w:r>
          </w:p>
        </w:tc>
        <w:tc>
          <w:tcPr>
            <w:tcW w:w="0" w:type="auto"/>
            <w:vAlign w:val="center"/>
          </w:tcPr>
          <w:p w14:paraId="7BEB4094">
            <w:r>
              <w:t>3个月</w:t>
            </w:r>
          </w:p>
        </w:tc>
        <w:tc>
          <w:tcPr>
            <w:tcW w:w="0" w:type="auto"/>
            <w:vAlign w:val="center"/>
          </w:tcPr>
          <w:p w14:paraId="6C4A53DA">
            <w:r>
              <w:t>表面裂纹或负压＜-70kPa</w:t>
            </w:r>
          </w:p>
        </w:tc>
        <w:tc>
          <w:tcPr>
            <w:tcW w:w="0" w:type="auto"/>
            <w:vAlign w:val="center"/>
          </w:tcPr>
          <w:p w14:paraId="290929B0">
            <w:r>
              <w:t>10个</w:t>
            </w:r>
          </w:p>
        </w:tc>
      </w:tr>
      <w:tr w14:paraId="62A818BE">
        <w:tc>
          <w:tcPr>
            <w:tcW w:w="0" w:type="auto"/>
            <w:vAlign w:val="center"/>
          </w:tcPr>
          <w:p w14:paraId="3BA35CBA">
            <w:r>
              <w:t>链条</w:t>
            </w:r>
          </w:p>
        </w:tc>
        <w:tc>
          <w:tcPr>
            <w:tcW w:w="0" w:type="auto"/>
            <w:vAlign w:val="center"/>
          </w:tcPr>
          <w:p w14:paraId="32B7FFB5">
            <w:r>
              <w:t>16A，节距25.4mm</w:t>
            </w:r>
          </w:p>
        </w:tc>
        <w:tc>
          <w:tcPr>
            <w:tcW w:w="0" w:type="auto"/>
            <w:vAlign w:val="center"/>
          </w:tcPr>
          <w:p w14:paraId="4690680A">
            <w:r>
              <w:t>2年</w:t>
            </w:r>
          </w:p>
        </w:tc>
        <w:tc>
          <w:tcPr>
            <w:tcW w:w="0" w:type="auto"/>
            <w:vAlign w:val="center"/>
          </w:tcPr>
          <w:p w14:paraId="5FB490C5">
            <w:r>
              <w:t>节距伸长＞2%或链板变形</w:t>
            </w:r>
          </w:p>
        </w:tc>
        <w:tc>
          <w:tcPr>
            <w:tcW w:w="0" w:type="auto"/>
            <w:vAlign w:val="center"/>
          </w:tcPr>
          <w:p w14:paraId="770B72B7">
            <w:r>
              <w:t>1条</w:t>
            </w:r>
          </w:p>
        </w:tc>
      </w:tr>
      <w:tr w14:paraId="15ADACCF">
        <w:tblPrEx>
          <w:tblCellMar>
            <w:top w:w="0" w:type="dxa"/>
            <w:left w:w="0" w:type="dxa"/>
            <w:bottom w:w="0" w:type="dxa"/>
            <w:right w:w="0" w:type="dxa"/>
          </w:tblCellMar>
        </w:tblPrEx>
        <w:tc>
          <w:tcPr>
            <w:tcW w:w="0" w:type="auto"/>
            <w:vAlign w:val="center"/>
          </w:tcPr>
          <w:p w14:paraId="213FD77F">
            <w:r>
              <w:t>导轨滑块</w:t>
            </w:r>
          </w:p>
        </w:tc>
        <w:tc>
          <w:tcPr>
            <w:tcW w:w="0" w:type="auto"/>
            <w:vAlign w:val="center"/>
          </w:tcPr>
          <w:p w14:paraId="65F0085E">
            <w:r>
              <w:t>HGW20CA</w:t>
            </w:r>
          </w:p>
        </w:tc>
        <w:tc>
          <w:tcPr>
            <w:tcW w:w="0" w:type="auto"/>
            <w:vAlign w:val="center"/>
          </w:tcPr>
          <w:p w14:paraId="69A7FEF3">
            <w:r>
              <w:t>2年</w:t>
            </w:r>
          </w:p>
        </w:tc>
        <w:tc>
          <w:tcPr>
            <w:tcW w:w="0" w:type="auto"/>
            <w:vAlign w:val="center"/>
          </w:tcPr>
          <w:p w14:paraId="2FE39B42">
            <w:r>
              <w:t>间隙＞0.1mm或异响</w:t>
            </w:r>
          </w:p>
        </w:tc>
        <w:tc>
          <w:tcPr>
            <w:tcW w:w="0" w:type="auto"/>
            <w:vAlign w:val="center"/>
          </w:tcPr>
          <w:p w14:paraId="00E2F52C">
            <w:r>
              <w:t>2套</w:t>
            </w:r>
          </w:p>
        </w:tc>
      </w:tr>
    </w:tbl>
    <w:p w14:paraId="593CBE36">
      <w:pPr>
        <w:pStyle w:val="5"/>
      </w:pPr>
      <w:r>
        <w:t>安全注意事项</w:t>
      </w:r>
    </w:p>
    <w:p w14:paraId="38CB2701">
      <w:pPr>
        <w:numPr>
          <w:ilvl w:val="0"/>
          <w:numId w:val="33"/>
        </w:numPr>
        <w:spacing w:before="0" w:beforeAutospacing="1" w:after="0" w:afterAutospacing="1"/>
        <w:ind w:left="720" w:hanging="360"/>
      </w:pPr>
      <w:r>
        <w:rPr>
          <w:b/>
        </w:rPr>
        <w:t>维护作业</w:t>
      </w:r>
      <w:r>
        <w:t>：执行“上锁挂牌”程序，切断主电源、气源、液压源，悬挂“正在维护，禁止合闸”警示牌，使用绝缘工具（绝缘手套、绝缘垫）；</w:t>
      </w:r>
    </w:p>
    <w:p w14:paraId="45051EE7">
      <w:pPr>
        <w:numPr>
          <w:ilvl w:val="0"/>
          <w:numId w:val="33"/>
        </w:numPr>
        <w:spacing w:before="0" w:beforeAutospacing="1" w:after="0" w:afterAutospacing="1"/>
        <w:ind w:left="720" w:hanging="360"/>
      </w:pPr>
      <w:r>
        <w:rPr>
          <w:b/>
        </w:rPr>
        <w:t>高空作业</w:t>
      </w:r>
      <w:r>
        <w:t>：登高（≥1.2m）时系安全带，工具用绳索系挂，防止坠落；</w:t>
      </w:r>
    </w:p>
    <w:p w14:paraId="797430AD">
      <w:pPr>
        <w:numPr>
          <w:ilvl w:val="0"/>
          <w:numId w:val="33"/>
        </w:numPr>
        <w:spacing w:before="0" w:beforeAutospacing="1" w:after="0" w:afterAutospacing="1"/>
        <w:ind w:left="720" w:hanging="360"/>
      </w:pPr>
      <w:r>
        <w:rPr>
          <w:b/>
        </w:rPr>
        <w:t>液压系统</w:t>
      </w:r>
      <w:r>
        <w:t>：拆卸管路前，启动系统卸压至0MPa，松开接头时用抹布遮挡，防止油液喷射；</w:t>
      </w:r>
    </w:p>
    <w:p w14:paraId="0299F37D">
      <w:pPr>
        <w:numPr>
          <w:ilvl w:val="0"/>
          <w:numId w:val="33"/>
        </w:numPr>
        <w:spacing w:before="0" w:beforeAutospacing="1" w:after="0" w:afterAutospacing="1"/>
        <w:ind w:left="720" w:hanging="360"/>
      </w:pPr>
      <w:r>
        <w:rPr>
          <w:b/>
        </w:rPr>
        <w:t>电气作业</w:t>
      </w:r>
      <w:r>
        <w:t>：禁止带电作业，潮湿环境（湿度＞65%）下停止电气检查，测量绝缘电阻时断开所有电子元件。</w:t>
      </w:r>
    </w:p>
    <w:p w14:paraId="541FB19B">
      <w:pPr>
        <w:pStyle w:val="3"/>
      </w:pPr>
      <w:r>
        <w:t>七、技术参数与选型参考</w:t>
      </w:r>
    </w:p>
    <w:p w14:paraId="0FEC71E6">
      <w:pPr>
        <w:pStyle w:val="4"/>
      </w:pPr>
      <w:r>
        <w:t>7.1 技术参数表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E48417D">
        <w:tblPrEx>
          <w:tblCellMar>
            <w:top w:w="0" w:type="dxa"/>
            <w:left w:w="0" w:type="dxa"/>
            <w:bottom w:w="0" w:type="dxa"/>
            <w:right w:w="0" w:type="dxa"/>
          </w:tblCellMar>
        </w:tblPrEx>
        <w:tc>
          <w:tcPr>
            <w:tcW w:w="0" w:type="auto"/>
            <w:vAlign w:val="center"/>
          </w:tcPr>
          <w:p w14:paraId="29B19A7A">
            <w:pPr>
              <w:jc w:val="center"/>
              <w:rPr>
                <w:b/>
              </w:rPr>
            </w:pPr>
            <w:r>
              <w:rPr>
                <w:b/>
              </w:rPr>
              <w:t>参数</w:t>
            </w:r>
          </w:p>
        </w:tc>
        <w:tc>
          <w:tcPr>
            <w:tcW w:w="0" w:type="auto"/>
            <w:vAlign w:val="center"/>
          </w:tcPr>
          <w:p w14:paraId="3609D88B">
            <w:pPr>
              <w:jc w:val="center"/>
              <w:rPr>
                <w:b/>
              </w:rPr>
            </w:pPr>
            <w:r>
              <w:rPr>
                <w:b/>
              </w:rPr>
              <w:t>半自动集送线</w:t>
            </w:r>
          </w:p>
        </w:tc>
        <w:tc>
          <w:tcPr>
            <w:tcW w:w="0" w:type="auto"/>
            <w:vAlign w:val="center"/>
          </w:tcPr>
          <w:p w14:paraId="7F5CB867">
            <w:pPr>
              <w:jc w:val="center"/>
              <w:rPr>
                <w:b/>
              </w:rPr>
            </w:pPr>
            <w:r>
              <w:rPr>
                <w:b/>
              </w:rPr>
              <w:t>全自动集送线（轻型）</w:t>
            </w:r>
          </w:p>
        </w:tc>
        <w:tc>
          <w:tcPr>
            <w:tcW w:w="0" w:type="auto"/>
            <w:vAlign w:val="center"/>
          </w:tcPr>
          <w:p w14:paraId="24592513">
            <w:pPr>
              <w:jc w:val="center"/>
              <w:rPr>
                <w:b/>
              </w:rPr>
            </w:pPr>
            <w:r>
              <w:rPr>
                <w:b/>
              </w:rPr>
              <w:t>全自动集送线（重型）</w:t>
            </w:r>
          </w:p>
        </w:tc>
      </w:tr>
      <w:tr w14:paraId="77817C46">
        <w:tblPrEx>
          <w:tblCellMar>
            <w:top w:w="0" w:type="dxa"/>
            <w:left w:w="0" w:type="dxa"/>
            <w:bottom w:w="0" w:type="dxa"/>
            <w:right w:w="0" w:type="dxa"/>
          </w:tblCellMar>
        </w:tblPrEx>
        <w:tc>
          <w:tcPr>
            <w:tcW w:w="0" w:type="auto"/>
            <w:vAlign w:val="center"/>
          </w:tcPr>
          <w:p w14:paraId="462D9ADF">
            <w:r>
              <w:t>额定负载</w:t>
            </w:r>
          </w:p>
        </w:tc>
        <w:tc>
          <w:tcPr>
            <w:tcW w:w="0" w:type="auto"/>
            <w:vAlign w:val="center"/>
          </w:tcPr>
          <w:p w14:paraId="1CE95DAA">
            <w:r>
              <w:t>≤500kg/工位</w:t>
            </w:r>
          </w:p>
        </w:tc>
        <w:tc>
          <w:tcPr>
            <w:tcW w:w="0" w:type="auto"/>
            <w:vAlign w:val="center"/>
          </w:tcPr>
          <w:p w14:paraId="7007B156">
            <w:r>
              <w:t>50-300kg/工位</w:t>
            </w:r>
          </w:p>
        </w:tc>
        <w:tc>
          <w:tcPr>
            <w:tcW w:w="0" w:type="auto"/>
            <w:vAlign w:val="center"/>
          </w:tcPr>
          <w:p w14:paraId="0E490C51">
            <w:r>
              <w:t>300-2000kg/工位</w:t>
            </w:r>
          </w:p>
        </w:tc>
      </w:tr>
      <w:tr w14:paraId="24684EED">
        <w:tblPrEx>
          <w:tblCellMar>
            <w:top w:w="0" w:type="dxa"/>
            <w:left w:w="0" w:type="dxa"/>
            <w:bottom w:w="0" w:type="dxa"/>
            <w:right w:w="0" w:type="dxa"/>
          </w:tblCellMar>
        </w:tblPrEx>
        <w:tc>
          <w:tcPr>
            <w:tcW w:w="0" w:type="auto"/>
            <w:vAlign w:val="center"/>
          </w:tcPr>
          <w:p w14:paraId="76ACC844">
            <w:r>
              <w:t>输送速度</w:t>
            </w:r>
          </w:p>
        </w:tc>
        <w:tc>
          <w:tcPr>
            <w:tcW w:w="0" w:type="auto"/>
            <w:vAlign w:val="center"/>
          </w:tcPr>
          <w:p w14:paraId="224BFF27">
            <w:r>
              <w:t>0.3-0.8m/s</w:t>
            </w:r>
          </w:p>
        </w:tc>
        <w:tc>
          <w:tcPr>
            <w:tcW w:w="0" w:type="auto"/>
            <w:vAlign w:val="center"/>
          </w:tcPr>
          <w:p w14:paraId="3E5F16B8">
            <w:r>
              <w:t>0.5-1.5m/s</w:t>
            </w:r>
          </w:p>
        </w:tc>
        <w:tc>
          <w:tcPr>
            <w:tcW w:w="0" w:type="auto"/>
            <w:vAlign w:val="center"/>
          </w:tcPr>
          <w:p w14:paraId="73521A60">
            <w:r>
              <w:t>0.2-1m/s</w:t>
            </w:r>
          </w:p>
        </w:tc>
      </w:tr>
      <w:tr w14:paraId="468C5893">
        <w:tc>
          <w:tcPr>
            <w:tcW w:w="0" w:type="auto"/>
            <w:vAlign w:val="center"/>
          </w:tcPr>
          <w:p w14:paraId="196B4D50">
            <w:r>
              <w:t>定位精度</w:t>
            </w:r>
          </w:p>
        </w:tc>
        <w:tc>
          <w:tcPr>
            <w:tcW w:w="0" w:type="auto"/>
            <w:vAlign w:val="center"/>
          </w:tcPr>
          <w:p w14:paraId="058F862D">
            <w:r>
              <w:t>±0.5mm</w:t>
            </w:r>
          </w:p>
        </w:tc>
        <w:tc>
          <w:tcPr>
            <w:tcW w:w="0" w:type="auto"/>
            <w:vAlign w:val="center"/>
          </w:tcPr>
          <w:p w14:paraId="2BD36707">
            <w:r>
              <w:t>±0.1mm</w:t>
            </w:r>
          </w:p>
        </w:tc>
        <w:tc>
          <w:tcPr>
            <w:tcW w:w="0" w:type="auto"/>
            <w:vAlign w:val="center"/>
          </w:tcPr>
          <w:p w14:paraId="4E4BC66B">
            <w:r>
              <w:t>±0.1mm</w:t>
            </w:r>
          </w:p>
        </w:tc>
      </w:tr>
      <w:tr w14:paraId="407E113F">
        <w:tblPrEx>
          <w:tblCellMar>
            <w:top w:w="0" w:type="dxa"/>
            <w:left w:w="0" w:type="dxa"/>
            <w:bottom w:w="0" w:type="dxa"/>
            <w:right w:w="0" w:type="dxa"/>
          </w:tblCellMar>
        </w:tblPrEx>
        <w:tc>
          <w:tcPr>
            <w:tcW w:w="0" w:type="auto"/>
            <w:vAlign w:val="center"/>
          </w:tcPr>
          <w:p w14:paraId="7B777B1D">
            <w:r>
              <w:t>输送节拍</w:t>
            </w:r>
          </w:p>
        </w:tc>
        <w:tc>
          <w:tcPr>
            <w:tcW w:w="0" w:type="auto"/>
            <w:vAlign w:val="center"/>
          </w:tcPr>
          <w:p w14:paraId="05EBA3A0">
            <w:r>
              <w:t>60秒/台</w:t>
            </w:r>
          </w:p>
        </w:tc>
        <w:tc>
          <w:tcPr>
            <w:tcW w:w="0" w:type="auto"/>
            <w:vAlign w:val="center"/>
          </w:tcPr>
          <w:p w14:paraId="3D163716">
            <w:r>
              <w:t>30秒/台</w:t>
            </w:r>
          </w:p>
        </w:tc>
        <w:tc>
          <w:tcPr>
            <w:tcW w:w="0" w:type="auto"/>
            <w:vAlign w:val="center"/>
          </w:tcPr>
          <w:p w14:paraId="28371510">
            <w:r>
              <w:t>45秒/台</w:t>
            </w:r>
          </w:p>
        </w:tc>
      </w:tr>
      <w:tr w14:paraId="0A9D479C">
        <w:tblPrEx>
          <w:tblCellMar>
            <w:top w:w="0" w:type="dxa"/>
            <w:left w:w="0" w:type="dxa"/>
            <w:bottom w:w="0" w:type="dxa"/>
            <w:right w:w="0" w:type="dxa"/>
          </w:tblCellMar>
        </w:tblPrEx>
        <w:tc>
          <w:tcPr>
            <w:tcW w:w="0" w:type="auto"/>
            <w:vAlign w:val="center"/>
          </w:tcPr>
          <w:p w14:paraId="1B003565">
            <w:r>
              <w:t>电源容量</w:t>
            </w:r>
          </w:p>
        </w:tc>
        <w:tc>
          <w:tcPr>
            <w:tcW w:w="0" w:type="auto"/>
            <w:vAlign w:val="center"/>
          </w:tcPr>
          <w:p w14:paraId="40481600">
            <w:r>
              <w:t>15kW</w:t>
            </w:r>
          </w:p>
        </w:tc>
        <w:tc>
          <w:tcPr>
            <w:tcW w:w="0" w:type="auto"/>
            <w:vAlign w:val="center"/>
          </w:tcPr>
          <w:p w14:paraId="21017708">
            <w:r>
              <w:t>25kW</w:t>
            </w:r>
          </w:p>
        </w:tc>
        <w:tc>
          <w:tcPr>
            <w:tcW w:w="0" w:type="auto"/>
            <w:vAlign w:val="center"/>
          </w:tcPr>
          <w:p w14:paraId="0522F0C6">
            <w:r>
              <w:t>40kW</w:t>
            </w:r>
          </w:p>
        </w:tc>
      </w:tr>
      <w:tr w14:paraId="3B4F889B">
        <w:tblPrEx>
          <w:tblCellMar>
            <w:top w:w="0" w:type="dxa"/>
            <w:left w:w="0" w:type="dxa"/>
            <w:bottom w:w="0" w:type="dxa"/>
            <w:right w:w="0" w:type="dxa"/>
          </w:tblCellMar>
        </w:tblPrEx>
        <w:tc>
          <w:tcPr>
            <w:tcW w:w="0" w:type="auto"/>
            <w:vAlign w:val="center"/>
          </w:tcPr>
          <w:p w14:paraId="7A42F9BE">
            <w:r>
              <w:t>占地面积</w:t>
            </w:r>
          </w:p>
        </w:tc>
        <w:tc>
          <w:tcPr>
            <w:tcW w:w="0" w:type="auto"/>
            <w:vAlign w:val="center"/>
          </w:tcPr>
          <w:p w14:paraId="393F74D5">
            <w:r>
              <w:t>40㎡</w:t>
            </w:r>
          </w:p>
        </w:tc>
        <w:tc>
          <w:tcPr>
            <w:tcW w:w="0" w:type="auto"/>
            <w:vAlign w:val="center"/>
          </w:tcPr>
          <w:p w14:paraId="14CC75DA">
            <w:r>
              <w:t>100㎡</w:t>
            </w:r>
          </w:p>
        </w:tc>
        <w:tc>
          <w:tcPr>
            <w:tcW w:w="0" w:type="auto"/>
            <w:vAlign w:val="center"/>
          </w:tcPr>
          <w:p w14:paraId="5108B8A1">
            <w:r>
              <w:t>200㎡</w:t>
            </w:r>
          </w:p>
        </w:tc>
      </w:tr>
      <w:tr w14:paraId="7121ABB5">
        <w:tc>
          <w:tcPr>
            <w:tcW w:w="0" w:type="auto"/>
            <w:vAlign w:val="center"/>
          </w:tcPr>
          <w:p w14:paraId="1D362A7E">
            <w:r>
              <w:t>适用铁芯规格</w:t>
            </w:r>
          </w:p>
        </w:tc>
        <w:tc>
          <w:tcPr>
            <w:tcW w:w="0" w:type="auto"/>
            <w:vAlign w:val="center"/>
          </w:tcPr>
          <w:p w14:paraId="564303EA">
            <w:r>
              <w:t>宽度50-300mm</w:t>
            </w:r>
          </w:p>
        </w:tc>
        <w:tc>
          <w:tcPr>
            <w:tcW w:w="0" w:type="auto"/>
            <w:vAlign w:val="center"/>
          </w:tcPr>
          <w:p w14:paraId="32C4839D">
            <w:r>
              <w:t>宽度50-500mm</w:t>
            </w:r>
          </w:p>
        </w:tc>
        <w:tc>
          <w:tcPr>
            <w:tcW w:w="0" w:type="auto"/>
            <w:vAlign w:val="center"/>
          </w:tcPr>
          <w:p w14:paraId="0F651E99">
            <w:r>
              <w:t>宽度100-800mm</w:t>
            </w:r>
          </w:p>
        </w:tc>
      </w:tr>
    </w:tbl>
    <w:p w14:paraId="5D00AC70">
      <w:pPr>
        <w:pStyle w:val="4"/>
      </w:pPr>
      <w:r>
        <w:t>7.2 选型依据与方法</w:t>
      </w:r>
    </w:p>
    <w:p w14:paraId="1DCC4659">
      <w:pPr>
        <w:pStyle w:val="5"/>
      </w:pPr>
      <w:r>
        <w:t>选型步骤</w:t>
      </w:r>
    </w:p>
    <w:p w14:paraId="744CB8A0">
      <w:pPr>
        <w:numPr>
          <w:ilvl w:val="0"/>
          <w:numId w:val="34"/>
        </w:numPr>
        <w:spacing w:before="0" w:beforeAutospacing="1" w:after="0" w:afterAutospacing="1"/>
        <w:ind w:left="720" w:hanging="360"/>
      </w:pPr>
      <w:r>
        <w:rPr>
          <w:b/>
        </w:rPr>
        <w:t>确定产能需求</w:t>
      </w:r>
      <w:r>
        <w:t>：根据年产量计算单班输送量（如年产10000台，单班需输送约42台），选择对应节拍的集送线（如30秒/台的全自动线可满足）；</w:t>
      </w:r>
    </w:p>
    <w:p w14:paraId="2FDA3AF0">
      <w:pPr>
        <w:numPr>
          <w:ilvl w:val="0"/>
          <w:numId w:val="34"/>
        </w:numPr>
        <w:spacing w:before="0" w:beforeAutospacing="1" w:after="0" w:afterAutospacing="1"/>
        <w:ind w:left="720" w:hanging="360"/>
      </w:pPr>
      <w:r>
        <w:rPr>
          <w:b/>
        </w:rPr>
        <w:t>明确铁芯规格</w:t>
      </w:r>
      <w:r>
        <w:t>：根据最大铁芯重量（如500kg）、尺寸（宽度500mm）选择负载能力匹配的型号（如轻型/重型）；</w:t>
      </w:r>
    </w:p>
    <w:p w14:paraId="72E8BD1D">
      <w:pPr>
        <w:numPr>
          <w:ilvl w:val="0"/>
          <w:numId w:val="34"/>
        </w:numPr>
        <w:spacing w:before="0" w:beforeAutospacing="1" w:after="0" w:afterAutospacing="1"/>
        <w:ind w:left="720" w:hanging="360"/>
      </w:pPr>
      <w:r>
        <w:rPr>
          <w:b/>
        </w:rPr>
        <w:t>评估自动化程度</w:t>
      </w:r>
      <w:r>
        <w:t>：中小批量多品种（换型＞5次/天）选半自动线；大规模标准化生产选全自动线，降低人工成本；</w:t>
      </w:r>
    </w:p>
    <w:p w14:paraId="6D3BC5E7">
      <w:pPr>
        <w:numPr>
          <w:ilvl w:val="0"/>
          <w:numId w:val="34"/>
        </w:numPr>
        <w:spacing w:before="0" w:beforeAutospacing="1" w:after="0" w:afterAutospacing="1"/>
        <w:ind w:left="720" w:hanging="360"/>
      </w:pPr>
      <w:r>
        <w:rPr>
          <w:b/>
        </w:rPr>
        <w:t>现场条件确认</w:t>
      </w:r>
      <w:r>
        <w:t>：测量车间空间（长度、宽度、高度），确保设备安装尺寸（如重型线需200㎡）及行车配套（起重量≥3吨）；确认动力条件（供电容量、气源流量≥1m³/min）。</w:t>
      </w:r>
    </w:p>
    <w:p w14:paraId="389D3D71">
      <w:pPr>
        <w:pStyle w:val="5"/>
      </w:pPr>
      <w:r>
        <w:t>典型应用案例</w:t>
      </w:r>
    </w:p>
    <w:p w14:paraId="75E5CF9C">
      <w:pPr>
        <w:numPr>
          <w:ilvl w:val="0"/>
          <w:numId w:val="35"/>
        </w:numPr>
        <w:spacing w:before="0" w:beforeAutospacing="1" w:after="0" w:afterAutospacing="1"/>
        <w:ind w:left="720" w:hanging="360"/>
      </w:pPr>
      <w:r>
        <w:rPr>
          <w:b/>
        </w:rPr>
        <w:t>案例1</w:t>
      </w:r>
      <w:r>
        <w:t>：某地方电力公司年产5000台配电变压器，选用半自动集送线（2条），单台铁芯输送时间从人工20分钟缩短至1分钟，操作人员从8人/班减至2人/班，年节省人工成本48万元；</w:t>
      </w:r>
    </w:p>
    <w:p w14:paraId="1C852C96">
      <w:pPr>
        <w:numPr>
          <w:ilvl w:val="0"/>
          <w:numId w:val="35"/>
        </w:numPr>
        <w:spacing w:before="0" w:beforeAutospacing="1" w:after="0" w:afterAutospacing="1"/>
        <w:ind w:left="720" w:hanging="360"/>
      </w:pPr>
      <w:r>
        <w:rPr>
          <w:b/>
        </w:rPr>
        <w:t>案例2</w:t>
      </w:r>
      <w:r>
        <w:t>：新能源光伏逆变器配套变压器生产线，选用全自动轻型集送线（3条），输送节拍30秒/台，定位精度±0.1mm，满足双面叠装需求，合格率从95%提升至99.5%。</w:t>
      </w:r>
    </w:p>
    <w:p w14:paraId="14A90DDC">
      <w:pPr>
        <w:pStyle w:val="4"/>
      </w:pPr>
      <w:r>
        <w:t>7.3 选型注意事项</w:t>
      </w:r>
    </w:p>
    <w:p w14:paraId="35942527">
      <w:pPr>
        <w:numPr>
          <w:ilvl w:val="0"/>
          <w:numId w:val="36"/>
        </w:numPr>
        <w:spacing w:before="0" w:beforeAutospacing="1" w:after="0" w:afterAutospacing="1"/>
        <w:ind w:left="720" w:hanging="360"/>
      </w:pPr>
      <w:r>
        <w:rPr>
          <w:b/>
        </w:rPr>
        <w:t>避免盲目追求高配置</w:t>
      </w:r>
      <w:r>
        <w:t>：普通配电变压器选用±0.1mm定位精度即可，无需追求±0.05mm（成本增加30%）；</w:t>
      </w:r>
    </w:p>
    <w:p w14:paraId="033E4B51">
      <w:pPr>
        <w:numPr>
          <w:ilvl w:val="0"/>
          <w:numId w:val="36"/>
        </w:numPr>
        <w:spacing w:before="0" w:beforeAutospacing="1" w:after="0" w:afterAutospacing="1"/>
        <w:ind w:left="720" w:hanging="360"/>
      </w:pPr>
      <w:r>
        <w:rPr>
          <w:b/>
        </w:rPr>
        <w:t>确认厂家服务能力</w:t>
      </w:r>
      <w:r>
        <w:t>：选择能提供72小时内备件供应、24小时技术支持的厂家，避免故障时无维护保障；</w:t>
      </w:r>
    </w:p>
    <w:p w14:paraId="4A43B444">
      <w:pPr>
        <w:numPr>
          <w:ilvl w:val="0"/>
          <w:numId w:val="36"/>
        </w:numPr>
        <w:spacing w:before="0" w:beforeAutospacing="1" w:after="0" w:afterAutospacing="1"/>
        <w:ind w:left="720" w:hanging="360"/>
      </w:pPr>
      <w:r>
        <w:rPr>
          <w:b/>
        </w:rPr>
        <w:t>工艺验证</w:t>
      </w:r>
      <w:r>
        <w:t>：选型前要求厂家用实际硅钢片料卷试送10台铁芯，检测输送精度、硅钢片损伤率（应≤0.5%）；</w:t>
      </w:r>
    </w:p>
    <w:p w14:paraId="41CF95F5">
      <w:pPr>
        <w:numPr>
          <w:ilvl w:val="0"/>
          <w:numId w:val="36"/>
        </w:numPr>
        <w:spacing w:before="0" w:beforeAutospacing="1" w:after="0" w:afterAutospacing="1"/>
        <w:ind w:left="720" w:hanging="360"/>
      </w:pPr>
      <w:r>
        <w:rPr>
          <w:b/>
        </w:rPr>
        <w:t>考虑未来扩展</w:t>
      </w:r>
      <w:r>
        <w:t>：选择模块化设计的集送线，预留接口（如增加检测工位、扩展储料工位），便于后期产能提升。</w:t>
      </w:r>
    </w:p>
    <w:p w14:paraId="6460DCA4">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7F2D3"/>
    <w:multiLevelType w:val="singleLevel"/>
    <w:tmpl w:val="A767F2D3"/>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3C9588"/>
    <w:multiLevelType w:val="singleLevel"/>
    <w:tmpl w:val="B73C9588"/>
    <w:lvl w:ilvl="0" w:tentative="0">
      <w:start w:val="1"/>
      <w:numFmt w:val="bullet"/>
      <w:lvlText w:val=""/>
      <w:lvlJc w:val="left"/>
      <w:pPr>
        <w:ind w:left="720" w:hanging="360"/>
      </w:pPr>
      <w:rPr>
        <w:rFonts w:hint="default" w:ascii="Symbol" w:hAnsi="Symbol" w:cs="Symbol"/>
        <w:sz w:val="20"/>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7DEE40E"/>
    <w:multiLevelType w:val="singleLevel"/>
    <w:tmpl w:val="B7DEE40E"/>
    <w:lvl w:ilvl="0" w:tentative="0">
      <w:start w:val="1"/>
      <w:numFmt w:val="bullet"/>
      <w:lvlText w:val=""/>
      <w:lvlJc w:val="left"/>
      <w:pPr>
        <w:ind w:left="720" w:hanging="360"/>
      </w:pPr>
      <w:rPr>
        <w:rFonts w:hint="default" w:ascii="Symbol" w:hAnsi="Symbol" w:cs="Symbol"/>
        <w:sz w:val="20"/>
      </w:rPr>
    </w:lvl>
  </w:abstractNum>
  <w:abstractNum w:abstractNumId="6">
    <w:nsid w:val="BDE8F08C"/>
    <w:multiLevelType w:val="singleLevel"/>
    <w:tmpl w:val="BDE8F08C"/>
    <w:lvl w:ilvl="0" w:tentative="0">
      <w:start w:val="1"/>
      <w:numFmt w:val="bullet"/>
      <w:lvlText w:val=""/>
      <w:lvlJc w:val="left"/>
      <w:pPr>
        <w:ind w:left="720" w:hanging="360"/>
      </w:pPr>
      <w:rPr>
        <w:rFonts w:hint="default" w:ascii="Symbol" w:hAnsi="Symbol" w:cs="Symbol"/>
        <w:sz w:val="20"/>
      </w:rPr>
    </w:lvl>
  </w:abstractNum>
  <w:abstractNum w:abstractNumId="7">
    <w:nsid w:val="CDEB5EB2"/>
    <w:multiLevelType w:val="singleLevel"/>
    <w:tmpl w:val="CDEB5EB2"/>
    <w:lvl w:ilvl="0" w:tentative="0">
      <w:start w:val="1"/>
      <w:numFmt w:val="bullet"/>
      <w:lvlText w:val=""/>
      <w:lvlJc w:val="left"/>
      <w:pPr>
        <w:ind w:left="720" w:hanging="360"/>
      </w:pPr>
      <w:rPr>
        <w:rFonts w:hint="default" w:ascii="Symbol" w:hAnsi="Symbol" w:cs="Symbol"/>
        <w:sz w:val="20"/>
      </w:rPr>
    </w:lvl>
  </w:abstractNum>
  <w:abstractNum w:abstractNumId="8">
    <w:nsid w:val="DF79DF9D"/>
    <w:multiLevelType w:val="singleLevel"/>
    <w:tmpl w:val="DF79DF9D"/>
    <w:lvl w:ilvl="0" w:tentative="0">
      <w:start w:val="1"/>
      <w:numFmt w:val="bullet"/>
      <w:lvlText w:val=""/>
      <w:lvlJc w:val="left"/>
      <w:pPr>
        <w:ind w:left="720" w:hanging="360"/>
      </w:pPr>
      <w:rPr>
        <w:rFonts w:hint="default" w:ascii="Symbol" w:hAnsi="Symbol" w:cs="Symbol"/>
        <w:sz w:val="20"/>
      </w:rPr>
    </w:lvl>
  </w:abstractNum>
  <w:abstractNum w:abstractNumId="9">
    <w:nsid w:val="DFAB9F86"/>
    <w:multiLevelType w:val="singleLevel"/>
    <w:tmpl w:val="DFAB9F86"/>
    <w:lvl w:ilvl="0" w:tentative="0">
      <w:start w:val="1"/>
      <w:numFmt w:val="bullet"/>
      <w:lvlText w:val=""/>
      <w:lvlJc w:val="left"/>
      <w:pPr>
        <w:ind w:left="720" w:hanging="360"/>
      </w:pPr>
      <w:rPr>
        <w:rFonts w:hint="default" w:ascii="Symbol" w:hAnsi="Symbol" w:cs="Symbol"/>
        <w:sz w:val="20"/>
      </w:rPr>
    </w:lvl>
  </w:abstractNum>
  <w:abstractNum w:abstractNumId="10">
    <w:nsid w:val="DFFDCF64"/>
    <w:multiLevelType w:val="singleLevel"/>
    <w:tmpl w:val="DFFDCF64"/>
    <w:lvl w:ilvl="0" w:tentative="0">
      <w:start w:val="1"/>
      <w:numFmt w:val="bullet"/>
      <w:lvlText w:val=""/>
      <w:lvlJc w:val="left"/>
      <w:pPr>
        <w:ind w:left="720" w:hanging="360"/>
      </w:pPr>
      <w:rPr>
        <w:rFonts w:hint="default" w:ascii="Symbol" w:hAnsi="Symbol" w:cs="Symbol"/>
        <w:sz w:val="20"/>
      </w:rPr>
    </w:lvl>
  </w:abstractNum>
  <w:abstractNum w:abstractNumId="11">
    <w:nsid w:val="EF6F9602"/>
    <w:multiLevelType w:val="singleLevel"/>
    <w:tmpl w:val="EF6F9602"/>
    <w:lvl w:ilvl="0" w:tentative="0">
      <w:start w:val="1"/>
      <w:numFmt w:val="decimal"/>
      <w:lvlText w:val="%1."/>
      <w:lvlJc w:val="left"/>
      <w:pPr>
        <w:ind w:left="720" w:hanging="360"/>
      </w:pPr>
      <w:rPr>
        <w:sz w:val="24"/>
      </w:rPr>
    </w:lvl>
  </w:abstractNum>
  <w:abstractNum w:abstractNumId="12">
    <w:nsid w:val="F16E354E"/>
    <w:multiLevelType w:val="singleLevel"/>
    <w:tmpl w:val="F16E354E"/>
    <w:lvl w:ilvl="0" w:tentative="0">
      <w:start w:val="1"/>
      <w:numFmt w:val="bullet"/>
      <w:lvlText w:val=""/>
      <w:lvlJc w:val="left"/>
      <w:pPr>
        <w:ind w:left="720" w:hanging="360"/>
      </w:pPr>
      <w:rPr>
        <w:rFonts w:hint="default" w:ascii="Symbol" w:hAnsi="Symbol" w:cs="Symbol"/>
        <w:sz w:val="20"/>
      </w:rPr>
    </w:lvl>
  </w:abstractNum>
  <w:abstractNum w:abstractNumId="1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4">
    <w:nsid w:val="F77CE523"/>
    <w:multiLevelType w:val="singleLevel"/>
    <w:tmpl w:val="F77CE523"/>
    <w:lvl w:ilvl="0" w:tentative="0">
      <w:start w:val="1"/>
      <w:numFmt w:val="bullet"/>
      <w:lvlText w:val=""/>
      <w:lvlJc w:val="left"/>
      <w:pPr>
        <w:ind w:left="720" w:hanging="360"/>
      </w:pPr>
      <w:rPr>
        <w:rFonts w:hint="default" w:ascii="Symbol" w:hAnsi="Symbol" w:cs="Symbol"/>
        <w:sz w:val="20"/>
      </w:rPr>
    </w:lvl>
  </w:abstractNum>
  <w:abstractNum w:abstractNumId="15">
    <w:nsid w:val="F7FF817E"/>
    <w:multiLevelType w:val="singleLevel"/>
    <w:tmpl w:val="F7FF817E"/>
    <w:lvl w:ilvl="0" w:tentative="0">
      <w:start w:val="1"/>
      <w:numFmt w:val="decimal"/>
      <w:lvlText w:val="%1."/>
      <w:lvlJc w:val="left"/>
      <w:pPr>
        <w:ind w:left="720" w:hanging="360"/>
      </w:pPr>
      <w:rPr>
        <w:sz w:val="24"/>
      </w:rPr>
    </w:lvl>
  </w:abstractNum>
  <w:abstractNum w:abstractNumId="16">
    <w:nsid w:val="FB3E1F8A"/>
    <w:multiLevelType w:val="singleLevel"/>
    <w:tmpl w:val="FB3E1F8A"/>
    <w:lvl w:ilvl="0" w:tentative="0">
      <w:start w:val="1"/>
      <w:numFmt w:val="bullet"/>
      <w:lvlText w:val=""/>
      <w:lvlJc w:val="left"/>
      <w:pPr>
        <w:ind w:left="720" w:hanging="360"/>
      </w:pPr>
      <w:rPr>
        <w:rFonts w:hint="default" w:ascii="Symbol" w:hAnsi="Symbol" w:cs="Symbol"/>
        <w:sz w:val="20"/>
      </w:rPr>
    </w:lvl>
  </w:abstractNum>
  <w:abstractNum w:abstractNumId="17">
    <w:nsid w:val="FB7E71C0"/>
    <w:multiLevelType w:val="singleLevel"/>
    <w:tmpl w:val="FB7E71C0"/>
    <w:lvl w:ilvl="0" w:tentative="0">
      <w:start w:val="1"/>
      <w:numFmt w:val="bullet"/>
      <w:lvlText w:val=""/>
      <w:lvlJc w:val="left"/>
      <w:pPr>
        <w:ind w:left="720" w:hanging="360"/>
      </w:pPr>
      <w:rPr>
        <w:rFonts w:hint="default" w:ascii="Symbol" w:hAnsi="Symbol" w:cs="Symbol"/>
        <w:sz w:val="20"/>
      </w:rPr>
    </w:lvl>
  </w:abstractNum>
  <w:abstractNum w:abstractNumId="18">
    <w:nsid w:val="FDB5C6D8"/>
    <w:multiLevelType w:val="singleLevel"/>
    <w:tmpl w:val="FDB5C6D8"/>
    <w:lvl w:ilvl="0" w:tentative="0">
      <w:start w:val="1"/>
      <w:numFmt w:val="bullet"/>
      <w:lvlText w:val=""/>
      <w:lvlJc w:val="left"/>
      <w:pPr>
        <w:ind w:left="720" w:hanging="360"/>
      </w:pPr>
      <w:rPr>
        <w:rFonts w:hint="default" w:ascii="Symbol" w:hAnsi="Symbol" w:cs="Symbol"/>
        <w:sz w:val="20"/>
      </w:rPr>
    </w:lvl>
  </w:abstractNum>
  <w:abstractNum w:abstractNumId="1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2">
    <w:nsid w:val="FFFC72AB"/>
    <w:multiLevelType w:val="singleLevel"/>
    <w:tmpl w:val="FFFC72AB"/>
    <w:lvl w:ilvl="0" w:tentative="0">
      <w:start w:val="1"/>
      <w:numFmt w:val="bullet"/>
      <w:lvlText w:val=""/>
      <w:lvlJc w:val="left"/>
      <w:pPr>
        <w:ind w:left="720" w:hanging="360"/>
      </w:pPr>
      <w:rPr>
        <w:rFonts w:hint="default" w:ascii="Symbol" w:hAnsi="Symbol" w:cs="Symbol"/>
        <w:sz w:val="20"/>
      </w:rPr>
    </w:lvl>
  </w:abstractNum>
  <w:abstractNum w:abstractNumId="2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6">
    <w:nsid w:val="3B8781B3"/>
    <w:multiLevelType w:val="singleLevel"/>
    <w:tmpl w:val="3B8781B3"/>
    <w:lvl w:ilvl="0" w:tentative="0">
      <w:start w:val="1"/>
      <w:numFmt w:val="decimal"/>
      <w:lvlText w:val="%1."/>
      <w:lvlJc w:val="left"/>
      <w:pPr>
        <w:ind w:left="720" w:hanging="360"/>
      </w:pPr>
      <w:rPr>
        <w:sz w:val="24"/>
      </w:rPr>
    </w:lvl>
  </w:abstractNum>
  <w:abstractNum w:abstractNumId="27">
    <w:nsid w:val="3DFEADE9"/>
    <w:multiLevelType w:val="singleLevel"/>
    <w:tmpl w:val="3DFEADE9"/>
    <w:lvl w:ilvl="0" w:tentative="0">
      <w:start w:val="1"/>
      <w:numFmt w:val="bullet"/>
      <w:lvlText w:val=""/>
      <w:lvlJc w:val="left"/>
      <w:pPr>
        <w:ind w:left="720" w:hanging="360"/>
      </w:pPr>
      <w:rPr>
        <w:rFonts w:hint="default" w:ascii="Symbol" w:hAnsi="Symbol" w:cs="Symbol"/>
        <w:sz w:val="20"/>
      </w:rPr>
    </w:lvl>
  </w:abstractNum>
  <w:abstractNum w:abstractNumId="28">
    <w:nsid w:val="3FCA25DF"/>
    <w:multiLevelType w:val="singleLevel"/>
    <w:tmpl w:val="3FCA25DF"/>
    <w:lvl w:ilvl="0" w:tentative="0">
      <w:start w:val="1"/>
      <w:numFmt w:val="decimal"/>
      <w:lvlText w:val="%1."/>
      <w:lvlJc w:val="left"/>
      <w:pPr>
        <w:ind w:left="720" w:hanging="360"/>
      </w:pPr>
      <w:rPr>
        <w:sz w:val="24"/>
      </w:rPr>
    </w:lvl>
  </w:abstractNum>
  <w:abstractNum w:abstractNumId="29">
    <w:nsid w:val="6B7FF5DF"/>
    <w:multiLevelType w:val="singleLevel"/>
    <w:tmpl w:val="6B7FF5DF"/>
    <w:lvl w:ilvl="0" w:tentative="0">
      <w:start w:val="1"/>
      <w:numFmt w:val="bullet"/>
      <w:lvlText w:val=""/>
      <w:lvlJc w:val="left"/>
      <w:pPr>
        <w:ind w:left="720" w:hanging="360"/>
      </w:pPr>
      <w:rPr>
        <w:rFonts w:hint="default" w:ascii="Symbol" w:hAnsi="Symbol" w:cs="Symbol"/>
        <w:sz w:val="20"/>
      </w:rPr>
    </w:lvl>
  </w:abstractNum>
  <w:abstractNum w:abstractNumId="3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1">
    <w:nsid w:val="77B63201"/>
    <w:multiLevelType w:val="singleLevel"/>
    <w:tmpl w:val="77B63201"/>
    <w:lvl w:ilvl="0" w:tentative="0">
      <w:start w:val="1"/>
      <w:numFmt w:val="bullet"/>
      <w:lvlText w:val=""/>
      <w:lvlJc w:val="left"/>
      <w:pPr>
        <w:ind w:left="720" w:hanging="360"/>
      </w:pPr>
      <w:rPr>
        <w:rFonts w:hint="default" w:ascii="Symbol" w:hAnsi="Symbol" w:cs="Symbol"/>
        <w:sz w:val="20"/>
      </w:rPr>
    </w:lvl>
  </w:abstractNum>
  <w:abstractNum w:abstractNumId="32">
    <w:nsid w:val="7E5FE33B"/>
    <w:multiLevelType w:val="singleLevel"/>
    <w:tmpl w:val="7E5FE33B"/>
    <w:lvl w:ilvl="0" w:tentative="0">
      <w:start w:val="1"/>
      <w:numFmt w:val="bullet"/>
      <w:lvlText w:val=""/>
      <w:lvlJc w:val="left"/>
      <w:pPr>
        <w:ind w:left="720" w:hanging="360"/>
      </w:pPr>
      <w:rPr>
        <w:rFonts w:hint="default" w:ascii="Symbol" w:hAnsi="Symbol" w:cs="Symbol"/>
        <w:sz w:val="20"/>
      </w:rPr>
    </w:lvl>
  </w:abstractNum>
  <w:abstractNum w:abstractNumId="33">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4">
    <w:nsid w:val="7FDE5077"/>
    <w:multiLevelType w:val="singleLevel"/>
    <w:tmpl w:val="7FDE5077"/>
    <w:lvl w:ilvl="0" w:tentative="0">
      <w:start w:val="1"/>
      <w:numFmt w:val="bullet"/>
      <w:lvlText w:val=""/>
      <w:lvlJc w:val="left"/>
      <w:pPr>
        <w:ind w:left="720" w:hanging="360"/>
      </w:pPr>
      <w:rPr>
        <w:rFonts w:hint="default" w:ascii="Symbol" w:hAnsi="Symbol" w:cs="Symbol"/>
        <w:sz w:val="20"/>
      </w:rPr>
    </w:lvl>
  </w:abstractNum>
  <w:abstractNum w:abstractNumId="35">
    <w:nsid w:val="7FFF1B9C"/>
    <w:multiLevelType w:val="singleLevel"/>
    <w:tmpl w:val="7FFF1B9C"/>
    <w:lvl w:ilvl="0" w:tentative="0">
      <w:start w:val="1"/>
      <w:numFmt w:val="bullet"/>
      <w:lvlText w:val=""/>
      <w:lvlJc w:val="left"/>
      <w:pPr>
        <w:ind w:left="720" w:hanging="360"/>
      </w:pPr>
      <w:rPr>
        <w:rFonts w:hint="default" w:ascii="Symbol" w:hAnsi="Symbol" w:cs="Symbol"/>
        <w:sz w:val="20"/>
      </w:rPr>
    </w:lvl>
  </w:abstractNum>
  <w:num w:numId="1">
    <w:abstractNumId w:val="25"/>
  </w:num>
  <w:num w:numId="2">
    <w:abstractNumId w:val="33"/>
  </w:num>
  <w:num w:numId="3">
    <w:abstractNumId w:val="2"/>
  </w:num>
  <w:num w:numId="4">
    <w:abstractNumId w:val="23"/>
  </w:num>
  <w:num w:numId="5">
    <w:abstractNumId w:val="19"/>
  </w:num>
  <w:num w:numId="6">
    <w:abstractNumId w:val="30"/>
  </w:num>
  <w:num w:numId="7">
    <w:abstractNumId w:val="13"/>
  </w:num>
  <w:num w:numId="8">
    <w:abstractNumId w:val="24"/>
  </w:num>
  <w:num w:numId="9">
    <w:abstractNumId w:val="20"/>
  </w:num>
  <w:num w:numId="10">
    <w:abstractNumId w:val="21"/>
  </w:num>
  <w:num w:numId="11">
    <w:abstractNumId w:val="4"/>
  </w:num>
  <w:num w:numId="12">
    <w:abstractNumId w:val="1"/>
  </w:num>
  <w:num w:numId="13">
    <w:abstractNumId w:val="14"/>
  </w:num>
  <w:num w:numId="14">
    <w:abstractNumId w:val="10"/>
  </w:num>
  <w:num w:numId="15">
    <w:abstractNumId w:val="27"/>
  </w:num>
  <w:num w:numId="16">
    <w:abstractNumId w:val="18"/>
  </w:num>
  <w:num w:numId="17">
    <w:abstractNumId w:val="8"/>
  </w:num>
  <w:num w:numId="18">
    <w:abstractNumId w:val="35"/>
  </w:num>
  <w:num w:numId="19">
    <w:abstractNumId w:val="15"/>
  </w:num>
  <w:num w:numId="20">
    <w:abstractNumId w:val="11"/>
  </w:num>
  <w:num w:numId="21">
    <w:abstractNumId w:val="7"/>
  </w:num>
  <w:num w:numId="22">
    <w:abstractNumId w:val="26"/>
  </w:num>
  <w:num w:numId="23">
    <w:abstractNumId w:val="5"/>
  </w:num>
  <w:num w:numId="24">
    <w:abstractNumId w:val="6"/>
  </w:num>
  <w:num w:numId="25">
    <w:abstractNumId w:val="17"/>
  </w:num>
  <w:num w:numId="26">
    <w:abstractNumId w:val="9"/>
  </w:num>
  <w:num w:numId="27">
    <w:abstractNumId w:val="22"/>
  </w:num>
  <w:num w:numId="28">
    <w:abstractNumId w:val="32"/>
  </w:num>
  <w:num w:numId="29">
    <w:abstractNumId w:val="0"/>
  </w:num>
  <w:num w:numId="30">
    <w:abstractNumId w:val="12"/>
  </w:num>
  <w:num w:numId="31">
    <w:abstractNumId w:val="34"/>
  </w:num>
  <w:num w:numId="32">
    <w:abstractNumId w:val="31"/>
  </w:num>
  <w:num w:numId="33">
    <w:abstractNumId w:val="3"/>
  </w:num>
  <w:num w:numId="34">
    <w:abstractNumId w:val="28"/>
  </w:num>
  <w:num w:numId="35">
    <w:abstractNumId w:val="29"/>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AF5797"/>
    <w:rsid w:val="7FF6C12C"/>
    <w:rsid w:val="BCB98261"/>
    <w:rsid w:val="E26F5F40"/>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2025-09-28T20:21:36Z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6EB0545791FF845F5028D968468C637E_43</vt:lpwstr>
  </property>
  <property fmtid="{D5CDD505-2E9C-101B-9397-08002B2CF9AE}" pid="4" name="KSOTemplateDocerSaveRecord">
    <vt:lpwstr>eyJoZGlkIjoiNzI4YmNmYThhZjA0NTVhODllNDhjMGZiNmFkMDJjN2YiLCJ1c2VySWQiOiIxNjA5OTI0MDI0In0=</vt:lpwstr>
  </property>
</Properties>
</file>