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AC61E">
      <w:pPr>
        <w:pStyle w:val="2"/>
      </w:pPr>
    </w:p>
    <w:p w14:paraId="5704484B">
      <w:pPr>
        <w:pStyle w:val="2"/>
      </w:pPr>
    </w:p>
    <w:p w14:paraId="1A0B7D41">
      <w:pPr>
        <w:pStyle w:val="2"/>
      </w:pPr>
      <w:r>
        <w:t>干变铁芯车间铁芯集送线RGV技术手册</w:t>
      </w:r>
    </w:p>
    <w:p w14:paraId="12F7E20B">
      <w:pPr>
        <w:pStyle w:val="3"/>
      </w:pPr>
      <w:r>
        <w:t>一、概述</w:t>
      </w:r>
    </w:p>
    <w:p w14:paraId="35F44F01">
      <w:pPr>
        <w:pStyle w:val="4"/>
      </w:pPr>
      <w:r>
        <w:t>1.1 手册目的与适用范围</w:t>
      </w:r>
    </w:p>
    <w:p w14:paraId="27851A47">
      <w:r>
        <w:t>本手册旨在为干变铁芯车间铁芯集送线RGV（有轨制导车辆）的设计选型、操作使用、维护保养及故障处理提供标准化技术指导，确保设备在干式变压器铁芯生产过程中的安全稳定运行。手册内容涵盖RGV结构组成、功能特性、机械与控制系统原理、常见故障分析及全生命周期管理策略，适用于设备工程师、维护技术人员及相关管理人员。</w:t>
      </w:r>
    </w:p>
    <w:p w14:paraId="5EECA786">
      <w:r>
        <w:t>应用场景包括干式变压器铁芯叠装、固化、装配等工序间的自动化转运，涉及30KW-2500KVA规格变压器铁芯（重量1.5-5吨，尺寸1600×1000×800mm）的搬运、定位与设备对接。本手册不适用于非干式变压器铁芯专用RGV或极端环境（如温度超过-10℃~60℃、粉尘浓度＞8mg/m³）下的设备运维。使用者需具备电气控制与机械传动基础知识，严格遵循手册中的技术参数与操作规范。</w:t>
      </w:r>
    </w:p>
    <w:p w14:paraId="7CD2833A">
      <w:pPr>
        <w:pStyle w:val="4"/>
      </w:pPr>
      <w:r>
        <w:t>1.2 RGV在铁芯生产中的作用与重要性</w:t>
      </w:r>
    </w:p>
    <w:p w14:paraId="0451B1BE">
      <w:r>
        <w:t>RGV是干式变压器铁芯生产流程中的核心物料转运设备，承担铁芯在叠片机、固化炉、装配线等关键设备间的自动化流转任务，其性能直接影响生产效率与产品质量。在传统生产模式中，铁芯搬运依赖行车或人工叉车，存在转运效率低（单次转运时间＞5分钟）、定位精度差（偏差＞±20mm）、易造成铁芯损伤（如叠片错位、绝缘涂层破损）等问题。</w:t>
      </w:r>
    </w:p>
    <w:p w14:paraId="583FF236">
      <w:r>
        <w:t>RGV通过自动化控制实现铁芯的精准搬运，单次移载时间缩短至10-20秒，定位精度提升至±1-5mm，有效减少人工干预导致的质量风险。同时，RGV与MES（制造执行系统）、PLC系统的集成实现了生产流程的智能化调度，例如在铁芯叠装完成后，可自动将物料转运至固化炉，通过与设备的无缝对接减少工序等待时间，使整线设备综合稼动率提升至92%以上。对于重量达5吨的大型铁芯，RGV的稳定承载能力可避免人工操作的安全隐患，降低工伤事故发生率。</w:t>
      </w:r>
    </w:p>
    <w:p w14:paraId="55439D7E">
      <w:pPr>
        <w:pStyle w:val="4"/>
      </w:pPr>
      <w:r>
        <w:t>1.3 相关标准与规范</w:t>
      </w:r>
    </w:p>
    <w:p w14:paraId="09B573BC">
      <w:r>
        <w:t>RGV设计、制造及运维需符合以下国家标准与行业规范，关键技术指标需满足表1-1要求：</w:t>
      </w:r>
    </w:p>
    <w:tbl>
      <w:tblPr>
        <w:tblStyle w:val="50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4804019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63BA9EDE">
            <w:pPr>
              <w:jc w:val="center"/>
              <w:rPr>
                <w:b/>
              </w:rPr>
            </w:pPr>
            <w:r>
              <w:rPr>
                <w:b/>
              </w:rPr>
              <w:t>标准名称</w:t>
            </w:r>
          </w:p>
        </w:tc>
        <w:tc>
          <w:tcPr>
            <w:tcW w:w="0" w:type="auto"/>
            <w:vAlign w:val="center"/>
          </w:tcPr>
          <w:p w14:paraId="4785224F">
            <w:pPr>
              <w:jc w:val="center"/>
              <w:rPr>
                <w:b/>
              </w:rPr>
            </w:pPr>
            <w:r>
              <w:rPr>
                <w:b/>
              </w:rPr>
              <w:t>标准编号</w:t>
            </w:r>
          </w:p>
        </w:tc>
        <w:tc>
          <w:tcPr>
            <w:tcW w:w="0" w:type="auto"/>
            <w:vAlign w:val="center"/>
          </w:tcPr>
          <w:p w14:paraId="64B2CCE2">
            <w:pPr>
              <w:jc w:val="center"/>
              <w:rPr>
                <w:b/>
              </w:rPr>
            </w:pPr>
            <w:r>
              <w:rPr>
                <w:b/>
              </w:rPr>
              <w:t>核心技术指标要求</w:t>
            </w:r>
          </w:p>
        </w:tc>
      </w:tr>
      <w:tr w14:paraId="51B92D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1B2EBFE9">
            <w:r>
              <w:t>道路车辆电气及电子设备的防护</w:t>
            </w:r>
          </w:p>
        </w:tc>
        <w:tc>
          <w:tcPr>
            <w:tcW w:w="0" w:type="auto"/>
            <w:vAlign w:val="center"/>
          </w:tcPr>
          <w:p w14:paraId="1F009958">
            <w:r>
              <w:t>GB/T 30038</w:t>
            </w:r>
          </w:p>
        </w:tc>
        <w:tc>
          <w:tcPr>
            <w:tcW w:w="0" w:type="auto"/>
            <w:vAlign w:val="center"/>
          </w:tcPr>
          <w:p w14:paraId="39EC643F">
            <w:r>
              <w:t>电气部件防护等级≥IP54，耐振动10-2000Hz</w:t>
            </w:r>
          </w:p>
        </w:tc>
      </w:tr>
      <w:tr w14:paraId="082454C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6200CE3">
            <w:r>
              <w:t>有轨电动平车</w:t>
            </w:r>
          </w:p>
        </w:tc>
        <w:tc>
          <w:tcPr>
            <w:tcW w:w="0" w:type="auto"/>
            <w:vAlign w:val="center"/>
          </w:tcPr>
          <w:p w14:paraId="2A80F54A">
            <w:r>
              <w:t>JB/T 10822</w:t>
            </w:r>
          </w:p>
        </w:tc>
        <w:tc>
          <w:tcPr>
            <w:tcW w:w="0" w:type="auto"/>
            <w:vAlign w:val="center"/>
          </w:tcPr>
          <w:p w14:paraId="22B22DA0">
            <w:r>
              <w:t>静态承载能力≥3吨，运行速度0.5-1.2m/s</w:t>
            </w:r>
          </w:p>
        </w:tc>
      </w:tr>
      <w:tr w14:paraId="37D65B4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3BD42798">
            <w:r>
              <w:t>金属和合金的腐蚀 盐雾试验</w:t>
            </w:r>
          </w:p>
        </w:tc>
        <w:tc>
          <w:tcPr>
            <w:tcW w:w="0" w:type="auto"/>
            <w:vAlign w:val="center"/>
          </w:tcPr>
          <w:p w14:paraId="19E2F29B">
            <w:r>
              <w:t>GB/T 10125-2021</w:t>
            </w:r>
          </w:p>
        </w:tc>
        <w:tc>
          <w:tcPr>
            <w:tcW w:w="0" w:type="auto"/>
            <w:vAlign w:val="center"/>
          </w:tcPr>
          <w:p w14:paraId="2852C0BB">
            <w:r>
              <w:t>框架涂层耐盐雾性能≥500小时</w:t>
            </w:r>
          </w:p>
        </w:tc>
      </w:tr>
      <w:tr w14:paraId="4CF16A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420BC4B">
            <w:r>
              <w:t>工业机械电气设备 通用技术条件</w:t>
            </w:r>
          </w:p>
        </w:tc>
        <w:tc>
          <w:tcPr>
            <w:tcW w:w="0" w:type="auto"/>
            <w:vAlign w:val="center"/>
          </w:tcPr>
          <w:p w14:paraId="63A0552F">
            <w:r>
              <w:t>GB/T 5226.1</w:t>
            </w:r>
          </w:p>
        </w:tc>
        <w:tc>
          <w:tcPr>
            <w:tcW w:w="0" w:type="auto"/>
            <w:vAlign w:val="center"/>
          </w:tcPr>
          <w:p w14:paraId="005E8368">
            <w:r>
              <w:t>急停响应时间≤0.5s，绝缘电阻≥1MΩ（热态）</w:t>
            </w:r>
          </w:p>
        </w:tc>
      </w:tr>
      <w:tr w14:paraId="019D013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vAlign w:val="center"/>
          </w:tcPr>
          <w:p w14:paraId="492E66C9">
            <w:r>
              <w:t>自动化系统与集成 制造执行系统</w:t>
            </w:r>
          </w:p>
        </w:tc>
        <w:tc>
          <w:tcPr>
            <w:tcW w:w="0" w:type="auto"/>
            <w:vAlign w:val="center"/>
          </w:tcPr>
          <w:p w14:paraId="3C61529E">
            <w:r>
              <w:t>GB/T 25485</w:t>
            </w:r>
          </w:p>
        </w:tc>
        <w:tc>
          <w:tcPr>
            <w:tcW w:w="0" w:type="auto"/>
            <w:vAlign w:val="center"/>
          </w:tcPr>
          <w:p w14:paraId="760FFDD1">
            <w:r>
              <w:t>任务调度响应时间≤100ms，数据传输准确率≥99.9%</w:t>
            </w:r>
          </w:p>
        </w:tc>
      </w:tr>
    </w:tbl>
    <w:p w14:paraId="45E6732D">
      <w:pPr>
        <w:pStyle w:val="3"/>
      </w:pPr>
      <w:r>
        <w:t>二、结构组成</w:t>
      </w:r>
    </w:p>
    <w:p w14:paraId="588B8461">
      <w:pPr>
        <w:pStyle w:val="4"/>
      </w:pPr>
      <w:r>
        <w:t>2.1 车架结构设计</w:t>
      </w:r>
    </w:p>
    <w:p w14:paraId="130C2186">
      <w:r>
        <w:t>车架作为RGV的承载主体，需满足高强度与轻量化的双重要求。主体采用Q235B碳钢焊接而成，结构形式为“田”字形支撑框架，面板厚度不小于5mm，底部横梁采用10号槽钢焊接，通过密集网格状加强筋将静态承载能力提升至5吨以上（对应铁芯最大重量）。关键连接部位（如横梁与纵梁焊接点）需进行磁粉探伤检测，确保无裂纹等焊接缺陷；所有紧固件采用304不锈钢材质（直径≥M12），配备防松垫圈以满足振动环境下的连接可靠性。</w:t>
      </w:r>
    </w:p>
    <w:p w14:paraId="11436172">
      <w:r>
        <w:t>车架表面处理采用喷砂除锈（Sa2.5级）后喷涂环氧树脂涂层，厚度≥60μm，耐盐雾性能达500小时以上，可适应车间潮湿环境。为实现轻量化设计，在非承重区域采用镂空结构，重量较实心框架减轻15%，同时通过有限元分析优化支撑筋布局，确保在满载工况下最大挠度≤3mm/m。车架四角设置吊装孔（直径Φ30mm），便于设备安装与维护时的起吊作业。</w:t>
      </w:r>
    </w:p>
    <w:p w14:paraId="41600549">
      <w:pPr>
        <w:pStyle w:val="4"/>
      </w:pPr>
      <w:r>
        <w:t>2.2 行走系统：驱动轮与随动轮</w:t>
      </w:r>
    </w:p>
    <w:p w14:paraId="2FC268E0">
      <w:r>
        <w:t>行走系统由驱动轮与随动轮组成，共同保障RGV沿轨道平稳运行。驱动轮采用“伺服电机+行星齿轮减速器”组合驱动，电机功率1.5-2.2kW，额定转速1200-1500rpm，配合减速比1:20-1:30的减速器，输出转速控制在60-75rpm。车轮材质为耐磨铸铁（硬度HB200-250），轮径根据负载分为Φ150mm（轻载，对应1.5-3吨铁芯）和Φ200mm（重载，对应3-5吨铁芯），轮宽80mm，与轨道接触面积≥100cm²以降低地面压强。驱动轮布置采用双轮组设计，确保驱动力均匀分布，避免单侧过载导致的轨道偏磨。</w:t>
      </w:r>
    </w:p>
    <w:p w14:paraId="6ACAAC8E">
      <w:r>
        <w:t>随动轮（万向轮）主要起辅助支撑和导向作用，安装于车架的非驱动端。随动轮采用聚氨酯材质（硬度邵氏A85），直径Φ100-150mm，可360°旋转以适应轨道转向需求。随动轮与车架之间通过弹簧减震装置连接，可吸收行驶过程中的振动（振幅≤60μm），确保运行平稳性。随动轮与轨道侧面的间隙控制在3-5mm，以保证RGV的直线行驶精度，避免出现跑偏现象。</w:t>
      </w:r>
    </w:p>
    <w:p w14:paraId="2C829CDF">
      <w:r>
        <w:t>轨道选用P24轻轨，安装平行度误差≤2mm/5m，轨距设计为800mm或1000mm，轨道接缝处采用45度坡口过渡，间隙≤1mm，避免车轮通过时产生冲击振动。</w:t>
      </w:r>
    </w:p>
    <w:p w14:paraId="3A1FC04D">
      <w:pPr>
        <w:pStyle w:val="4"/>
      </w:pPr>
      <w:r>
        <w:t>2.3 输送机系统</w:t>
      </w:r>
    </w:p>
    <w:p w14:paraId="06868FF3">
      <w:r>
        <w:t>输送机系统是RGV实现铁芯自动装卸的核心部件，根据铁芯类型分为链条输送机与滚筒输送机两种形式。链条输送机配备双货叉自动伸缩取料机构，最大伸出臂长1250mm，可实现货物的左右伸缩取料和自动顶升（顶升行程300-1200mm，速度0.05m/s），适用于叠片式铁芯的转运。货叉采用45号钢锻造，表面淬火处理（硬度HRC45-50），确保在5吨负载下无永久变形。</w:t>
      </w:r>
    </w:p>
    <w:p w14:paraId="0C8DC4B3">
      <w:r>
        <w:t>滚筒输送机的滚筒间距为150mm，转速0.5m/s，与上下游设备的滚筒线对接时，需保证转速同步误差≤±5%（通过Profinet总线实时校准）。滚筒材质为无缝钢管（直径Φ50mm，壁厚3mm），表面喷涂橡胶防滑层（摩擦系数≥0.6），防止铁芯在转运过程中滑动。输送机系统集成4个称重传感器（量程1吨/个，精度0.1%FS），实时监测负载状态，当超载10%时自动切断驱动电源并报警。</w:t>
      </w:r>
    </w:p>
    <w:p w14:paraId="54071D05">
      <w:r>
        <w:t>对于卷绕式铁芯，输送机可集成旋转平台（旋转角度0-180°，定位精度±1°），实现铁芯在转运过程中的方向调整，满足不同设备的进料方向要求。</w:t>
      </w:r>
    </w:p>
    <w:p w14:paraId="6D334D8F">
      <w:pPr>
        <w:pStyle w:val="4"/>
      </w:pPr>
      <w:r>
        <w:t>2.4 辅助部件</w:t>
      </w:r>
    </w:p>
    <w:p w14:paraId="4ED4613F">
      <w:r>
        <w:t>辅助部件包括保险杠、导向机构、电气防护装置等，保障RGV运行安全与功能完整性。保险杠采用聚氨酯缓冲材料，厚度≥20mm，安装于车架前后端，可吸收80%的碰撞能量（最大吸收能量50J），保护设备和人员安全。导向机构采用“双导向轮+中央导向槽”复合设计：两侧导向轮与轨道侧面间隙3-5mm，吸收横向偏移量；底部中央设置V型导向槽（角度90度），与轨道中央导向轨配合，定位精度可达±1mm。</w:t>
      </w:r>
    </w:p>
    <w:p w14:paraId="2CA178A7">
      <w:r>
        <w:t>电气防护装置包括防水防尘外壳（防护等级IP54）、过载保护器（设定值为额定电流的1.2倍）及急停按钮（双通道设计，SIL 3等级）。急停按钮触发时，驱动系统立即断电制动（制动距离≤0.5m），并切断输送机动力电源，确保紧急情况下的安全。此外，车架侧面安装警示灯（红/绿双色），运行时红灯闪烁，待机时绿灯常亮，便于操作人员识别设备状态。</w:t>
      </w:r>
    </w:p>
    <w:p w14:paraId="2A39F103">
      <w:pPr>
        <w:pStyle w:val="3"/>
      </w:pPr>
      <w:r>
        <w:t>三、功能特性</w:t>
      </w:r>
    </w:p>
    <w:p w14:paraId="1C76BF74">
      <w:pPr>
        <w:pStyle w:val="4"/>
      </w:pPr>
      <w:r>
        <w:t>3.1 物料运输功能</w:t>
      </w:r>
    </w:p>
    <w:p w14:paraId="1A13A58F">
      <w:r>
        <w:t>RGV的物料运输功能需匹配干式变压器铁芯的重量与尺寸特性，负载设计覆盖1.5-5吨梯度，可适应30KW-2500KVA变压器对应的铁芯规格。运输速度根据负载状态动态调整：空载行驶速度1.0-1.2m/s，负载行驶速度0.5-0.9m/s，启动与制动阶段采用S型加减速曲线（加速度0.3-0.5m/s²），避免因惯性导致铁芯滑动或叠片错位。</w:t>
      </w:r>
    </w:p>
    <w:p w14:paraId="500A9557">
      <w:r>
        <w:t>为保障运输稳定性，台面铺设3mm厚橡胶防滑垫（摩擦系数≥0.6），边缘设置100mm高可拆卸防护栏，防止铁芯倾倒。台面下方安装4个称重传感器，实时监测负载分布，当重心偏移量＞100mm时，自动调整行驶速度至额定值的70%，并发出重心偏移报警。运输效率方面，RGV支持每小时≥200次循环转运（含取料、行驶、卸料动作），满足铁芯生产线的连续化生产需求。</w:t>
      </w:r>
    </w:p>
    <w:p w14:paraId="1168E528">
      <w:pPr>
        <w:pStyle w:val="4"/>
      </w:pPr>
      <w:r>
        <w:t>3.2 工序衔接功能</w:t>
      </w:r>
    </w:p>
    <w:p w14:paraId="67E53C5F">
      <w:r>
        <w:t>RGV通过“任务调度-信息交互-动作同步”三层架构与叠片机、固化炉等设备实现无缝衔接。在任务调度层，RGV通过MES接收生产工单，根据铁芯类型（卷绕式或叠片式）和工序优先级（如固化炉等待时长≤15分钟）生成转运任务。例如，叠片机完成铁芯叠装后，通过OPC UA协议向MES发送“物料就绪”信号（包含铁芯重量、尺寸等参数），MES实时分配最近空闲RGV，并通过WCS（仓库控制系统）下发路径指令。</w:t>
      </w:r>
    </w:p>
    <w:p w14:paraId="2B168CCF">
      <w:r>
        <w:t>物理接口与动作同步方面，与叠片机对接采用滚筒输送接口，RGV台面滚筒线与叠片机出料端对接高度差≤±2mm，滚筒转速通过Profinet总线实时校准（同步误差≤5%）。叠片机出料时，RGV通过漫反射光电传感器（检测距离50-100mm）确认铁芯边缘位置，触发滚筒正转承接物料，当称重传感器检测到负载稳定后，反馈“取料完成”信号。与固化炉对接则采用定位销+导向槽机械定位，RGV停靠精度±1mm（通过激光测距仪实时修正），炉门开启前通过RFID标签（ISO 15693协议）与固化炉进行身份核验，核验通过后炉门开启，RGV顶升机构将铁芯送入炉内。</w:t>
      </w:r>
    </w:p>
    <w:p w14:paraId="1ADB368D">
      <w:r>
        <w:t>接口标准遵循T/UNP 586-2025《模切叠片一体机自动化系统技术规范》，机械接口对接面平面度≤0.1mm/m，电气接口采用M12圆形连接器（IP67防护），信号定义遵循IEC 61131-2标准。</w:t>
      </w:r>
    </w:p>
    <w:p w14:paraId="6ABB21A8">
      <w:pPr>
        <w:pStyle w:val="4"/>
      </w:pPr>
      <w:r>
        <w:t>3.3 自动化运行功能</w:t>
      </w:r>
    </w:p>
    <w:p w14:paraId="372F33BD">
      <w:r>
        <w:t>RGV的自动化运行功能依赖导航定位、任务调度与自动避障技术的协同实现。导航定位采用多技术融合方案：激光导航通过二维激光扫描仪（扫描角度270°，检测距离0.1-25m）识别车间部署的反光板，利用三角定位法计算自身坐标（X,Y,α），定位精度±3mm；二维码导航通过地面粘贴的二维码标签（尺寸100mm×100mm）实现绝对位置校正，每2米部署1个标签，支持高速行驶（1.2m/s）下的连续识别；惯性导航通过陀螺仪+里程计推算相对位置，作为激光/二维码导航失效时的备用方案，定位精度±10mm。</w:t>
      </w:r>
    </w:p>
    <w:p w14:paraId="6FF8DBD7">
      <w:r>
        <w:t>任务调度由WCS系统基于“最短路径优先”原则动态分配，当多台RGV路径冲突时，采用“任务优先级+设备负载率”动态调整，确保固化炉等瓶颈设备的进料间隔稳定在30±5秒。自动避障通过激光扫描仪实时检测前方5m范围内的障碍物（如人员、工具），当检测到障碍物时，立即减速至额定速度的30%，若障碍物持续存在则触发急停，响应时间≤100ms。</w:t>
      </w:r>
    </w:p>
    <w:p w14:paraId="5B95D86D">
      <w:r>
        <w:t>自动化运行过程中，RGV通过工业以太网向MES实时上传运行数据（位置、速度、负载等），支持远程监控与故障诊断，实现无人化生产。</w:t>
      </w:r>
    </w:p>
    <w:p w14:paraId="4D4133CA">
      <w:pPr>
        <w:pStyle w:val="3"/>
      </w:pPr>
      <w:r>
        <w:t>四、机械原理</w:t>
      </w:r>
    </w:p>
    <w:p w14:paraId="0C5AC73E">
      <w:pPr>
        <w:pStyle w:val="4"/>
      </w:pPr>
      <w:r>
        <w:t>4.1 驱动系统工作原理</w:t>
      </w:r>
    </w:p>
    <w:p w14:paraId="5021DF48">
      <w:r>
        <w:t>RGV驱动系统根据负载特性和运行需求，主要分为旋转电机驱动和直线电机驱动两种技术路线。旋转电机驱动是当前主流方案，通过伺服电机输出扭矩，经减速机构传递至驱动轮，实现旋转运动到直线运动的转换。其输出扭矩计算公式为：[ T = \frac{9550P \times \eta \times i}{n} ] 其中，( T )为输出扭矩（N·m），( P )为电机功率（kW），( \eta )为传动效率（链传动约0.9，齿轮传动约0.95），( i )为减速比，( n )为电机转速（rpm）。例如，1.5kW伺服电机（1500rpm）配合1:30减速器（效率0.9），可输出扭矩( T = \frac{9550 \times 1.5 \times 0.9 \times 30}{1500} = 258N·m )，满足5吨级铁芯转运需求。</w:t>
      </w:r>
    </w:p>
    <w:p w14:paraId="7FC6D17D">
      <w:r>
        <w:t>直线感应电机（LIM）驱动作为新兴技术，直接将电能转换为直线运动机械能，省去中间传动机构，结构简化使重量降低15%，安装空间减少20%。其初级为三边扁平感应式结构，次级采用U型铝型材与钢板复合轨道，通过气隙中产生的行波磁场形成电磁推力，同步速度公式为( V_S = 2\Gamma f )（( \Gamma )为极距，样机取值99mm），当输入频率43Hz时堵动推力达最大值，实际运行速度可达7.6m/s（理论计算8m/s，因边缘效应损失5%推力）。为平衡推力与稳定性，气隙参数需精确控制：侧面气隙2.5mm、上下气隙3mm时，既能保证起动推力≥100N（大于摩擦力66N），又可将推力波动幅度控制在±5%以内。</w:t>
      </w:r>
    </w:p>
    <w:p w14:paraId="285F9598">
      <w:pPr>
        <w:pStyle w:val="4"/>
      </w:pPr>
      <w:r>
        <w:t>4.2 传动机构设计</w:t>
      </w:r>
    </w:p>
    <w:p w14:paraId="59A999C4">
      <w:r>
        <w:t>传动机构负责将驱动系统的动力传递至行走轮，根据定位精度与负载能力要求分为齿轮齿条传动、链传动和同步带传动三种形式。齿轮齿条传动适用于重载长距离运行，采用模数2-3mm的斜齿轮与淬火齿条（硬度HRC58-62）啮合，定位精度可达±0.1mm，运行速度1.2m/s。齿轮啮合间隙需控制在0.1-0.2mm，通过调整齿轮箱位置实现，间隙过大易导致冲击振动，过小则加剧磨损。</w:t>
      </w:r>
    </w:p>
    <w:p w14:paraId="41E8C922">
      <w:r>
        <w:t>链传动通过16A-1滚子链传递动力，成本仅为齿轮齿条的1/4，但定位精度较低（±0.5mm），适用于对精度要求不高的仓储场景。链条张紧度需控制在垂度8-12mm（测量方法：在两链轮中间施加10kg垂直力），张紧装置采用弹簧调节式，可自动补偿链条磨损导致的松弛。链传动需定期润滑（每周涂抹锂基润滑脂NLGI 2级），润滑不良会导致销轴磨损量达0.5mm/年，链条寿命缩短50%。</w:t>
      </w:r>
    </w:p>
    <w:p w14:paraId="0764B9EF">
      <w:r>
        <w:t>同步带传动采用聚氨酯带与钢制同步轮啮合，噪音低于65dB，维护周期长达1000小时，但承载能力有限（最大扭矩200N·m），多用于轻载高速场合（如3m/s以上的RGV转运车）。同步带张紧度通过调整轮距实现，张紧力以带中点施加1kg力时下垂量5mm为宜。</w:t>
      </w:r>
    </w:p>
    <w:p w14:paraId="2D7AFC2F">
      <w:pPr>
        <w:pStyle w:val="4"/>
      </w:pPr>
      <w:r>
        <w:t>4.3 运动学分析</w:t>
      </w:r>
    </w:p>
    <w:p w14:paraId="3B450640">
      <w:r>
        <w:t>RGV的运动学特性包括行驶速度、加速度及定位精度，这些参数的计算与控制直接影响铁芯转运的平稳性与效率。行驶速度的理论值通过驱动系统参数计算：[ v = \frac{n \times D \times \pi}{i \times 60} ] 其中，( n )为电机转速（rpm），( D )为车轮直径（m），( i )为减速比。例如，电机转速1500rpm、车轮直径0.2m、减速比30时，理论速度( v = \frac{1500 \times 0.2 \times 3.14}{30 \times 60} = 0.52m/s )，与实际负载速度（0.5m/s）基本一致，偏差源于机械损耗。</w:t>
      </w:r>
    </w:p>
    <w:p w14:paraId="74A5EEE3">
      <w:r>
        <w:t>加速度的计算需满足铁芯转运的平稳性要求，避免因惯性导致物料滑动：[ a = \frac{T \times i \times \eta}{m \times r} ] 其中，( T )为电机输出扭矩（N·m），( m )为总质量（kg），( r )为车轮半径（m）。当铁芯重量超过3吨时，总质量增大，加速度需降低至0.3m/s²以下；启动阶段的加速度通过PLC程序分阶段控制（如0→0.2→0.5m/s²），防止电流过载。</w:t>
      </w:r>
    </w:p>
    <w:p w14:paraId="4FFCB458">
      <w:r>
        <w:t>定位精度的实现依赖多传感器融合技术，定位误差计算公式为：[ \text{定位误差} = \Delta_{\text{激光}} + \Delta_{\text{编码器}} + \Delta_{\text{机械}} ] 其中，激光传感器误差（( \Delta_{\text{激光}} )）≤±1mm，编码器累积误差（( \Delta_{\text{编码器}} )）通过每500mm设置参考点校准，机械限位误差（( \Delta_{\text{机械}} )）由导向轮与轨道间隙决定。实际应用中，通过激光测距仪实时修正定位偏差，使最终定位精度控制在±1-5mm。</w:t>
      </w:r>
    </w:p>
    <w:p w14:paraId="471738B5">
      <w:pPr>
        <w:pStyle w:val="3"/>
      </w:pPr>
      <w:r>
        <w:t>五、控制原理</w:t>
      </w:r>
    </w:p>
    <w:p w14:paraId="5D751CF6">
      <w:pPr>
        <w:pStyle w:val="4"/>
      </w:pPr>
      <w:r>
        <w:t>5.1 控制系统架构</w:t>
      </w:r>
    </w:p>
    <w:p w14:paraId="2E6CE0B0">
      <w:r>
        <w:t>RGV控制系统采用“感知层-控制层-驱动层”分层架构，实现数据采集、逻辑处理与动作执行的闭环控制。感知层由激光扫描仪、RFID读卡器、称重传感器、编码器等组成，实时采集位置、状态、物料信息：激光扫描仪提供0.1-50m范围的距离数据（精度±1mm），编码器反馈行走距离（分辨率0.1mm），称重传感器监测负载（精度±0.5kg），RFID读卡器识别铁芯批次信息（读取率≥99.9%）。</w:t>
      </w:r>
    </w:p>
    <w:p w14:paraId="2B1FDEB4">
      <w:r>
        <w:t>控制层以PLC为核心，主流采用汇川H5U系列EtherCAT总线小型PLC或西门子S7-1200系列，支持IEC 61131-3标准编程语言。PLC程序容量≥2MB，可存储铁芯转运流程逻辑；典型I/O点数配置为32输入/32输出，预留20%扩展余量。控制层接收感知层数据，通过内置算法生成控制指令，实现任务调度、路径规划与安全逻辑控制。</w:t>
      </w:r>
    </w:p>
    <w:p w14:paraId="2C34498E">
      <w:r>
        <w:t>驱动层包括伺服驱动器、变频器、液压控制器等，接收控制层指令并驱动执行机构。伺服驱动器支持位置、速度、转矩三种控制模式切换，响应时间≤100μs；液压控制器通过电磁换向阀调节油路方向，实现升降机构的伸缩动作。</w:t>
      </w:r>
    </w:p>
    <w:p w14:paraId="35F7930F">
      <w:pPr>
        <w:pStyle w:val="4"/>
      </w:pPr>
      <w:r>
        <w:t>5.2 信号采集与处理</w:t>
      </w:r>
    </w:p>
    <w:p w14:paraId="162FF8B0">
      <w:r>
        <w:t>信号采集系统整合多种传感器输入，为控制层提供决策依据。位置信号通过差分编码器采集，编码器安装于从动轮，将行走距离转换为差分脉冲信号（分辨率0.1mm），输入PLC高速计数模块，采样频率≥1kHz，确保动态响应速度。方向雷达通过选通开关接入核心控制单元，提供实时位置与障碍物数据，信号经数字滤波（截止频率10Hz）消除高频干扰。</w:t>
      </w:r>
    </w:p>
    <w:p w14:paraId="0CE4718B">
      <w:r>
        <w:t>状态信号采用光耦隔离输入，隔离电压≥2500V AC，防止外部电气干扰影响控制系统稳定性。例如，急停按钮、限位开关等开关量信号经光耦转换后输入PLC，确保信号传输的安全性。模拟量信号（如称重传感器输出4-20mA电流信号）通过16位A/D转换模块接入PLC，转换精度±0.1%FS，满足负载监测需求。</w:t>
      </w:r>
    </w:p>
    <w:p w14:paraId="190B9F8F">
      <w:r>
        <w:t>安全信号采用双通道设计，急停回路同时接入PLC与独立安全继电器，当任一通道触发急停时，立即切断驱动电源，响应时间≤100ms，达到SIL 3安全等级。</w:t>
      </w:r>
    </w:p>
    <w:p w14:paraId="483769F4">
      <w:pPr>
        <w:pStyle w:val="4"/>
      </w:pPr>
      <w:r>
        <w:t>5.3 控制逻辑设计</w:t>
      </w:r>
    </w:p>
    <w:p w14:paraId="72788655">
      <w:r>
        <w:t>RGV的控制逻辑采用模块化设计，核心包括任务调度模块、路径规划模块、动作执行模块与安全监控模块。任务调度模块接收MES下发的工单，根据铁芯类型和工序优先级生成转运任务，优先级算法遵循“紧急订单优先系数1.5”原则，当多任务冲突时，优先处理固化炉等待任务（等待时长≤15分钟）。</w:t>
      </w:r>
    </w:p>
    <w:p w14:paraId="21CD1D99">
      <w:r>
        <w:t>路径规划模块采用A*算法，基于车间地图（包含轨道布局、设备位置、障碍物区域）计算最短路径，路径规划时间≤100ms。当检测到路径上有其他RGV时，通过“任务优先级+设备负载率”动态调整，避免死锁。动作执行模块通过状态机实现流程控制，包括初始化、待机、取料、输送、对接、完成六个状态，状态切换条件通过传感器信号触发（如“取料完成”需满足称重传感器稳定+光电传感器检测到位）。</w:t>
      </w:r>
    </w:p>
    <w:p w14:paraId="5633CD3E">
      <w:r>
        <w:t>安全监控模块实时监测设备运行状态，当出现电机过载（电流＞150%额定值）、定位偏差超限（＞±5mm）、急停触发等异常时，立即停止当前动作并报警，同时上传故障代码至MES系统。</w:t>
      </w:r>
    </w:p>
    <w:p w14:paraId="0BD7BBE6">
      <w:pPr>
        <w:pStyle w:val="4"/>
      </w:pPr>
      <w:r>
        <w:t>5.4 通信系统协议</w:t>
      </w:r>
    </w:p>
    <w:p w14:paraId="32649AC8">
      <w:r>
        <w:t>通信系统采用多协议融合方案，满足不同场景的数据传输需求。核心控制单元与子系统间以CAN总线为主，传输速率500kbps，支持8字节/帧的实时控制指令传输，网络负载率控制在70%以下，确保控制指令的实时性。CAN总线采用差分信号传输，抗干扰能力强，适合工业现场环境。</w:t>
      </w:r>
    </w:p>
    <w:p w14:paraId="06072EBE">
      <w:r>
        <w:t>与上位机（如MES/WCS系统）通过Profinet总线通信，传输速率100Mbps，主要用于任务调度与状态上报。Profinet支持IRT（等时实时）通信，周期≤1ms，可实现RGV与叠片机、固化炉等设备的动作同步（如滚筒转速同步误差≤5%）。</w:t>
      </w:r>
    </w:p>
    <w:p w14:paraId="73959327">
      <w:r>
        <w:t>辅助通信包括RS485（波特率9600bps）用于连接称重传感器、RFID读卡器等低速设备，以及ARCNET总线（令牌环协议）保障安全模块与主系统的高优先级数据交换（丢包率＜0.1%）。部分系统引入非接触通信轨技术，在RGV行进过程中保持无线数据传输，通信距离3-5m，适用于轨道弯曲或多岔路口场景。</w:t>
      </w:r>
    </w:p>
    <w:p w14:paraId="1F215C4B">
      <w:pPr>
        <w:pStyle w:val="3"/>
      </w:pPr>
      <w:r>
        <w:t>六、常见故障分析</w:t>
      </w:r>
    </w:p>
    <w:p w14:paraId="2E1E4564">
      <w:pPr>
        <w:pStyle w:val="4"/>
      </w:pPr>
      <w:r>
        <w:t>6.1 机械故障类型与成因</w:t>
      </w:r>
    </w:p>
    <w:p w14:paraId="47EF680F">
      <w:r>
        <w:t>机械故障主要包括结构故障、传动故障与行走故障，直接影响RGV的承载能力与运行稳定性。结构故障中，车架焊接开裂多发生于横梁与纵梁连接的应力集中部位，成因包括焊接工艺缺陷（如未开坡口、焊脚尺寸不足）、长期超载（超过额定载荷15%）或材料疲劳。开裂初期表现为车架异响，严重时出现铁芯倾斜，需通过磁粉探伤检测裂纹深度（超过3mm需停机维修）。平台变形表现为静态载荷下挠度＞3mm/m，成因包括材料厚度不足（＜5mm）、支撑筋布置稀疏或长期超载，变形会导致铁芯放置不水平，影响后续叠片精度。</w:t>
      </w:r>
    </w:p>
    <w:p w14:paraId="11DBEAF3">
      <w:r>
        <w:t>传动故障中，齿轮箱异响表现为周期性“咔咔”声，成因包括齿面磨损（超过0.2mm）、齿轮啮合间隙过大（＞0.1mm）或润滑油劣化（水分含量＞0.1%）。可通过听针判断异响位置，结合油样分析（NAS污染度＞8级）确认故障原因。链条断裂多因销轴磨损量达0.5mm或链板变形超过1.5mm，链条强度下降50%，易在启停冲击下断裂；链条张紧度过低（垂度＞12mm）会导致跳齿，加剧磨损。</w:t>
      </w:r>
    </w:p>
    <w:p w14:paraId="1C7A73AA">
      <w:r>
        <w:t>行走故障中，导向轮磨损表现为直径偏差超过0.3mm，导致RGV运行时横向偏移量超过±2mm，触发限位开关报警。导向轮聚氨酯层磨损（厚度＜20mm）会导致减震性能下降，产生冲击振动。轨道卡滞多因轨道接缝错位（高差＞0.3mm）或铁屑堆积，车轮通过时产生“颠簸”，长期运行会加剧车轮磨损。</w:t>
      </w:r>
    </w:p>
    <w:p w14:paraId="3F7DE6D2">
      <w:pPr>
        <w:pStyle w:val="4"/>
      </w:pPr>
      <w:r>
        <w:t>6.2 电气故障类型与成因</w:t>
      </w:r>
    </w:p>
    <w:p w14:paraId="4E919D0D">
      <w:r>
        <w:t>电气故障主要涉及传感器、驱动系统与控制系统，影响RGV的定位精度与动作执行。传感器故障中，激光测距仪误报表现为检测距离从设计值3m衰减至1.5m以下，成因包括镜头粉尘堆积（厚度＞0.5mm）、光源老化（亮度下降30%）或背景光干扰（如阳光直射）。可通过清洁镜头（每月1次）、更换光源（寿命20000小时）恢复功能。编码器数据跳变表现为输出脉冲信号异常（如丢脉冲、数据突变），成因包括电缆屏蔽层破损（接地电阻＞100mΩ）、连接器接触不良（针脚氧化导致接触电阻＞50mΩ）或编码器内部轴承磨损，需通过示波器监测脉冲波形（正常波形应无畸变、占空比50%±5%）定位故障点。</w:t>
      </w:r>
    </w:p>
    <w:p w14:paraId="565E2C8F">
      <w:r>
        <w:t>驱动系统故障中，电机过热表现为绕组温度超过150℃（F级绝缘限值），成因包括散热不良（风扇堵塞、风道积尘）、电源电压不平衡（超过5%）或匝间短路（三相电阻不平衡度＞5%）。可用红外热像仪检测电机温度分布，异常热点温差＞20K提示故障。变频器过流报警表现为电流超过额定值1.5倍，成因包括电机堵转（如轨道卡滞）、功率模块损坏或驱动参数设置错误（如加速时间过短＜0.5s），需检查电机转动灵活性，测量三相电流平衡度（不平衡度≤5%）。</w:t>
      </w:r>
    </w:p>
    <w:p w14:paraId="24678182">
      <w:r>
        <w:t>控制系统故障中，PLC模块故障表现为I/O信号丢失或程序死机，成因包括模块电源故障（电压波动超过±10%）、内部元件老化或程序错误（如死循环）。可通过STEP 7软件监控程序运行状态，清除CPU故障缓冲区信息尝试恢复。总线通信故障表现为PROFINET总线通信中断，数据刷新异常，成因包括电缆弯曲疲劳（弯曲半径＜5倍电缆直径）、接头松动或交换机故障，需通过诊断工具（如PRONETA）检测总线负载率（应＜70%）和丢包率（应＜0.1%）。</w:t>
      </w:r>
    </w:p>
    <w:p w14:paraId="0F452406">
      <w:pPr>
        <w:pStyle w:val="4"/>
      </w:pPr>
      <w:r>
        <w:t>6.3 控制故障类型与成因</w:t>
      </w:r>
    </w:p>
    <w:p w14:paraId="3C890502">
      <w:r>
        <w:t>控制故障影响RGV的自动化运行，主要包括定位失效与动作异常。定位失效表现为停靠精度超过±5mm，成因包括RFID标签读取失败（油污污染或读写器角度偏差）、PLC程序逻辑错误（任务调度冲突或I/O点误动作）或传感器数据融合算法异常。例如，RFID标签表面油污会导致读取距离从50mm降至20mm以下，需使用中性清洁剂擦拭标签表面。PLC程序逻辑错误可通过在线监控程序变量（如位置设定值与实际值偏差）定位问题，修正逻辑条件。</w:t>
      </w:r>
    </w:p>
    <w:p w14:paraId="09597AFD">
      <w:r>
        <w:t>动作异常表现为RGV行驶卡顿、输送机不动作等，成因包括伺服驱动器报警（过压、过流或编码器故障）、同步控制偏差（总线延迟或电机参数不匹配）或机械卡滞（如货叉伸缩机构异物卡阻）。伺服驱动器报警需通过驱动器面板读取故障代码（如“AL001”表示过流），根据手册排查原因；同步控制偏差需通过Profinet总线校准各轴位置（同步误差≤0.1mm）。机械卡滞需拆解机构清除异物，重新涂抹润滑脂（如货叉滑轨涂抹锂基润滑脂NLGI 2级）。</w:t>
      </w:r>
    </w:p>
    <w:p w14:paraId="12E59264">
      <w:pPr>
        <w:pStyle w:val="3"/>
      </w:pPr>
      <w:r>
        <w:t>七、维护保养技术</w:t>
      </w:r>
    </w:p>
    <w:p w14:paraId="42C35AA1">
      <w:pPr>
        <w:pStyle w:val="4"/>
      </w:pPr>
      <w:r>
        <w:t>7.1 日常维护规范</w:t>
      </w:r>
    </w:p>
    <w:p w14:paraId="369FD968">
      <w:r>
        <w:t>日常维护是保障RGV稳定运行的基础，由操作人员与维护人员共同执行。班前检查项目包括：行走轮与轨道接触状态（无偏磨、轮缘磨损量≤0.3mm）、驱动电机异响（空载运行无异常噪音）、制动系统响应（按下急停按钮，制动距离≤0.5m）；电气系统确认电池电量≥20%、HMI无报警信息、急停按钮未触发；定位系统验证激光扫描仪指示灯绿色常亮（无故障）、RFID读卡器能正常读取测试标签（识别率100%）。</w:t>
      </w:r>
    </w:p>
    <w:p w14:paraId="5A77A49C">
      <w:r>
        <w:t>班后维护项目包括：清洁工作，使用压缩空气（压力0.4-0.6MPa）清洁轨道异物、传感器镜头（激光扫描仪、光电开关）及车体表面粉尘，重点清理导向槽内铁屑；润滑工作，链条每周涂抹锂基润滑脂（NLGI 2级），润滑后空载运行5分钟确保油脂均匀分布，链条张紧度以垂度8-12mm为宜；记录工作，填写《RGV日常维护台账》，记录运行时间、故障现象、维护内容，存档期限≥3年。</w:t>
      </w:r>
    </w:p>
    <w:p w14:paraId="27CAE53D">
      <w:r>
        <w:t>定期检查项目包括：每周检查导向轮侧向间隙（3-5mm），每月检查减速器油位（油面高于检视窗1/2），每季度检查制动片磨损量（厚度≥原厚度60%）。</w:t>
      </w:r>
    </w:p>
    <w:p w14:paraId="15B4FC02">
      <w:pPr>
        <w:pStyle w:val="4"/>
      </w:pPr>
      <w:r>
        <w:t>7.2 定期检修周期与内容</w:t>
      </w:r>
    </w:p>
    <w:p w14:paraId="54B65A7C">
      <w:r>
        <w:t>定期检修按周期划分，确保RGV各系统性能符合设计要求。月度检修重点包括：轴承温升检测（运行时≤40K），使用红外测温仪测量驱动轮轴承温度，温差超过20K提示润滑不良；减速器油位检查，不足时添加N220齿轮油（油面高于检视窗1/2）；导向轮侧向间隙测量，通过调整偏心轴使间隙保持在0.5-1mm。</w:t>
      </w:r>
    </w:p>
    <w:p w14:paraId="579B88E3">
      <w:r>
        <w:t>季度检修包括：齿轮箱油样分析，检测水分含量（≤0.1%）、污染度（NAS 8级以下），超标时更换齿轮油（N220，用量按减速器型号确定）；制动片磨损量检测，使用卡尺测量厚度，低于原厚度60%时更换；电缆拖链检查，每米松动链节≤1处，破损链节立即更换，防止电缆磨损。</w:t>
      </w:r>
    </w:p>
    <w:p w14:paraId="7DBE4E69">
      <w:r>
        <w:t>年度大修包括：电机绝缘电阻测试，冷态绝缘电阻≥50MΩ（使用2500V兆欧表），热态≥1MΩ；车架结构应力检测，关键焊缝磁粉探伤无裂纹，结构变形量≤0.5mm/m；PLC程序备份与I/O点校验，通过编程软件备份程序，校验所有I/O点动作准确性（准确率100%）。</w:t>
      </w:r>
    </w:p>
    <w:p w14:paraId="2590B58E">
      <w:r>
        <w:t>专项检修包括：液压系统每半年更换46号抗磨液压油（黏度指数VI≥140），清洗油箱过滤器（过滤精度10μm）；蓄电池每3月进行均衡充电（电压差≤50mV），单体电池电压低于12.5V时重点关注；轨道每半年校准直线度（误差≤0.5mm/m）和平行度（误差≤2mm/5m），通过调整支撑螺栓消除沉降变形。</w:t>
      </w:r>
    </w:p>
    <w:p w14:paraId="6F25C648">
      <w:pPr>
        <w:pStyle w:val="4"/>
      </w:pPr>
      <w:r>
        <w:t>7.3 故障处理流程</w:t>
      </w:r>
    </w:p>
    <w:p w14:paraId="4899C6A3">
      <w:r>
        <w:t>故障处理采用三级响应机制，快速恢复设备功能。一级故障（操作人员现场处置）包括定位超时、传感器误报警等轻微故障，处置流程为：立即按下急停按钮→检查轨道障碍物（如铁屑、工具）→清洁传感器镜头→通过HMI复位故障→尝试重新运行→记录故障代码（如E012表示激光传感器故障）。</w:t>
      </w:r>
    </w:p>
    <w:p w14:paraId="48C1935F">
      <w:r>
        <w:t>二级故障（维护人员介入）包括电机过载、减速器异响、链条跳齿等功能性故障，处置流程为：隔离故障设备（切断主电源并挂牌）→使用红外热像仪检测电机温度（异常热点温差＞20K）→通过听针判断齿轮啮合状态→更换过载保护器（设定值为额定电流的1.2倍）或张紧链条→空载试运行3次确认恢复。</w:t>
      </w:r>
    </w:p>
    <w:p w14:paraId="2CD96EAD">
      <w:r>
        <w:t>三级故障（联合抢修）包括车架变形、PLC死机、驱动模块损坏等严重故障，处置流程为：启用备用RGV保障生产→机械团队使用水平仪校正车架水平度（偏差≤0.5mm/m）→电气团队通过STEP 7软件监控PLC程序运行状态，清除CPU故障缓冲区→更换损坏模块（如伺服驱动器）→系统联调（与MES通信测试、定位精度校验）→恢复生产。</w:t>
      </w:r>
    </w:p>
    <w:p w14:paraId="39CCC0F4">
      <w:r>
        <w:t>典型故障案例：RGV行走卡顿，检查发现轨道接头错位（高差＞0.3mm），处理方法为使用塞铁片找平轨道→焊接加固接缝→打磨过渡坡口（45度）→试运行确认卡顿消除。</w:t>
      </w:r>
    </w:p>
    <w:p w14:paraId="146E5321">
      <w:pPr>
        <w:pStyle w:val="4"/>
      </w:pPr>
      <w:r>
        <w:t>7.4 维护安全规范</w:t>
      </w:r>
    </w:p>
    <w:p w14:paraId="447C8D07">
      <w:r>
        <w:t>维护过程中需严格执行安全措施，预防机械伤害与电气事故。能量隔离措施包括：进行机械维修前，断开主电源并悬挂“禁止合闸”警示牌，拔出电池插头；液压系统维修前，通过泄压阀释放系统压力（压力≤0.5MPa），防止液压油喷射伤人。</w:t>
      </w:r>
    </w:p>
    <w:p w14:paraId="55604BC2">
      <w:r>
        <w:t>高空作业防护要求：检修顶部机构时（高度＞1.5m），需搭设脚手架或使用登高平台，佩戴双钩式安全带（固定于牢固结构），禁止攀爬车体。作业人员需经过高空作业培训，持证上岗。</w:t>
      </w:r>
    </w:p>
    <w:p w14:paraId="313456DA">
      <w:r>
        <w:t>电气安全措施包括：测量绝缘电阻时使用2500V兆欧表，戴绝缘手套；更换PLC模块前，先释放人体静电（触摸接地体）；潮湿环境作业时，使用绝缘垫（厚度≥5mm），防止触电事故。</w:t>
      </w:r>
    </w:p>
    <w:p w14:paraId="3F6D9F5D">
      <w:r>
        <w:t>应急预案需涵盖触电、机械伤害急救流程，配备急救箱（含止血带、烧伤膏），定期组织演练（每季度1次）。例如，发生触电事故时，立即切断电源，对伤者进行心肺复苏并拨打急救电话；机械伤害时，立即停止设备，对伤口进行止血处理，送医治疗。</w:t>
      </w:r>
    </w:p>
    <w:p w14:paraId="52267103">
      <w:pPr>
        <w:pStyle w:val="3"/>
      </w:pPr>
      <w:r>
        <w:t>八、全生命周期管理</w:t>
      </w:r>
    </w:p>
    <w:p w14:paraId="06261C07">
      <w:pPr>
        <w:pStyle w:val="4"/>
      </w:pPr>
      <w:r>
        <w:t>8.1 报废标准</w:t>
      </w:r>
    </w:p>
    <w:p w14:paraId="0172B3A1">
      <w:r>
        <w:t>RGV达到以下条件之一时需报废，确保设备安全与生产质量。结构报废条件包括：车架焊接裂纹深度＞3mm或长度＞50mm，无法修复；载货平台变形量超过对角线长度2%（如1200mm×1000mm平台对角线变形＞26mm）；支撑脚断裂或脱落，影响承载稳定性。</w:t>
      </w:r>
    </w:p>
    <w:p w14:paraId="16084180">
      <w:r>
        <w:t>功能报废条件包括：动态承载能力降至额定值70%以下（如原动载5吨降至3.5吨以下）；定位精度＞±5mm，经调试无法恢复；RFID标签、称重传感器等关键功能部件失效，且更换成本超过新设备30%。</w:t>
      </w:r>
    </w:p>
    <w:p w14:paraId="22635D3E">
      <w:r>
        <w:t>材料劣化报废条件包括：电机绕组绝缘电阻冷态＜5MΩ或热态＜1MΩ，绝缘老化无法修复；车架锈蚀穿孔（锈蚀深度＞1mm），结构强度下降50%；蓄电池容量衰减至额定值60%以下，充放电循环＞1000次。</w:t>
      </w:r>
    </w:p>
    <w:p w14:paraId="1D6E530D">
      <w:r>
        <w:t>报废检测方法包括：超声波探伤检测钢制部件内部裂纹，静载试验（5吨载荷持压24小时，变形量＞3%即报废），表面电阻测试（电机绕组对地绝缘电阻）。报废判定需填写《RGV报废申请表》，经设备工程师审核后执行。</w:t>
      </w:r>
    </w:p>
    <w:p w14:paraId="78E256F3">
      <w:pPr>
        <w:pStyle w:val="4"/>
      </w:pPr>
      <w:r>
        <w:t>8.2 更新周期管理</w:t>
      </w:r>
    </w:p>
    <w:p w14:paraId="26D24A79">
      <w:r>
        <w:t>RGV更新周期根据材质、使用频率、环境条件动态调整，基础更新周期为：钢制结构部件8-10年，不锈钢部件（如紧固件、传感器支架）15-20年，电气元件（PLC、伺服驱动器）5-7年，蓄电池3 - 5年（充放电循环1000次）。</w:t>
      </w:r>
    </w:p>
    <w:p w14:paraId="51FBBDB2">
      <w:r>
        <w:t>使用频率影响：日均周转次数＞3次的RGV，更新周期缩短20%；连续运行时间＞16小时/天的设备，电气元件更新周期缩短30%。环境条件调整：高温（＞40℃）或高湿（＞75%）环境，塑料部件（如导向轮）更新周期缩短30%；沿海高盐雾环境，钢制结构更新周期缩短25%。</w:t>
      </w:r>
    </w:p>
    <w:p w14:paraId="5B594A3E">
      <w:r>
        <w:t>更新计划需纳入年度设备维护预算，采用“批次更换”策略（每次更换不超过总量的1/3），避免系统停机。更新前需对备用RGV进行调试，确保与生产线设备兼容；更新后，旧设备可回收利用，金属部件熔炼再利用（回炉价值约1000元/吨），电气元件拆解回收有色金属。</w:t>
      </w:r>
    </w:p>
    <w:p w14:paraId="104974E0">
      <w:pPr>
        <w:pStyle w:val="4"/>
      </w:pPr>
      <w:r>
        <w:t>8.3 成本控制策略</w:t>
      </w:r>
    </w:p>
    <w:p w14:paraId="1C5E7A33">
      <w:r>
        <w:t>全生命周期成本控制需覆盖采购、运维、处置三个阶段。采购阶段采用“性价比优先”原则：选择模块化设计设备，如三合一驱动轮（集成电机、减速器、制动器），更换时间＜2小时，比分体式结构节省50%维修工时；对比纯原料聚氨酯导向轮（寿命5年，单价300元）与含再生料导向轮（寿命2年，单价200元），长期使用纯原料更经济（年均成本60元 vs 100元）。</w:t>
      </w:r>
    </w:p>
    <w:p w14:paraId="4C91C618">
      <w:r>
        <w:t>运维阶段实施分级维修：轻微故障（如传感器清洁）采用现场修复（成本30元/次）；严重故障（如齿轮箱损坏）更换模块化部件（如齿轮箱组件2000元/个），比整体更换节省60%成本。数字化管理通过RFID记录设备使用次数、载荷历史，预测维护需求（如每万次周转进行结构探伤），使故障维修成本降低25%。</w:t>
      </w:r>
    </w:p>
    <w:p w14:paraId="3F4D5F9B">
      <w:r>
        <w:t>处置阶段遵循环保原则：报废塑料部件交由有资质企业粉碎造粒（回收收益约50元/个），金属部件熔炼再利用；废弃液压油需交由危废处理单位回收（成本200元/桶），避免环境污染罚款。通过全生命周期成本分析，标准化RGV年均成本可控制在5000元以内，比非标准化设备低40%。</w:t>
      </w:r>
    </w:p>
    <w:p w14:paraId="3A207B56">
      <w:pPr>
        <w:pStyle w:val="31"/>
        <w:bidi w:val="0"/>
        <w:rPr>
          <w:rFonts w:hint="eastAsia"/>
          <w:lang w:val="en-US" w:eastAsia="zh-CN"/>
        </w:rPr>
      </w:pPr>
    </w:p>
    <w:bookmarkEnd w:id="0"/>
    <w:bookmarkEnd w:id="1"/>
    <w:sectPr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pperplate">
    <w:altName w:val="Yu Gothic UI"/>
    <w:panose1 w:val="02000504000000020004"/>
    <w:charset w:val="00"/>
    <w:family w:val="auto"/>
    <w:pitch w:val="default"/>
    <w:sig w:usb0="00000000" w:usb1="00000000" w:usb2="00000000" w:usb3="00000000" w:csb0="20000111" w:csb1="40000000"/>
  </w:font>
  <w:font w:name="仓耳屏显楷体 W04">
    <w:altName w:val="宋体"/>
    <w:panose1 w:val="02020400000000000000"/>
    <w:charset w:val="86"/>
    <w:family w:val="auto"/>
    <w:pitch w:val="default"/>
    <w:sig w:usb0="00000000" w:usb1="00000000" w:usb2="00000012" w:usb3="00000000" w:csb0="00040001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E456F9"/>
    <w:multiLevelType w:val="singleLevel"/>
    <w:tmpl w:val="A7E456F9"/>
    <w:lvl w:ilvl="0" w:tentative="0">
      <w:start w:val="1"/>
      <w:numFmt w:val="decimal"/>
      <w:pStyle w:val="37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B1B9B92F"/>
    <w:multiLevelType w:val="singleLevel"/>
    <w:tmpl w:val="B1B9B92F"/>
    <w:lvl w:ilvl="0" w:tentative="0">
      <w:start w:val="1"/>
      <w:numFmt w:val="bullet"/>
      <w:pStyle w:val="15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2">
    <w:nsid w:val="B7BA28C9"/>
    <w:multiLevelType w:val="singleLevel"/>
    <w:tmpl w:val="B7BA28C9"/>
    <w:lvl w:ilvl="0" w:tentative="0">
      <w:start w:val="1"/>
      <w:numFmt w:val="decimal"/>
      <w:pStyle w:val="28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3">
    <w:nsid w:val="F47960A0"/>
    <w:multiLevelType w:val="singleLevel"/>
    <w:tmpl w:val="F47960A0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4">
    <w:nsid w:val="FEB58EF3"/>
    <w:multiLevelType w:val="singleLevel"/>
    <w:tmpl w:val="FEB58EF3"/>
    <w:lvl w:ilvl="0" w:tentative="0">
      <w:start w:val="1"/>
      <w:numFmt w:val="bullet"/>
      <w:pStyle w:val="18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5">
    <w:nsid w:val="FF9BA098"/>
    <w:multiLevelType w:val="singleLevel"/>
    <w:tmpl w:val="FF9BA098"/>
    <w:lvl w:ilvl="0" w:tentative="0">
      <w:start w:val="1"/>
      <w:numFmt w:val="bullet"/>
      <w:pStyle w:val="26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6">
    <w:nsid w:val="FFA86893"/>
    <w:multiLevelType w:val="singleLevel"/>
    <w:tmpl w:val="FFA86893"/>
    <w:lvl w:ilvl="0" w:tentative="0">
      <w:start w:val="1"/>
      <w:numFmt w:val="bullet"/>
      <w:pStyle w:val="27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7">
    <w:nsid w:val="052FBF93"/>
    <w:multiLevelType w:val="singleLevel"/>
    <w:tmpl w:val="052FBF93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1FFE05E1"/>
    <w:multiLevelType w:val="singleLevel"/>
    <w:tmpl w:val="1FFE05E1"/>
    <w:lvl w:ilvl="0" w:tentative="0">
      <w:start w:val="1"/>
      <w:numFmt w:val="bullet"/>
      <w:pStyle w:val="24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9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0">
    <w:nsid w:val="6FFE7285"/>
    <w:multiLevelType w:val="singleLevel"/>
    <w:tmpl w:val="6FFE7285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11">
    <w:nsid w:val="7EFB0518"/>
    <w:multiLevelType w:val="singleLevel"/>
    <w:tmpl w:val="7EFB0518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9"/>
  </w:num>
  <w:num w:numId="2">
    <w:abstractNumId w:val="11"/>
  </w:num>
  <w:num w:numId="3">
    <w:abstractNumId w:val="1"/>
  </w:num>
  <w:num w:numId="4">
    <w:abstractNumId w:val="7"/>
  </w:num>
  <w:num w:numId="5">
    <w:abstractNumId w:val="4"/>
  </w:num>
  <w:num w:numId="6">
    <w:abstractNumId w:val="10"/>
  </w:num>
  <w:num w:numId="7">
    <w:abstractNumId w:val="3"/>
  </w:num>
  <w:num w:numId="8">
    <w:abstractNumId w:val="8"/>
  </w:num>
  <w:num w:numId="9">
    <w:abstractNumId w:val="5"/>
  </w:num>
  <w:num w:numId="10">
    <w:abstractNumId w:val="6"/>
  </w:num>
  <w:num w:numId="11">
    <w:abstractNumId w:val="2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1503613"/>
    <w:rsid w:val="0E925DBF"/>
    <w:rsid w:val="0FE732EF"/>
    <w:rsid w:val="15205ED3"/>
    <w:rsid w:val="17872A04"/>
    <w:rsid w:val="18A902D0"/>
    <w:rsid w:val="1A442B9B"/>
    <w:rsid w:val="1A5F56EF"/>
    <w:rsid w:val="1E896318"/>
    <w:rsid w:val="1F4965EB"/>
    <w:rsid w:val="25C83238"/>
    <w:rsid w:val="26CA0473"/>
    <w:rsid w:val="2B924E09"/>
    <w:rsid w:val="2CE307C7"/>
    <w:rsid w:val="2F436F36"/>
    <w:rsid w:val="31994BEB"/>
    <w:rsid w:val="3D7FBBEA"/>
    <w:rsid w:val="3FEA17AB"/>
    <w:rsid w:val="3FF2F4D6"/>
    <w:rsid w:val="410B542B"/>
    <w:rsid w:val="41A71B16"/>
    <w:rsid w:val="427B35B9"/>
    <w:rsid w:val="435B43F6"/>
    <w:rsid w:val="45B00A41"/>
    <w:rsid w:val="4FD75668"/>
    <w:rsid w:val="51506E6B"/>
    <w:rsid w:val="55426F5C"/>
    <w:rsid w:val="55853555"/>
    <w:rsid w:val="575278AD"/>
    <w:rsid w:val="5DA12EF6"/>
    <w:rsid w:val="5DE3706A"/>
    <w:rsid w:val="608A7C71"/>
    <w:rsid w:val="61615C49"/>
    <w:rsid w:val="6401649C"/>
    <w:rsid w:val="653D4140"/>
    <w:rsid w:val="65907A54"/>
    <w:rsid w:val="665629F7"/>
    <w:rsid w:val="69F47232"/>
    <w:rsid w:val="6A2B7DCF"/>
    <w:rsid w:val="6B550DD6"/>
    <w:rsid w:val="6FE07705"/>
    <w:rsid w:val="6FFD907A"/>
    <w:rsid w:val="74A83031"/>
    <w:rsid w:val="76962A74"/>
    <w:rsid w:val="7B77B008"/>
    <w:rsid w:val="7FF6C12C"/>
    <w:rsid w:val="BCB98261"/>
    <w:rsid w:val="F3EB132D"/>
    <w:rsid w:val="FBFDC11E"/>
    <w:rsid w:val="FEF70171"/>
    <w:rsid w:val="FFCF96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  <w:ind w:firstLine="601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center"/>
      <w:outlineLvl w:val="0"/>
    </w:pPr>
    <w:rPr>
      <w:b/>
      <w:kern w:val="44"/>
      <w:sz w:val="30"/>
    </w:rPr>
  </w:style>
  <w:style w:type="paragraph" w:styleId="3">
    <w:name w:val="heading 2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微软雅黑" w:cs="Times New Roman"/>
      <w:b/>
      <w:sz w:val="28"/>
    </w:rPr>
  </w:style>
  <w:style w:type="paragraph" w:styleId="4">
    <w:name w:val="heading 3"/>
    <w:next w:val="1"/>
    <w:unhideWhenUsed/>
    <w:qFormat/>
    <w:uiPriority w:val="0"/>
    <w:pPr>
      <w:keepNext/>
      <w:keepLines/>
      <w:numPr>
        <w:ilvl w:val="0"/>
        <w:numId w:val="0"/>
      </w:numPr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微软雅黑" w:cs="Times New Roman"/>
      <w:b/>
      <w:sz w:val="24"/>
    </w:rPr>
  </w:style>
  <w:style w:type="paragraph" w:styleId="5">
    <w:name w:val="heading 4"/>
    <w:next w:val="1"/>
    <w:unhideWhenUsed/>
    <w:qFormat/>
    <w:uiPriority w:val="0"/>
    <w:pPr>
      <w:keepNext/>
      <w:keepLines/>
      <w:numPr>
        <w:ilvl w:val="0"/>
        <w:numId w:val="0"/>
      </w:numPr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微软雅黑" w:cs="Times New Roman"/>
      <w:i/>
      <w:sz w:val="24"/>
    </w:rPr>
  </w:style>
  <w:style w:type="paragraph" w:styleId="6">
    <w:name w:val="heading 5"/>
    <w:basedOn w:val="1"/>
    <w:next w:val="7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7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7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7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7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51">
    <w:name w:val="Default Paragraph Font"/>
    <w:semiHidden/>
    <w:qFormat/>
    <w:uiPriority w:val="0"/>
  </w:style>
  <w:style w:type="table" w:default="1" w:styleId="50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link w:val="57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2"/>
      </w:numPr>
    </w:pPr>
  </w:style>
  <w:style w:type="paragraph" w:styleId="14">
    <w:name w:val="table of authorities"/>
    <w:basedOn w:val="1"/>
    <w:next w:val="1"/>
    <w:qFormat/>
    <w:uiPriority w:val="0"/>
    <w:pPr>
      <w:ind w:left="420" w:leftChars="200"/>
    </w:pPr>
  </w:style>
  <w:style w:type="paragraph" w:styleId="15">
    <w:name w:val="List Bullet 4"/>
    <w:basedOn w:val="1"/>
    <w:qFormat/>
    <w:uiPriority w:val="0"/>
    <w:pPr>
      <w:numPr>
        <w:ilvl w:val="0"/>
        <w:numId w:val="3"/>
      </w:numPr>
    </w:pPr>
  </w:style>
  <w:style w:type="paragraph" w:styleId="16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17">
    <w:name w:val="caption"/>
    <w:basedOn w:val="1"/>
    <w:qFormat/>
    <w:uiPriority w:val="0"/>
    <w:pPr>
      <w:spacing w:before="0" w:after="120"/>
    </w:pPr>
    <w:rPr>
      <w:i/>
    </w:rPr>
  </w:style>
  <w:style w:type="paragraph" w:styleId="18">
    <w:name w:val="List Bullet"/>
    <w:basedOn w:val="1"/>
    <w:qFormat/>
    <w:uiPriority w:val="0"/>
    <w:pPr>
      <w:numPr>
        <w:ilvl w:val="0"/>
        <w:numId w:val="5"/>
      </w:numPr>
      <w:ind w:left="0" w:firstLine="0" w:firstLineChars="0"/>
    </w:pPr>
  </w:style>
  <w:style w:type="paragraph" w:styleId="19">
    <w:name w:val="Document Map"/>
    <w:basedOn w:val="1"/>
    <w:qFormat/>
    <w:uiPriority w:val="0"/>
    <w:pPr>
      <w:shd w:val="clear" w:color="auto" w:fill="000080"/>
    </w:pPr>
  </w:style>
  <w:style w:type="paragraph" w:styleId="20">
    <w:name w:val="annotation text"/>
    <w:basedOn w:val="1"/>
    <w:qFormat/>
    <w:uiPriority w:val="0"/>
    <w:pPr>
      <w:jc w:val="left"/>
    </w:pPr>
  </w:style>
  <w:style w:type="paragraph" w:styleId="21">
    <w:name w:val="List Bullet 3"/>
    <w:basedOn w:val="1"/>
    <w:qFormat/>
    <w:uiPriority w:val="0"/>
    <w:pPr>
      <w:numPr>
        <w:ilvl w:val="0"/>
        <w:numId w:val="6"/>
      </w:numPr>
    </w:pPr>
  </w:style>
  <w:style w:type="paragraph" w:styleId="22">
    <w:name w:val="List Number 3"/>
    <w:basedOn w:val="1"/>
    <w:qFormat/>
    <w:uiPriority w:val="0"/>
    <w:pPr>
      <w:numPr>
        <w:ilvl w:val="0"/>
        <w:numId w:val="7"/>
      </w:numPr>
    </w:pPr>
  </w:style>
  <w:style w:type="paragraph" w:styleId="23">
    <w:name w:val="List 2"/>
    <w:basedOn w:val="1"/>
    <w:qFormat/>
    <w:uiPriority w:val="0"/>
    <w:pPr>
      <w:ind w:left="100" w:leftChars="200" w:hanging="200" w:hangingChars="200"/>
    </w:pPr>
  </w:style>
  <w:style w:type="paragraph" w:styleId="24">
    <w:name w:val="List Continue"/>
    <w:basedOn w:val="1"/>
    <w:qFormat/>
    <w:uiPriority w:val="0"/>
    <w:pPr>
      <w:numPr>
        <w:ilvl w:val="0"/>
        <w:numId w:val="8"/>
      </w:numPr>
      <w:spacing w:after="120" w:afterLines="0" w:afterAutospacing="0"/>
      <w:ind w:left="0" w:leftChars="200" w:firstLine="0" w:firstLineChars="0"/>
    </w:pPr>
  </w:style>
  <w:style w:type="paragraph" w:styleId="25">
    <w:name w:val="Block Text"/>
    <w:basedOn w:val="7"/>
    <w:next w:val="7"/>
    <w:unhideWhenUsed/>
    <w:qFormat/>
    <w:uiPriority w:val="9"/>
    <w:pPr>
      <w:spacing w:before="100" w:after="100"/>
      <w:ind w:left="480" w:right="480" w:firstLine="0"/>
    </w:pPr>
  </w:style>
  <w:style w:type="paragraph" w:styleId="26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27">
    <w:name w:val="List Bullet 5"/>
    <w:basedOn w:val="1"/>
    <w:qFormat/>
    <w:uiPriority w:val="0"/>
    <w:pPr>
      <w:numPr>
        <w:ilvl w:val="0"/>
        <w:numId w:val="10"/>
      </w:numPr>
    </w:pPr>
  </w:style>
  <w:style w:type="paragraph" w:styleId="28">
    <w:name w:val="List Number 4"/>
    <w:basedOn w:val="1"/>
    <w:qFormat/>
    <w:uiPriority w:val="0"/>
    <w:pPr>
      <w:numPr>
        <w:ilvl w:val="0"/>
        <w:numId w:val="11"/>
      </w:numPr>
    </w:pPr>
  </w:style>
  <w:style w:type="paragraph" w:styleId="29">
    <w:name w:val="Date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30">
    <w:name w:val="endnote text"/>
    <w:basedOn w:val="1"/>
    <w:qFormat/>
    <w:uiPriority w:val="0"/>
    <w:pPr>
      <w:snapToGrid w:val="0"/>
      <w:jc w:val="left"/>
    </w:pPr>
  </w:style>
  <w:style w:type="paragraph" w:styleId="31">
    <w:name w:val="Balloon Text"/>
    <w:basedOn w:val="1"/>
    <w:qFormat/>
    <w:uiPriority w:val="0"/>
    <w:pPr>
      <w:ind w:firstLine="0" w:firstLineChars="0"/>
    </w:pPr>
    <w:rPr>
      <w:sz w:val="18"/>
    </w:rPr>
  </w:style>
  <w:style w:type="paragraph" w:styleId="3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4">
    <w:name w:val="toc 1"/>
    <w:basedOn w:val="1"/>
    <w:next w:val="1"/>
    <w:qFormat/>
    <w:uiPriority w:val="0"/>
  </w:style>
  <w:style w:type="paragraph" w:styleId="35">
    <w:name w:val="Subtitle"/>
    <w:basedOn w:val="36"/>
    <w:next w:val="7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36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37">
    <w:name w:val="List Number 5"/>
    <w:basedOn w:val="1"/>
    <w:qFormat/>
    <w:uiPriority w:val="0"/>
    <w:pPr>
      <w:numPr>
        <w:ilvl w:val="0"/>
        <w:numId w:val="12"/>
      </w:numPr>
    </w:pPr>
  </w:style>
  <w:style w:type="paragraph" w:styleId="38">
    <w:name w:val="List"/>
    <w:basedOn w:val="1"/>
    <w:qFormat/>
    <w:uiPriority w:val="0"/>
    <w:pPr>
      <w:ind w:left="200" w:hanging="200" w:hangingChars="200"/>
    </w:pPr>
  </w:style>
  <w:style w:type="paragraph" w:styleId="39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40">
    <w:name w:val="List 5"/>
    <w:basedOn w:val="1"/>
    <w:qFormat/>
    <w:uiPriority w:val="0"/>
    <w:pPr>
      <w:ind w:left="100" w:leftChars="800" w:hanging="200" w:hangingChars="200"/>
    </w:pPr>
  </w:style>
  <w:style w:type="paragraph" w:styleId="41">
    <w:name w:val="table of figures"/>
    <w:basedOn w:val="1"/>
    <w:next w:val="1"/>
    <w:qFormat/>
    <w:uiPriority w:val="0"/>
    <w:pPr>
      <w:ind w:leftChars="0" w:firstLine="0" w:firstLineChars="0"/>
      <w:jc w:val="left"/>
    </w:pPr>
    <w:rPr>
      <w:rFonts w:ascii="微软雅黑" w:hAnsi="微软雅黑" w:eastAsia="微软雅黑"/>
    </w:rPr>
  </w:style>
  <w:style w:type="paragraph" w:styleId="42">
    <w:name w:val="List 4"/>
    <w:basedOn w:val="1"/>
    <w:qFormat/>
    <w:uiPriority w:val="0"/>
    <w:pPr>
      <w:ind w:left="100" w:leftChars="600" w:hanging="200" w:hangingChars="200"/>
    </w:pPr>
  </w:style>
  <w:style w:type="paragraph" w:styleId="43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4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  <w:sz w:val="24"/>
    </w:rPr>
  </w:style>
  <w:style w:type="paragraph" w:styleId="45">
    <w:name w:val="Normal (Web)"/>
    <w:basedOn w:val="1"/>
    <w:qFormat/>
    <w:uiPriority w:val="0"/>
    <w:pPr>
      <w:spacing w:before="-2147483648" w:beforeAutospacing="1" w:after="-2147483648" w:afterAutospacing="1"/>
      <w:ind w:left="0" w:right="0" w:firstLine="560" w:firstLineChars="200"/>
      <w:jc w:val="both"/>
    </w:pPr>
    <w:rPr>
      <w:rFonts w:ascii="微软雅黑" w:hAnsi="微软雅黑" w:eastAsia="微软雅黑"/>
      <w:lang w:eastAsia="zh-CN" w:bidi="ar"/>
    </w:rPr>
  </w:style>
  <w:style w:type="paragraph" w:styleId="46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47">
    <w:name w:val="index 1"/>
    <w:basedOn w:val="1"/>
    <w:next w:val="1"/>
    <w:qFormat/>
    <w:uiPriority w:val="0"/>
  </w:style>
  <w:style w:type="paragraph" w:styleId="48">
    <w:name w:val="index 2"/>
    <w:basedOn w:val="1"/>
    <w:next w:val="1"/>
    <w:qFormat/>
    <w:uiPriority w:val="0"/>
    <w:pPr>
      <w:ind w:left="200" w:leftChars="200"/>
    </w:pPr>
  </w:style>
  <w:style w:type="paragraph" w:styleId="49">
    <w:name w:val="annotation subject"/>
    <w:basedOn w:val="20"/>
    <w:next w:val="20"/>
    <w:qFormat/>
    <w:uiPriority w:val="0"/>
    <w:rPr>
      <w:b/>
    </w:rPr>
  </w:style>
  <w:style w:type="character" w:styleId="52">
    <w:name w:val="endnote reference"/>
    <w:basedOn w:val="51"/>
    <w:qFormat/>
    <w:uiPriority w:val="0"/>
    <w:rPr>
      <w:vertAlign w:val="superscript"/>
    </w:rPr>
  </w:style>
  <w:style w:type="character" w:styleId="53">
    <w:name w:val="page number"/>
    <w:basedOn w:val="51"/>
    <w:qFormat/>
    <w:uiPriority w:val="0"/>
  </w:style>
  <w:style w:type="character" w:styleId="54">
    <w:name w:val="Emphasis"/>
    <w:basedOn w:val="51"/>
    <w:qFormat/>
    <w:uiPriority w:val="0"/>
    <w:rPr>
      <w:i/>
    </w:rPr>
  </w:style>
  <w:style w:type="character" w:styleId="55">
    <w:name w:val="line number"/>
    <w:basedOn w:val="51"/>
    <w:qFormat/>
    <w:uiPriority w:val="0"/>
  </w:style>
  <w:style w:type="character" w:styleId="56">
    <w:name w:val="Hyperlink"/>
    <w:basedOn w:val="57"/>
    <w:qFormat/>
    <w:uiPriority w:val="0"/>
    <w:rPr>
      <w:color w:val="0070C0"/>
      <w:u w:val="single"/>
    </w:rPr>
  </w:style>
  <w:style w:type="character" w:customStyle="1" w:styleId="57">
    <w:name w:val="Body Text Char"/>
    <w:basedOn w:val="51"/>
    <w:link w:val="7"/>
    <w:qFormat/>
    <w:uiPriority w:val="0"/>
    <w:rPr>
      <w:rFonts w:ascii="微软雅黑" w:hAnsi="微软雅黑" w:eastAsia="微软雅黑"/>
    </w:rPr>
  </w:style>
  <w:style w:type="character" w:styleId="58">
    <w:name w:val="annotation reference"/>
    <w:basedOn w:val="51"/>
    <w:qFormat/>
    <w:uiPriority w:val="0"/>
    <w:rPr>
      <w:sz w:val="21"/>
    </w:rPr>
  </w:style>
  <w:style w:type="character" w:styleId="59">
    <w:name w:val="footnote reference"/>
    <w:basedOn w:val="57"/>
    <w:qFormat/>
    <w:uiPriority w:val="0"/>
    <w:rPr>
      <w:vertAlign w:val="superscript"/>
    </w:rPr>
  </w:style>
  <w:style w:type="paragraph" w:customStyle="1" w:styleId="60">
    <w:name w:val="First Paragraph"/>
    <w:basedOn w:val="7"/>
    <w:next w:val="7"/>
    <w:qFormat/>
    <w:uiPriority w:val="0"/>
    <w:pPr>
      <w:ind w:firstLine="720" w:firstLineChars="200"/>
      <w:jc w:val="both"/>
    </w:pPr>
  </w:style>
  <w:style w:type="paragraph" w:customStyle="1" w:styleId="61">
    <w:name w:val="Compact"/>
    <w:basedOn w:val="7"/>
    <w:qFormat/>
    <w:uiPriority w:val="0"/>
    <w:pPr>
      <w:spacing w:before="36" w:after="36"/>
    </w:pPr>
  </w:style>
  <w:style w:type="paragraph" w:customStyle="1" w:styleId="62">
    <w:name w:val="Author"/>
    <w:next w:val="7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63">
    <w:name w:val="Abstract Title"/>
    <w:basedOn w:val="1"/>
    <w:next w:val="64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64">
    <w:name w:val="Abstract"/>
    <w:basedOn w:val="1"/>
    <w:next w:val="7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65">
    <w:name w:val="Bibliography"/>
    <w:basedOn w:val="1"/>
    <w:qFormat/>
    <w:uiPriority w:val="0"/>
  </w:style>
  <w:style w:type="paragraph" w:customStyle="1" w:styleId="66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6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68">
    <w:name w:val="Definition Term"/>
    <w:basedOn w:val="1"/>
    <w:next w:val="69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69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70">
    <w:name w:val="Table Caption"/>
    <w:basedOn w:val="17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71">
    <w:name w:val="Image Caption"/>
    <w:basedOn w:val="17"/>
    <w:qFormat/>
    <w:uiPriority w:val="0"/>
    <w:rPr>
      <w:rFonts w:ascii="微软雅黑" w:hAnsi="微软雅黑" w:eastAsia="微软雅黑"/>
    </w:rPr>
  </w:style>
  <w:style w:type="paragraph" w:customStyle="1" w:styleId="72">
    <w:name w:val="Figure"/>
    <w:basedOn w:val="1"/>
    <w:qFormat/>
    <w:uiPriority w:val="0"/>
  </w:style>
  <w:style w:type="paragraph" w:customStyle="1" w:styleId="73">
    <w:name w:val="Captioned Figure"/>
    <w:basedOn w:val="72"/>
    <w:qFormat/>
    <w:uiPriority w:val="0"/>
    <w:pPr>
      <w:keepNext/>
    </w:pPr>
  </w:style>
  <w:style w:type="character" w:customStyle="1" w:styleId="74">
    <w:name w:val="Verbatim Char"/>
    <w:basedOn w:val="57"/>
    <w:qFormat/>
    <w:uiPriority w:val="0"/>
    <w:rPr>
      <w:rFonts w:ascii="Copperplate" w:hAnsi="Copperplate"/>
      <w:sz w:val="22"/>
    </w:rPr>
  </w:style>
  <w:style w:type="character" w:customStyle="1" w:styleId="75">
    <w:name w:val="Section Number"/>
    <w:basedOn w:val="57"/>
    <w:qFormat/>
    <w:uiPriority w:val="0"/>
  </w:style>
  <w:style w:type="paragraph" w:customStyle="1" w:styleId="76">
    <w:name w:val="TOC Heading"/>
    <w:basedOn w:val="2"/>
    <w:next w:val="7"/>
    <w:unhideWhenUsed/>
    <w:qFormat/>
    <w:uiPriority w:val="39"/>
    <w:pPr>
      <w:tabs>
        <w:tab w:val="left" w:pos="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366091" w:themeColor="accent1" w:themeShade="BF"/>
    </w:rPr>
  </w:style>
  <w:style w:type="paragraph" w:customStyle="1" w:styleId="77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78">
    <w:name w:val="KeywordTok"/>
    <w:qFormat/>
    <w:uiPriority w:val="0"/>
    <w:rPr>
      <w:b/>
      <w:color w:val="007020"/>
    </w:rPr>
  </w:style>
  <w:style w:type="character" w:customStyle="1" w:styleId="79">
    <w:name w:val="DataTypeTok"/>
    <w:qFormat/>
    <w:uiPriority w:val="0"/>
    <w:rPr>
      <w:color w:val="902000"/>
    </w:rPr>
  </w:style>
  <w:style w:type="character" w:customStyle="1" w:styleId="80">
    <w:name w:val="DecValTok"/>
    <w:qFormat/>
    <w:uiPriority w:val="0"/>
    <w:rPr>
      <w:color w:val="40A070"/>
    </w:rPr>
  </w:style>
  <w:style w:type="character" w:customStyle="1" w:styleId="81">
    <w:name w:val="BaseNTok"/>
    <w:qFormat/>
    <w:uiPriority w:val="0"/>
    <w:rPr>
      <w:color w:val="40A070"/>
    </w:rPr>
  </w:style>
  <w:style w:type="character" w:customStyle="1" w:styleId="82">
    <w:name w:val="FloatTok"/>
    <w:qFormat/>
    <w:uiPriority w:val="0"/>
    <w:rPr>
      <w:color w:val="40A070"/>
    </w:rPr>
  </w:style>
  <w:style w:type="character" w:customStyle="1" w:styleId="83">
    <w:name w:val="ConstantTok"/>
    <w:qFormat/>
    <w:uiPriority w:val="0"/>
    <w:rPr>
      <w:color w:val="880000"/>
    </w:rPr>
  </w:style>
  <w:style w:type="character" w:customStyle="1" w:styleId="84">
    <w:name w:val="CharTok"/>
    <w:qFormat/>
    <w:uiPriority w:val="0"/>
    <w:rPr>
      <w:color w:val="4070A0"/>
    </w:rPr>
  </w:style>
  <w:style w:type="character" w:customStyle="1" w:styleId="85">
    <w:name w:val="SpecialCharTok"/>
    <w:qFormat/>
    <w:uiPriority w:val="0"/>
    <w:rPr>
      <w:color w:val="4070A0"/>
    </w:rPr>
  </w:style>
  <w:style w:type="character" w:customStyle="1" w:styleId="86">
    <w:name w:val="StringTok"/>
    <w:qFormat/>
    <w:uiPriority w:val="0"/>
    <w:rPr>
      <w:color w:val="4070A0"/>
    </w:rPr>
  </w:style>
  <w:style w:type="character" w:customStyle="1" w:styleId="87">
    <w:name w:val="VerbatimStringTok"/>
    <w:qFormat/>
    <w:uiPriority w:val="0"/>
    <w:rPr>
      <w:color w:val="4070A0"/>
    </w:rPr>
  </w:style>
  <w:style w:type="character" w:customStyle="1" w:styleId="88">
    <w:name w:val="SpecialStringTok"/>
    <w:qFormat/>
    <w:uiPriority w:val="0"/>
    <w:rPr>
      <w:color w:val="BB6688"/>
    </w:rPr>
  </w:style>
  <w:style w:type="character" w:customStyle="1" w:styleId="89">
    <w:name w:val="ImportTok"/>
    <w:qFormat/>
    <w:uiPriority w:val="0"/>
    <w:rPr>
      <w:b/>
      <w:color w:val="008000"/>
    </w:rPr>
  </w:style>
  <w:style w:type="character" w:customStyle="1" w:styleId="90">
    <w:name w:val="CommentTok"/>
    <w:qFormat/>
    <w:uiPriority w:val="0"/>
    <w:rPr>
      <w:i/>
      <w:color w:val="60A0B0"/>
    </w:rPr>
  </w:style>
  <w:style w:type="character" w:customStyle="1" w:styleId="91">
    <w:name w:val="DocumentationTok"/>
    <w:qFormat/>
    <w:uiPriority w:val="0"/>
    <w:rPr>
      <w:i/>
      <w:color w:val="BA2121"/>
    </w:rPr>
  </w:style>
  <w:style w:type="character" w:customStyle="1" w:styleId="92">
    <w:name w:val="AnnotationTok"/>
    <w:qFormat/>
    <w:uiPriority w:val="0"/>
    <w:rPr>
      <w:b/>
      <w:i/>
      <w:color w:val="60A0B0"/>
    </w:rPr>
  </w:style>
  <w:style w:type="character" w:customStyle="1" w:styleId="93">
    <w:name w:val="CommentVarTok"/>
    <w:qFormat/>
    <w:uiPriority w:val="0"/>
    <w:rPr>
      <w:b/>
      <w:i/>
      <w:color w:val="60A0B0"/>
    </w:rPr>
  </w:style>
  <w:style w:type="character" w:customStyle="1" w:styleId="94">
    <w:name w:val="OtherTok"/>
    <w:qFormat/>
    <w:uiPriority w:val="0"/>
    <w:rPr>
      <w:color w:val="007020"/>
    </w:rPr>
  </w:style>
  <w:style w:type="character" w:customStyle="1" w:styleId="95">
    <w:name w:val="FunctionTok"/>
    <w:qFormat/>
    <w:uiPriority w:val="0"/>
    <w:rPr>
      <w:color w:val="06287E"/>
    </w:rPr>
  </w:style>
  <w:style w:type="character" w:customStyle="1" w:styleId="96">
    <w:name w:val="VariableTok"/>
    <w:qFormat/>
    <w:uiPriority w:val="0"/>
    <w:rPr>
      <w:color w:val="19177C"/>
    </w:rPr>
  </w:style>
  <w:style w:type="character" w:customStyle="1" w:styleId="97">
    <w:name w:val="ControlFlowTok"/>
    <w:qFormat/>
    <w:uiPriority w:val="0"/>
    <w:rPr>
      <w:b/>
      <w:color w:val="007020"/>
    </w:rPr>
  </w:style>
  <w:style w:type="character" w:customStyle="1" w:styleId="98">
    <w:name w:val="OperatorTok"/>
    <w:qFormat/>
    <w:uiPriority w:val="0"/>
    <w:rPr>
      <w:color w:val="666666"/>
    </w:rPr>
  </w:style>
  <w:style w:type="character" w:customStyle="1" w:styleId="99">
    <w:name w:val="BuiltInTok"/>
    <w:qFormat/>
    <w:uiPriority w:val="0"/>
    <w:rPr>
      <w:color w:val="008000"/>
    </w:rPr>
  </w:style>
  <w:style w:type="character" w:customStyle="1" w:styleId="100">
    <w:name w:val="ExtensionTok"/>
    <w:qFormat/>
    <w:uiPriority w:val="0"/>
  </w:style>
  <w:style w:type="character" w:customStyle="1" w:styleId="101">
    <w:name w:val="PreprocessorTok"/>
    <w:qFormat/>
    <w:uiPriority w:val="0"/>
    <w:rPr>
      <w:color w:val="BC7A00"/>
    </w:rPr>
  </w:style>
  <w:style w:type="character" w:customStyle="1" w:styleId="102">
    <w:name w:val="AttributeTok"/>
    <w:qFormat/>
    <w:uiPriority w:val="0"/>
    <w:rPr>
      <w:color w:val="7D9029"/>
    </w:rPr>
  </w:style>
  <w:style w:type="character" w:customStyle="1" w:styleId="103">
    <w:name w:val="RegionMarkerTok"/>
    <w:qFormat/>
    <w:uiPriority w:val="0"/>
  </w:style>
  <w:style w:type="character" w:customStyle="1" w:styleId="104">
    <w:name w:val="InformationTok"/>
    <w:qFormat/>
    <w:uiPriority w:val="0"/>
    <w:rPr>
      <w:b/>
      <w:i/>
      <w:color w:val="60A0B0"/>
    </w:rPr>
  </w:style>
  <w:style w:type="character" w:customStyle="1" w:styleId="105">
    <w:name w:val="WarningTok"/>
    <w:qFormat/>
    <w:uiPriority w:val="0"/>
    <w:rPr>
      <w:b/>
      <w:i/>
      <w:color w:val="60A0B0"/>
    </w:rPr>
  </w:style>
  <w:style w:type="character" w:customStyle="1" w:styleId="106">
    <w:name w:val="AlertTok"/>
    <w:qFormat/>
    <w:uiPriority w:val="0"/>
    <w:rPr>
      <w:b/>
      <w:color w:val="FF0000"/>
    </w:rPr>
  </w:style>
  <w:style w:type="character" w:customStyle="1" w:styleId="107">
    <w:name w:val="ErrorTok"/>
    <w:qFormat/>
    <w:uiPriority w:val="0"/>
    <w:rPr>
      <w:b/>
      <w:color w:val="FF0000"/>
    </w:rPr>
  </w:style>
  <w:style w:type="character" w:customStyle="1" w:styleId="108">
    <w:name w:val="NormalTok"/>
    <w:qFormat/>
    <w:uiPriority w:val="0"/>
  </w:style>
  <w:style w:type="character" w:customStyle="1" w:styleId="109">
    <w:name w:val="10"/>
    <w:basedOn w:val="51"/>
    <w:qFormat/>
    <w:uiPriority w:val="0"/>
    <w:rPr>
      <w:rFonts w:hint="default" w:ascii="Times New Roman" w:hAnsi="Times New Roman" w:cs="Times New Roman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11100</Words>
  <Characters>12833</Characters>
  <Lines>1</Lines>
  <Paragraphs>1</Paragraphs>
  <TotalTime>12</TotalTime>
  <ScaleCrop>false</ScaleCrop>
  <LinksUpToDate>false</LinksUpToDate>
  <CharactersWithSpaces>12985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2024-11-15T15:05:00Z</dcterms:created>
  <dc:creator>bowen</dc:creator>
  <cp:lastModifiedBy>陈洁</cp:lastModifiedBy>
  <dcterms:modified xsi:type="dcterms:W3CDTF">2025-10-05T09:23:06Z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6AF2B3EB84FFBCBFD439DE681BBFC452_43</vt:lpwstr>
  </property>
  <property fmtid="{D5CDD505-2E9C-101B-9397-08002B2CF9AE}" pid="4" name="KSOTemplateDocerSaveRecord">
    <vt:lpwstr>eyJoZGlkIjoiN2YzNjBkOTgyNWQ1YTMxYzM3MzMwNWFiODNmOWIzYWMiLCJ1c2VySWQiOiI1Nzg2NjcwNjkifQ==</vt:lpwstr>
  </property>
</Properties>
</file>