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6F323">
      <w:pPr>
        <w:pStyle w:val="2"/>
      </w:pPr>
    </w:p>
    <w:p w14:paraId="21BF88EF">
      <w:pPr>
        <w:pStyle w:val="2"/>
      </w:pPr>
    </w:p>
    <w:p w14:paraId="109628F2">
      <w:pPr>
        <w:pStyle w:val="2"/>
      </w:pPr>
      <w:r>
        <w:t>干变铁芯车间铁芯集送线RGV技术手册</w:t>
      </w:r>
    </w:p>
    <w:p w14:paraId="07A97F15">
      <w:pPr>
        <w:pStyle w:val="3"/>
      </w:pPr>
      <w:r>
        <w:t>一、概述</w:t>
      </w:r>
    </w:p>
    <w:p w14:paraId="50E28F75">
      <w:pPr>
        <w:pStyle w:val="4"/>
      </w:pPr>
      <w:r>
        <w:t>1.1 手册目的与适用范围</w:t>
      </w:r>
    </w:p>
    <w:p w14:paraId="7EC24507">
      <w:r>
        <w:t>本手册旨在为干变铁芯车间铁芯集送线RGV（有轨制导车辆）的设计选型、操作使用、维护保养及故障处理提供标准化技术指导，确保设备在干式变压器铁芯生产过程中的安全稳定运行。手册内容涵盖RGV结构组成、功能特性、机械与控制系统原理、常见故障分析及全生命周期管理策略，适用于设备工程师、维护技术人员及相关管理人员。</w:t>
      </w:r>
    </w:p>
    <w:p w14:paraId="2F9632EC">
      <w:r>
        <w:t>应用场景包括干式变压器铁芯叠装、固化、装配等工序间的自动化转运，涉及30KW-2500KVA规格变压器铁芯（重量1.5-5吨，尺寸1600×1000×800mm）的搬运、定位与设备对接。设备运行环境需满足温度-10℃~60℃、相对湿度≤75%、粉尘浓度≤8mg/m³的工业车间标准，超出此范围的极端环境需进行定制化改造，本手册内容不再适用。</w:t>
      </w:r>
    </w:p>
    <w:p w14:paraId="64AFAB79">
      <w:r>
        <w:t>使用本手册时需注意：所有技术参数基于行业通用标准设计，具体设备可能因制造商差异存在细节调整，操作前应结合设备随机技术文件核对；涉及电气作业需由持电工证人员操作，机械维修需遵循能量隔离原则；手册中未明确的特殊故障处理，应联系设备制造商技术支持。</w:t>
      </w:r>
    </w:p>
    <w:p w14:paraId="68CFFBDC">
      <w:pPr>
        <w:pStyle w:val="4"/>
      </w:pPr>
      <w:r>
        <w:t>1.2 RGV在铁芯生产中的作用与重要性</w:t>
      </w:r>
    </w:p>
    <w:p w14:paraId="28402A45">
      <w:r>
        <w:t>RGV是干式变压器铁芯集送线的核心自动化设备，承担托盘的自动转运、工序衔接与缓存功能，是连接铁芯生产各工序的关键枢纽。在传统生产模式中，托盘处理依赖人工搬运与堆叠，存在三大核心问题：效率低下，人工单次转运耗时约3-5分钟，且难以连续作业；精度不足，人工对接偏差常超过±20mm，易导致铁芯托盘倾倒或后续设备对接失败；劳动强度大，5吨级托盘人工搬运需2-3人协同，且存在机械伤害风险。</w:t>
      </w:r>
    </w:p>
    <w:p w14:paraId="196964AF">
      <w:r>
        <w:t>RGV通过自动化技术实现三大转变：效率提升，单次转运周期缩短至8-12秒，每小时可处理200-300个托盘，满足连续化生产需求；精度保障，定位偏差控制在±1mm内，对接垂直度≤2mm/m，确保后续RGV/AGV对接稳定性；无人化作业，完全替代人工搬运，降低工伤事故发生率至0.1‰以下。</w:t>
      </w:r>
    </w:p>
    <w:p w14:paraId="5BD9D0A5">
      <w:r>
        <w:t>在铁芯生产流程中，RGV的作用贯穿“原料输入-工序缓存-成品输出”全链条：原料端，将空托盘自动转运至叠片机供料位；工序间，接收叠片完成后的铁芯托盘，暂存于缓存区并按生产节奏输送至固化炉；成品端，将固化后的铁芯托盘转运至装配线。其运行稳定性直接影响集送线整体稼动率，据行业数据统计，配置RGV的生产线综合效率可提升40%以上，人力成本降低60%。</w:t>
      </w:r>
    </w:p>
    <w:p w14:paraId="2C434017">
      <w:pPr>
        <w:pStyle w:val="4"/>
      </w:pPr>
      <w:r>
        <w:t>1.3 相关标准与规范</w:t>
      </w:r>
    </w:p>
    <w:p w14:paraId="4C74A44D">
      <w:r>
        <w:t>RGV设计、制造及运维需符合以下国家标准与行业规范，关键技术指标需满足表1-1要求：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194B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1D3D2C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2215B01F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448F3772">
            <w:pPr>
              <w:jc w:val="center"/>
              <w:rPr>
                <w:b/>
              </w:rPr>
            </w:pPr>
            <w:r>
              <w:rPr>
                <w:b/>
              </w:rPr>
              <w:t>核心技术指标要求</w:t>
            </w:r>
          </w:p>
        </w:tc>
      </w:tr>
      <w:tr w14:paraId="433CB7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F70CD2">
            <w:r>
              <w:t>工业机械电气设备 通用技术条件</w:t>
            </w:r>
          </w:p>
        </w:tc>
        <w:tc>
          <w:tcPr>
            <w:tcW w:w="0" w:type="auto"/>
            <w:vAlign w:val="center"/>
          </w:tcPr>
          <w:p w14:paraId="122C5053">
            <w:r>
              <w:t>GB/T 5226.1</w:t>
            </w:r>
          </w:p>
        </w:tc>
        <w:tc>
          <w:tcPr>
            <w:tcW w:w="0" w:type="auto"/>
            <w:vAlign w:val="center"/>
          </w:tcPr>
          <w:p w14:paraId="4F4282AD">
            <w:r>
              <w:t>电气部件防护等级≥IP54，急停响应时间≤0.5s，绝缘电阻≥1MΩ（热态）</w:t>
            </w:r>
          </w:p>
        </w:tc>
      </w:tr>
      <w:tr w14:paraId="172AEA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9A3E79">
            <w:r>
              <w:t>有轨电动平车</w:t>
            </w:r>
          </w:p>
        </w:tc>
        <w:tc>
          <w:tcPr>
            <w:tcW w:w="0" w:type="auto"/>
            <w:vAlign w:val="center"/>
          </w:tcPr>
          <w:p w14:paraId="73C168E7">
            <w:r>
              <w:t>JB/T 10822</w:t>
            </w:r>
          </w:p>
        </w:tc>
        <w:tc>
          <w:tcPr>
            <w:tcW w:w="0" w:type="auto"/>
            <w:vAlign w:val="center"/>
          </w:tcPr>
          <w:p w14:paraId="6E9A493F">
            <w:r>
              <w:t>静态承载能力≥3吨，运行速度0.5-1.2m/s，定位精度±5mm</w:t>
            </w:r>
          </w:p>
        </w:tc>
      </w:tr>
      <w:tr w14:paraId="0CFB1109">
        <w:tc>
          <w:tcPr>
            <w:tcW w:w="0" w:type="auto"/>
            <w:vAlign w:val="center"/>
          </w:tcPr>
          <w:p w14:paraId="421CB617">
            <w:r>
              <w:t>金属和合金的腐蚀 盐雾试验</w:t>
            </w:r>
          </w:p>
        </w:tc>
        <w:tc>
          <w:tcPr>
            <w:tcW w:w="0" w:type="auto"/>
            <w:vAlign w:val="center"/>
          </w:tcPr>
          <w:p w14:paraId="6AA80B52">
            <w:r>
              <w:t>GB/T 10125-2021</w:t>
            </w:r>
          </w:p>
        </w:tc>
        <w:tc>
          <w:tcPr>
            <w:tcW w:w="0" w:type="auto"/>
            <w:vAlign w:val="center"/>
          </w:tcPr>
          <w:p w14:paraId="22207746">
            <w:r>
              <w:t>框架涂层耐盐雾性能≥500小时</w:t>
            </w:r>
          </w:p>
        </w:tc>
      </w:tr>
      <w:tr w14:paraId="6AAC4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096A19">
            <w:r>
              <w:t>自动化系统与集成 制造执行系统</w:t>
            </w:r>
          </w:p>
        </w:tc>
        <w:tc>
          <w:tcPr>
            <w:tcW w:w="0" w:type="auto"/>
            <w:vAlign w:val="center"/>
          </w:tcPr>
          <w:p w14:paraId="0A1FF9F2">
            <w:r>
              <w:t>GB/T 25485</w:t>
            </w:r>
          </w:p>
        </w:tc>
        <w:tc>
          <w:tcPr>
            <w:tcW w:w="0" w:type="auto"/>
            <w:vAlign w:val="center"/>
          </w:tcPr>
          <w:p w14:paraId="49CC4075">
            <w:r>
              <w:t>任务调度响应时间≤100ms，数据传输准确率≥99.9%</w:t>
            </w:r>
          </w:p>
        </w:tc>
      </w:tr>
      <w:tr w14:paraId="73CCF5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69738C">
            <w:r>
              <w:t>机械安全 防止意外启动</w:t>
            </w:r>
          </w:p>
        </w:tc>
        <w:tc>
          <w:tcPr>
            <w:tcW w:w="0" w:type="auto"/>
            <w:vAlign w:val="center"/>
          </w:tcPr>
          <w:p w14:paraId="2E90BAD4">
            <w:r>
              <w:t>GB/T 16855.1</w:t>
            </w:r>
          </w:p>
        </w:tc>
        <w:tc>
          <w:tcPr>
            <w:tcW w:w="0" w:type="auto"/>
            <w:vAlign w:val="center"/>
          </w:tcPr>
          <w:p w14:paraId="3763AD32">
            <w:r>
              <w:t>急停回路采用双通道设计，安全等级≥PL d</w:t>
            </w:r>
          </w:p>
        </w:tc>
      </w:tr>
    </w:tbl>
    <w:p w14:paraId="311B25D9">
      <w:r>
        <w:t>上述标准中，GB/T 5226.1规定电气系统的基本安全要求，如控制回路绝缘电阻、防护等级等；JB/T 10822为行走系统与定位精度提供设计依据；GB/T 25485规范与MES系统的数据交互；GB/T 16855.1防止设备意外启动导致的机械伤害。设备验收时，需逐项验证上述指标，形成《设备验收报告》存档。</w:t>
      </w:r>
    </w:p>
    <w:p w14:paraId="1CC0048C">
      <w:pPr>
        <w:pStyle w:val="3"/>
      </w:pPr>
      <w:r>
        <w:t>二、结构组成</w:t>
      </w:r>
    </w:p>
    <w:p w14:paraId="4E54CAB7">
      <w:pPr>
        <w:pStyle w:val="4"/>
      </w:pPr>
      <w:r>
        <w:t>2.1 机械框架设计</w:t>
      </w:r>
    </w:p>
    <w:p w14:paraId="27FAD6E5">
      <w:r>
        <w:t>机械框架作为RGV的承载基础，需同时满足高强度与轻量化要求。主体采用Q235B碳钢焊接结构，通过“纵梁+横梁+面板”三层设计实现刚性支撑：纵梁选用10号槽钢，间距800mm平行布置；横梁采用8号槽钢，按500mm间距垂直焊接于纵梁，形成“田”字形框架；面板为5mm厚冷轧钢板，覆盖框架表面并与横梁焊接固定，静态承载能力≥5吨（对应最大铁芯重量）。</w:t>
      </w:r>
    </w:p>
    <w:p w14:paraId="2C667810">
      <w:r>
        <w:t>关键连接部位强化设计：纵梁与横梁焊接采用双面坡口焊，焊脚高度≥8mm，焊接后进行磁粉探伤（MT）检测，确保无裂纹、未熔合等缺陷；所有紧固件选用304不锈钢螺栓（规格≥M12×50），配合防松垫圈与螺纹胶（乐泰243），满足振动环境下的连接可靠性。框架底部安装8个可调支撑脚（调节范围±50mm），用于设备安装时的水平校准（水平度误差≤0.2mm/m）。</w:t>
      </w:r>
    </w:p>
    <w:p w14:paraId="639C28A0">
      <w:r>
        <w:t>表面处理工艺分三步实施：喷砂除锈达Sa2.5级，去除氧化皮与锈蚀；喷涂环氧富锌底漆（厚度≥60μm），提升防锈能力；面漆采用聚氨酯磁漆（厚度≥40μm），颜色为工业灰（RAL7035），耐盐雾性能达500小时以上，适应车间多粉尘、潮湿环境。框架四角设置Φ30mm吊装孔，用于设备运输与安装，吊装时需使用专用吊具，避免应力集中导致变形。</w:t>
      </w:r>
    </w:p>
    <w:p w14:paraId="63888597">
      <w:pPr>
        <w:pStyle w:val="4"/>
      </w:pPr>
      <w:r>
        <w:t>2.2 行走系统：驱动轮与随动轮</w:t>
      </w:r>
    </w:p>
    <w:p w14:paraId="2B68E1BC">
      <w:r>
        <w:t>行走系统由驱动轮与随动轮组成，共同保障RGV沿轨道平稳运行。驱动轮采用“伺服电机+行星齿轮减速器”组合驱动，电机选用1.5-2.2kW永磁同步伺服电机（额定转速1500rpm），配合减速比1:25的行星减速器，输出转速60rpm，通过齿轮齿条传动驱动行走轮。驱动轮材质为耐磨铸铁（硬度HB200-250），轮径根据负载分为Φ150mm（轻载，对应1.5-3吨铁芯）和Φ200mm（重载，对应3-5吨铁芯），轮宽80mm，与轨道接触面积≥100cm²以降低地面压强。驱动轮布置采用双轮组设计，确保驱动力均匀分布，避免单侧过载导致的轨道偏磨。</w:t>
      </w:r>
    </w:p>
    <w:p w14:paraId="3659BF85">
      <w:r>
        <w:t>随动轮（万向轮）主要起辅助支撑和导向作用，安装于框架的非驱动端。随动轮采用聚氨酯材质（硬度邵氏A85），直径Φ100-150mm，可360°旋转以适应轨道转向需求。随动轮与框架之间通过弹簧减震装置连接，可吸收行驶过程中的振动（振幅≤60μm），确保运行平稳性。随动轮与轨道侧面的间隙控制在3-5mm，以保证RGV的直线行驶精度，避免出现跑偏现象。</w:t>
      </w:r>
    </w:p>
    <w:p w14:paraId="37DABFE2">
      <w:r>
        <w:t>轨道选用P24轻轨，安装平行度误差≤2mm/5m，轨距设计为800mm或1000mm，轨道接缝处采用45度坡口过渡，间隙≤1mm，避免车轮通过时产生冲击振动。轨道固定采用膨胀螺栓（M16×100mm），间距1.5m，确保承载稳定性。</w:t>
      </w:r>
    </w:p>
    <w:p w14:paraId="1180690D">
      <w:pPr>
        <w:pStyle w:val="4"/>
      </w:pPr>
      <w:r>
        <w:t>2.3 输送机系统</w:t>
      </w:r>
    </w:p>
    <w:p w14:paraId="11AE0D1C">
      <w:r>
        <w:t>输送机系统是RGV实现铁芯自动装卸的核心部件，根据铁芯类型分为链条输送机与滚筒输送机两种形式。链条输送机配备双货叉自动伸缩取料机构，最大伸出臂长1250mm，可实现货物的左右伸缩取料和自动顶升（顶升行程300-1200mm，速度0.05m/s），适用于叠片式铁芯的转运。货叉采用45号钢锻造，表面淬火处理（硬度HRC45-50），确保在5吨负载下无永久变形。</w:t>
      </w:r>
    </w:p>
    <w:p w14:paraId="5F65BD1D">
      <w:r>
        <w:t>滚筒输送机的滚筒间距为150mm，转速0.5m/s，与上下游设备的滚筒线对接时，需保证转速同步误差≤±5%（通过Profinet总线实时校准）。滚筒材质为无缝钢管（直径Φ50mm，壁厚3mm），表面包覆聚氨酯防滑层（摩擦系数≥0.6），防止铁芯在转运过程中滑动。输送机系统集成4个称重传感器（量程1吨/个，精度0.1%FS），实时监测负载状态，当超载10%时自动切断驱动电源并报警。</w:t>
      </w:r>
    </w:p>
    <w:p w14:paraId="283236C2">
      <w:r>
        <w:t>对于卷绕式铁芯，输送机可集成旋转平台（旋转角度0-180°，定位精度±1°），实现铁芯在转运过程中的方向调整，满足不同设备的进料方向要求。旋转平台采用蜗轮蜗杆减速器驱动，自锁性能良好（螺旋升角≤4°），可在任意角度停留。</w:t>
      </w:r>
    </w:p>
    <w:p w14:paraId="0D6C80DB">
      <w:pPr>
        <w:pStyle w:val="4"/>
      </w:pPr>
      <w:r>
        <w:t>2.4 辅助部件</w:t>
      </w:r>
    </w:p>
    <w:p w14:paraId="10183C5E">
      <w:r>
        <w:t>辅助部件包括保险杠、导向机构、电气防护装置等，保障RGV运行安全与功能完整性。保险杠采用聚氨酯缓冲材料，厚度≥20mm，安装于框架前后端，可吸收80%的碰撞能量（最大吸收能量50J），保护设备和人员安全。导向机构采用“双导向轮+中央导向槽”复合设计：两侧导向轮与轨道侧面间隙3-5mm，吸收横向偏移量；底部中央设置V型导向槽（角度90度），与轨道中央导向轨配合，定位精度可达±1mm。</w:t>
      </w:r>
    </w:p>
    <w:p w14:paraId="01C26149">
      <w:r>
        <w:t>电气防护装置包括防水防尘外壳（防护等级IP54）、过载保护器（设定值为额定电流的1.2倍）及急停按钮（双通道设计，SIL 3等级）。急停按钮触发时，驱动系统立即断电制动（制动距离≤0.5m），并切断输送机动力电源，确保紧急情况下的安全。此外，框架侧面安装警示灯（红/绿双色），运行时红灯闪烁，待机时绿灯常亮，便于操作人员识别设备状态。</w:t>
      </w:r>
    </w:p>
    <w:p w14:paraId="1C7FC4B2">
      <w:r>
        <w:t>电气柜内部配置散热风扇（风量≥0.2m³/s）与除湿装置（湿度控制≤60%RH），确保PLC、驱动器等核心部件在高温高湿环境下的稳定运行。电缆管理采用拖链系统（型号TL50，弯曲半径≥100mm），保护电缆免受机械损伤，拖链内电缆布置需满足动力线与信号线分离，避免电磁干扰。</w:t>
      </w:r>
    </w:p>
    <w:p w14:paraId="7B880516">
      <w:pPr>
        <w:pStyle w:val="3"/>
      </w:pPr>
      <w:r>
        <w:t>三、功能特性</w:t>
      </w:r>
    </w:p>
    <w:p w14:paraId="7FF708CD">
      <w:pPr>
        <w:pStyle w:val="4"/>
      </w:pPr>
      <w:r>
        <w:t>3.1 物料运输功能</w:t>
      </w:r>
    </w:p>
    <w:p w14:paraId="7D89CEC9">
      <w:r>
        <w:t>RGV的物料运输功能需匹配干式变压器铁芯的重量与尺寸特性，负载设计覆盖1.5-5吨梯度，可适应30KW-2500KVA变压器对应的铁芯规格。运输速度根据负载状态动态调整：空载行驶速度1.0-1.2m/s，负载行驶速度0.5-0.9m/s，启动与制动阶段采用S型加减速曲线（加速度0.3-0.5m/s²），避免因惯性导致铁芯滑动或叠片错位。</w:t>
      </w:r>
    </w:p>
    <w:p w14:paraId="584C051D">
      <w:r>
        <w:t>为保障运输稳定性，台面铺设3mm厚橡胶防滑垫（摩擦系数≥0.6），边缘设置100mm高可拆卸防护栏，防止铁芯倾倒。台面下方安装4个称重传感器，实时监测负载分布，当重心偏移量＞100mm时，自动调整行驶速度至额定值的70%，并发出重心偏移报警。运输效率方面，RGV支持每小时≥200次循环转运（含取料、行驶、卸料动作），满足铁芯生产线的连续化生产需求。</w:t>
      </w:r>
    </w:p>
    <w:p w14:paraId="0716ABEF">
      <w:r>
        <w:t>运输过程中的状态监测通过多传感器协同实现：激光雷达扫描铁芯轮廓，检测是否存在突出或倾斜；温度传感器监测电机与轴承温升（限值40K），异常时自动降速；振动传感器采集行驶振动数据（频率10-2000Hz），超标时触发维护预警。</w:t>
      </w:r>
    </w:p>
    <w:p w14:paraId="44E3173F">
      <w:pPr>
        <w:pStyle w:val="4"/>
      </w:pPr>
      <w:r>
        <w:t>3.2 工序衔接功能</w:t>
      </w:r>
    </w:p>
    <w:p w14:paraId="071CDEE1">
      <w:r>
        <w:t>RGV通过“任务调度-信息交互-动作同步”三层架构与叠片机、固化炉等设备实现无缝衔接。在任务调度层，RGV通过MES接收生产工单，根据铁芯类型（卷绕式或叠片式）和工序优先级（如固化炉等待时长≤15分钟）生成转运任务。例如，叠片机完成铁芯叠装后，通过OPC UA协议向MES发送“物料就绪”信号（包含铁芯重量、尺寸等参数），MES实时分配最近空闲RGV，并通过WCS（仓库控制系统）下发路径指令。</w:t>
      </w:r>
    </w:p>
    <w:p w14:paraId="3015871C">
      <w:r>
        <w:t>物理接口与动作同步方面，与叠片机对接采用滚筒输送接口，RGV台面滚筒线与叠片机出料端对接高度差≤±2mm，滚筒转速通过Profinet总线实时校准（同步误差≤5%）。叠片机出料时，RGV通过漫反射光电传感器（检测距离50-100mm）确认铁芯边缘位置，触发滚筒正转承接物料，当称重传感器检测到负载稳定后，反馈“取料完成”信号。与固化炉对接则采用定位销+导向槽机械定位，RGV停靠精度±1mm（通过激光测距仪实时修正），炉门开启前通过RFID标签（ISO 15693协议）与固化炉进行身份核验，核验通过后炉门开启，RGV顶升机构将铁芯送入炉内。</w:t>
      </w:r>
    </w:p>
    <w:p w14:paraId="50A224FF">
      <w:r>
        <w:t>接口标准遵循T/UNP 586-2025《模切叠片一体机自动化系统技术规范》，机械接口对接面平面度≤0.1mm/m，电气接口采用M12圆形连接器（IP67防护），信号定义遵循IEC 61131-2标准。</w:t>
      </w:r>
    </w:p>
    <w:p w14:paraId="22A58455">
      <w:pPr>
        <w:pStyle w:val="4"/>
      </w:pPr>
      <w:r>
        <w:t>3.2 工序衔接功能</w:t>
      </w:r>
    </w:p>
    <w:p w14:paraId="17F170D0">
      <w:r>
        <w:t>RGV作为铁芯生产各工序的连接枢纽，需实现与叠片机、固化炉、装配线等设备的高效协同。衔接逻辑遵循“生产节奏匹配”原则，通过缓存调节与优先级调度平衡上下游设备速度差异。当下游固化炉处理速度低于上游叠片机时，RGV可将铁芯暂存于轨道旁的缓存区（容量5-10个托盘位），缓存区采用链式输送机构，支持托盘的自动进出与位置管理。当缓存区容量达到80%时，MES系统自动降低上游叠片机生产节奏，避免物料积压。</w:t>
      </w:r>
    </w:p>
    <w:p w14:paraId="0E3A67F2">
      <w:r>
        <w:t>工序衔接的信号交互采用“硬线+总线”双重机制：关键安全信号（如急停、设备就绪）通过硬线直接连接，确保故障时的快速响应；非安全信号（如物料ID、转运指令）通过Profinet总线传输，数据传输速率100Mbps，延迟≤50ms。例如，叠片机完成铁芯叠装后，通过总线向RGV发送“取料请求”，RGV响应后行驶至对接位，通过硬线信号确认机械定位完成，随后启动取料动作。</w:t>
      </w:r>
    </w:p>
    <w:p w14:paraId="5B0FC9C4">
      <w:r>
        <w:t>多机协同作业时，RGV集群通过MES系统实现任务分配与路径规划，避免冲突。当两台RGV在同一轨道相遇时，系统根据任务优先级（如紧急订单优先级系数1.5）动态调整避让策略，低优先级RGV自动停靠至会让站，待高优先级RGV通过后继续行驶。会让站设计需满足两车最小间距≥1.5m，确保安全距离。</w:t>
      </w:r>
    </w:p>
    <w:p w14:paraId="53672EAB">
      <w:pPr>
        <w:pStyle w:val="4"/>
      </w:pPr>
      <w:r>
        <w:t>3.3 自动化运行功能</w:t>
      </w:r>
    </w:p>
    <w:p w14:paraId="3A896635">
      <w:r>
        <w:t>RGV的自动化运行功能依赖导航定位、任务调度与自动避障技术的协同实现。导航定位采用多技术融合方案：激光导航通过二维激光扫描仪（扫描角度270°，检测距离0.1-25m）识别车间部署的反光板，利用三角定位法计算自身坐标（X,Y,α），定位精度±3mm；二维码导航通过地面粘贴的二维码标签（尺寸100mm×100mm）实现绝对位置校正，每2米部署1个标签，支持高速行驶（1.2m/s）下的连续识别；惯性导航通过陀螺仪+里程计推算相对位置，作为激光/二维码导航失效时的备用方案，定位精度±10mm。</w:t>
      </w:r>
    </w:p>
    <w:p w14:paraId="025252AF">
      <w:r>
        <w:t>任务调度由WCS系统基于“最短路径优先”原则动态分配，当多台RGV路径冲突时，采用“任务优先级+设备负载率”动态调整，确保固化炉等瓶颈设备的进料间隔稳定在30±5秒。自动避障通过激光扫描仪实时检测前方5m范围内的障碍物（如人员、工具），当检测到障碍物时，立即减速至额定速度的30%，若障碍物持续存在则触发急停，响应时间≤100ms。</w:t>
      </w:r>
    </w:p>
    <w:p w14:paraId="13325DC5">
      <w:r>
        <w:t>自动化运行过程中，RGV通过工业以太网向MES实时上传运行数据（位置、速度、负载等），支持远程监控与故障诊断。运维人员可通过HMI界面查看设备状态、修改运行参数（如速度、加速度）及下发手动操作指令，实现无人化生产与远程干预的结合。</w:t>
      </w:r>
    </w:p>
    <w:p w14:paraId="5300D284">
      <w:pPr>
        <w:pStyle w:val="3"/>
      </w:pPr>
      <w:r>
        <w:t>四、机械原理</w:t>
      </w:r>
    </w:p>
    <w:p w14:paraId="3C88BF21">
      <w:pPr>
        <w:pStyle w:val="4"/>
      </w:pPr>
      <w:r>
        <w:t>4.1 驱动系统工作原理</w:t>
      </w:r>
    </w:p>
    <w:p w14:paraId="046C958A">
      <w:r>
        <w:t>RGV驱动系统的动力传递路径为：伺服电机输出扭矩→行星齿轮减速器减速增扭→齿轮齿条/链传动转换为直线运动→行走轮转动实现行驶。其核心参数通过以下公式计算：</w:t>
      </w:r>
    </w:p>
    <w:p w14:paraId="129E242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输出扭矩</w:t>
      </w:r>
      <w:r>
        <w:t>：( T = \frac{9550P \times \eta \times i}{n} )，其中( T )为输出扭矩（N·m），( P )为电机功率（kW），( \eta )为传动效率（齿轮齿条0.95，链传动0.9），( i )为减速比，( n )为电机转速（rpm）。例如，1.5kW伺服电机（1500rpm）配合1:25减速器（效率0.95），可输出扭矩( T = \frac{9550 \times 1.5 \times 0.95 \times 25}{1500} = 224N·m )，满足5吨负载的驱动需求（负载扭矩( T_L = \frac{m \times g \times \mu \times D}{2} = \frac{5000 \times 9.8 \times 0.1 \times 0.2}{2} = 490N·m )，安全系数2.2）。</w:t>
      </w:r>
    </w:p>
    <w:p w14:paraId="3DC0952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行驶速度</w:t>
      </w:r>
      <w:r>
        <w:t>：( v = \frac{n \times D \times \pi}{i \times 60} )，其中( D )为驱动轮直径（m）。当电机转速1500rpm，驱动轮直径0.2m，减速比25时，行驶速度( v = \frac{1500 \times 0.2 \times 3.14}{25 \times 60} = 0.628m/s )，实际应用中通过驱动器限制最高速度为1.2m/s。</w:t>
      </w:r>
    </w:p>
    <w:p w14:paraId="334E854C">
      <w:r>
        <w:t>驱动系统的制动采用电磁失电制动器，制动力矩≥20N·m，响应时间≤100ms，确保RGV在紧急情况下的快速停车。制动片磨损量需定期检查，当厚度≤原厚度的60%时需及时更换，避免制动失效。</w:t>
      </w:r>
    </w:p>
    <w:p w14:paraId="350F46B3">
      <w:pPr>
        <w:pStyle w:val="4"/>
      </w:pPr>
      <w:r>
        <w:t>4.2 传动机构设计</w:t>
      </w:r>
    </w:p>
    <w:p w14:paraId="5E38A63D">
      <w:r>
        <w:t>传动机构根据定位精度与负载能力要求分为齿轮齿条传动、链传动和同步带传动三种形式。齿轮齿条传动适用于重载长距离运行，采用模数2-3mm的斜齿轮与淬火齿条（硬度HRC58-62）啮合，定位精度可达±0.1mm，运行速度1.2m/s。齿轮啮合间隙需控制在0.1-0.2mm，通过调整齿轮箱位置实现，间隙过大易导致冲击振动，过小则加剧磨损。齿条安装需保证直线度≤0.1mm/m，平行度≤0.2mm/m，通过调整垫片实现精密校准。</w:t>
      </w:r>
    </w:p>
    <w:p w14:paraId="33E4B6FD">
      <w:r>
        <w:t>链传动通过16A-1滚子链传递动力，成本仅为齿轮齿条的1/4，但定位精度较低（±0.5mm），适用于对精度要求不高的仓储场景。链条张紧度需控制在垂度8-12mm（测量方法：在两链轮中间施加10kg垂直力），张紧装置采用弹簧调节式，可自动补偿链条磨损导致的松弛。链传动需定期润滑（每周涂抹锂基润滑脂NLGI 2级），润滑不良会导致销轴磨损量达0.5mm/年，链条寿命缩短50%。</w:t>
      </w:r>
    </w:p>
    <w:p w14:paraId="38E53B81">
      <w:r>
        <w:t>同步带传动采用聚氨酯带与钢制同步轮啮合，噪音低于65dB，维护周期长达1000小时，但承载能力有限（最大扭矩200N·m），多用于轻载高速场合（如3m/s以上的RGV转运车）。同步带张紧度通过调整轮距实现，张紧力以带中点施加1kg力时下垂量5mm为宜。</w:t>
      </w:r>
    </w:p>
    <w:p w14:paraId="649C6583">
      <w:pPr>
        <w:pStyle w:val="4"/>
      </w:pPr>
      <w:r>
        <w:t>4.3 运动学分析</w:t>
      </w:r>
    </w:p>
    <w:p w14:paraId="67E85D94">
      <w:r>
        <w:t>RGV的运动学特性直接影响铁芯转运的平稳性与效率，需通过理论计算与实际测试优化参数。加速度的选择需平衡效率与物料安全性，根据铁芯叠片的抗剪切强度，最大加速度限制为0.5m/s²，此时铁芯与台面间的摩擦力( F = m \times a = 5000 \times 0.5 = 2500N )，需小于防滑垫提供的最大静摩擦力( F_{max} = m \times g \times \mu = 5000 \times 9.8 \times 0.6 = 29400N )，确保铁芯不滑动。</w:t>
      </w:r>
    </w:p>
    <w:p w14:paraId="4B133074">
      <w:r>
        <w:t>动态响应特性通过阶跃响应测试验证，从静止到额定速度（1.2m/s）的过渡时间需≤1秒，超调量≤5%。当RGV接收到定位指令时，伺服系统通过前馈控制与PID调节（比例增益2.0-3.0，积分时间0.1-0.3s）实现快速响应，避免超调导致的定位偏差。</w:t>
      </w:r>
    </w:p>
    <w:p w14:paraId="34236863">
      <w:r>
        <w:t>转弯运动时，RGV通过差速控制实现平稳转向，内侧驱动轮减速，外侧驱动轮增速，速度差与转弯半径成正比（( \Delta v = v \times \frac{d}{R} )，其中( d )为轮距，( R )为转弯半径）。最小转弯半径需根据车间布局设计，通常为1.5-2m，确保在狭窄通道内的通过性。</w:t>
      </w:r>
    </w:p>
    <w:p w14:paraId="7A2DFE5A">
      <w:pPr>
        <w:pStyle w:val="3"/>
      </w:pPr>
      <w:r>
        <w:t>四、控制原理</w:t>
      </w:r>
    </w:p>
    <w:p w14:paraId="4FCCB4A9">
      <w:pPr>
        <w:pStyle w:val="4"/>
      </w:pPr>
      <w:r>
        <w:t>5.1 控制系统架构</w:t>
      </w:r>
    </w:p>
    <w:p w14:paraId="3F3239EF">
      <w:r>
        <w:t>RGV控制系统采用“感知层-控制层-执行层”三层架构，实现全流程自动化控制。感知层由传感器网络组成，包括位置检测（激光测距仪、编码器）、物料检测（光电传感器、接近开关）、负载检测（称重传感器）、身份识别（RFID读卡器）等，实时采集设备状态与物料信息。激光测距仪（量程0.1-50m，精度±1mm）安装于RGV前后端，反馈距离信息用于定位与避障；编码器（2500线增量式）安装于驱动轮轴端，提供速度与位置反馈；称重传感器（0.1%FS）检测托盘重量，防止超载；RFID读卡器（读取距离50mm）识别托盘ID，实现追溯。</w:t>
      </w:r>
    </w:p>
    <w:p w14:paraId="06D0F2C1">
      <w:r>
        <w:t>控制层以PLC为核心，主流采用西门子S7-1214C DC/DC/DC型号（CPU 1214C，程序容量100KB，数据容量75KB），配备16点输入/16点输出扩展模块，支持EtherCAT与Profinet通信。PLC负责逻辑运算、运动控制与任务调度，执行周期≤10ms，确保实时性。HMI采用10寸触摸屏（昆仑通态TPC1061Ti），显示设备状态、参数设置与故障报警，支持手动操作与参数修改。</w:t>
      </w:r>
    </w:p>
    <w:p w14:paraId="6266B116">
      <w:r>
        <w:t>执行层包括伺服驱动器、变频器、电磁阀等执行机构。伺服驱动器（西门子V90系列）接收PLC的位置/速度指令，驱动行走轮与取料机构，响应时间≤100μs；变频器（西门子G120系列）控制输送机电机，实现速度调节；电磁阀（SMC VF系列）控制气缸动作，响应时间≤50ms。</w:t>
      </w:r>
    </w:p>
    <w:p w14:paraId="3F9BFEA9">
      <w:r>
        <w:t>通信网络采用“工业以太网+现场总线”混合架构：PLC与HMI、伺服驱动器通过Profinet总线通信（速率100Mbps），与传感器通过EtherCAT总线通信（周期1ms）；与MES系统通过OPC UA协议通信，上传生产数据并接收工单指令。安全通信通过独立安全总线（PROFIsafe）实现，安全信号传输延迟≤100ms，满足SIL3安全等级。</w:t>
      </w:r>
    </w:p>
    <w:p w14:paraId="5241225C">
      <w:pPr>
        <w:pStyle w:val="4"/>
      </w:pPr>
      <w:r>
        <w:t>5.2 信号采集与处理</w:t>
      </w:r>
    </w:p>
    <w:p w14:paraId="6FDFEA40">
      <w:r>
        <w:t>信号采集系统整合多种传感器输入，为控制层提供决策依据。位置信号通过差分编码器采集，编码器将行走距离转换为差分脉冲信号（分辨率0.1mm），输入PLC高速计数模块，采样频率≥1kHz，确保动态响应速度。激光测距仪输出4-20mA模拟量信号，对应0-2m量程，PLC通过16位A/D转换模块读取，转换精度±0.1%FS，用于定位校准。</w:t>
      </w:r>
    </w:p>
    <w:p w14:paraId="0B8DA0D0">
      <w:r>
        <w:t>开关量信号采用光耦隔离输入，隔离电压≥2500V AC，防止外部电气干扰影响控制系统稳定性。例如，急停按钮、限位开关等信号经光耦转换后输入PLC，确保信号传输的安全性。模拟量信号（如称重传感器输出4-20mA）需进行滤波处理，采用一阶低通滤波器（截止频率10Hz）消除高频噪声，滤波后的信号用于负载监测与超载保护。</w:t>
      </w:r>
    </w:p>
    <w:p w14:paraId="389416FF">
      <w:r>
        <w:t>传感器故障诊断通过信号合理性判断实现，如激光测距仪信号突变＞10mm/100ms时，判定为故障并切换至备用导航；编码器脉冲丢失率＞0.1%时，触发报警并启动参考点回归。关键传感器需具备自诊断功能，通过状态引脚反馈故障信息（如激光扫描仪“无反光板”报警）。</w:t>
      </w:r>
    </w:p>
    <w:p w14:paraId="3509DFB0">
      <w:pPr>
        <w:pStyle w:val="4"/>
      </w:pPr>
      <w:r>
        <w:t>5.3 控制逻辑设计</w:t>
      </w:r>
    </w:p>
    <w:p w14:paraId="3BEFDFBF">
      <w:r>
        <w:t>RGV的控制逻辑采用模块化结构，核心包括任务调度模块、路径规划模块、动作执行模块与安全监控模块。任务调度模块接收MES下发的工单，根据铁芯类型和工序优先级生成转运任务，优先级算法遵循“紧急订单优先系数1.5”原则，当多任务冲突时，优先处理固化炉等待任务（等待时长≤15分钟）。</w:t>
      </w:r>
    </w:p>
    <w:p w14:paraId="5CC6F63E">
      <w:r>
        <w:t>路径规划模块采用A*算法，基于车间地图（包含轨道布局、设备位置、障碍物区域）计算最短路径，路径规划时间≤100ms。当检测到路径上有其他RGV时，通过“任务优先级+设备负载率”动态调整，避免死锁。例如，低优先级RGV自动停靠至会让站，待高优先级RGV通过后继续行驶。</w:t>
      </w:r>
    </w:p>
    <w:p w14:paraId="0C0EF78C">
      <w:r>
        <w:t>动作执行模块通过状态机实现流程控制，包括初始化、待机、取料、输送、对接、完成六个状态，状态切换条件通过传感器信号触发。例如，“取料完成”需满足：升降机构下降到位（接近开关信号）、插杆插入到位（接近开关信号）、称重传感器检测到物料（重量＞50kg）。每个状态配置超时检测，如取料超时10秒报警，防止死循环。</w:t>
      </w:r>
    </w:p>
    <w:p w14:paraId="38C9F50D">
      <w:r>
        <w:t>安全监控模块实时监测设备运行状态，当出现电机过载（电流＞150%额定值）、定位偏差超限（＞±5mm）、急停触发等异常时，立即停止当前动作并报警，同时上传故障代码至MES系统。安全逻辑通过TÜV认证，满足EN ISO 13849-1 PLd安全等级要求。</w:t>
      </w:r>
    </w:p>
    <w:p w14:paraId="65C99C1F">
      <w:pPr>
        <w:pStyle w:val="4"/>
      </w:pPr>
      <w:r>
        <w:t>5.4 通信系统协议</w:t>
      </w:r>
    </w:p>
    <w:p w14:paraId="312B93ED">
      <w:r>
        <w:t>RGV的通信系统需满足与设备层、控制层及管理层的多层次数据交互需求。与设备层的通信采用Profinet IRT（等时实时通信），周期≤1ms，实现伺服驱动器的精确同步控制，位置同步误差≤0.1mm。IRT通信需配置专用实时交换机，确保带宽分配与低延迟。</w:t>
      </w:r>
    </w:p>
    <w:p w14:paraId="1283938E">
      <w:r>
        <w:t>与控制层（如MES/WCS系统）的通信采用OPC UA协议，支持跨平台数据交互，传输内容包括生产数据（如转运次数、设备利用率）、设备状态（如运行、故障、待机）及报警信息。OPC UA服务器部署于PLC中，数据更新周期100ms，支持历史数据存储（保存时间≥3个月）。</w:t>
      </w:r>
    </w:p>
    <w:p w14:paraId="7A2046FF">
      <w:r>
        <w:t>与其他RGV及外部设备的协同通信采用Profinet IO-Link协议，实现传感器与执行器的智能连接。IO-Link主站模块（如西门子ET200SP系列）可连接最多8个IO-Link设备，支持参数配置与诊断信息读取，简化传感器集成。</w:t>
      </w:r>
    </w:p>
    <w:p w14:paraId="23711D37">
      <w:r>
        <w:t>无线通信作为有线通信的备用方案，采用Wi-Fi 6模块（传输速率1.2Gbps，漫游切换时间≤50ms），支持RGV在脱离轨道区域的临时通信需求。无线信号覆盖需满足车间99.9%区域的信号强度≥-75dBm，避免通信中断。</w:t>
      </w:r>
    </w:p>
    <w:p w14:paraId="68778937">
      <w:pPr>
        <w:pStyle w:val="3"/>
      </w:pPr>
      <w:r>
        <w:t>五、常见故障分析</w:t>
      </w:r>
    </w:p>
    <w:p w14:paraId="56CD3D74">
      <w:pPr>
        <w:pStyle w:val="4"/>
      </w:pPr>
      <w:r>
        <w:t>6.1 机械故障类型与成因</w:t>
      </w:r>
    </w:p>
    <w:p w14:paraId="768D6AF1">
      <w:r>
        <w:t>机械故障主要包括结构故障、传动故障与行走故障，直接影响RGV的承载能力与运行稳定性。</w:t>
      </w:r>
    </w:p>
    <w:p w14:paraId="2A494953">
      <w:r>
        <w:t>结构故障中，车架焊接开裂多发生于横梁与纵梁连接的应力集中部位，成因包括焊接工艺缺陷（如未开坡口、焊脚尺寸不足）、长期超载（超过额定载荷15%）或材料疲劳。开裂初期表现为车架异响，严重时出现铁芯倾斜，需通过磁粉探伤检测裂纹深度（超过3mm需停机维修）。平台变形表现为静态载荷下挠度＞3mm/m，成因包括材料厚度不足（＜5mm）、支撑筋布置稀疏或长期超载，变形会导致铁芯放置不水平，影响后续叠片精度，需通过水平仪检测并采用火焰矫正或更换平台。</w:t>
      </w:r>
    </w:p>
    <w:p w14:paraId="07E2F6BE">
      <w:r>
        <w:t>传动故障中，齿轮箱异响表现为周期性“咔咔”声，成因包括齿面磨损（超过0.2mm）、齿轮啮合间隙过大（＞0.1mm）或润滑油劣化（水分含量＞0.1%）。可通过听针判断异响位置，结合油样分析（NAS污染度＞8级）确认故障原因。链条断裂多因销轴磨损量达0.5mm或链板变形超过1.5mm，链条强度下降50%，易在启停冲击下断裂。此外，链条张紧度过低（垂度＞12mm）会导致跳齿，加剧磨损。</w:t>
      </w:r>
    </w:p>
    <w:p w14:paraId="24ACBA4A">
      <w:r>
        <w:t>行走故障中，导向轮磨损表现为直径偏差超过0.3mm时，RGV运行时横向偏移量超过±2mm，触发限位开关报警。导向轮聚氨酯层磨损（厚度＜20mm）会导致减震性能下降，产生冲击振动。轨道安装精度不足（直线度偏差＞0.5mm/m或接缝间隙＞1mm）会导致车轮通过时产生“颠簸”，影响定位精度，长期运行还会加剧车轮磨损。</w:t>
      </w:r>
    </w:p>
    <w:p w14:paraId="5D8A3431">
      <w:r>
        <w:t>环境因素导致的机械故障：高温（＞40℃）使润滑油黏度下降，加剧齿轮磨损；高湿（＞75%）导致机架锈蚀，降低结构强度；粉尘进入轴承，导致转动阻力增大（启动力矩＞1N·m）。预防措施：定期清洁设备，高温环境加装冷却风扇，高湿环境涂抹防锈油。</w:t>
      </w:r>
    </w:p>
    <w:p w14:paraId="1E936D49">
      <w:pPr>
        <w:pStyle w:val="4"/>
      </w:pPr>
      <w:r>
        <w:t>6.2 电气故障类型与成因</w:t>
      </w:r>
    </w:p>
    <w:p w14:paraId="3F623B4A">
      <w:r>
        <w:t>电气故障涉及传感器、驱动系统与控制系统，表现为信号异常、动作失灵或设备停机。</w:t>
      </w:r>
    </w:p>
    <w:p w14:paraId="1D7CDAD9">
      <w:r>
        <w:t>传感器故障中，激光测距仪无信号输出，成因包括镜头污染（粉尘覆盖厚度＞0.5mm）、光源老化（亮度下降30%）或电缆断线（屏蔽层破损导致信号干扰）。编码器信号跳变，表现为位置反馈数据突变（如从1000mm跳变至950mm），成因包括电缆屏蔽层接地不良（接地电阻＞100mΩ）、连接器氧化（针脚接触电阻＞50mΩ）或编码器内部轴承磨损（转动异响）。检测方法：用示波器测量编码器输出脉冲，正常波形应无畸变、占空比50%±5%；清洁激光测距仪镜头，信号恢复则为污染导致。</w:t>
      </w:r>
    </w:p>
    <w:p w14:paraId="7EA029DA">
      <w:r>
        <w:t>驱动系统故障中，电机过热表现为绕组温度超过150℃（F级绝缘限值），成因包括散热不良（风扇堵塞、风道积尘）、电源电压不平衡（超过5%）或匝间短路（三相电阻不平衡度＞5%）。可用红外热像仪检测电机温度分布，异常热点温差＞20K提示故障。变频器过流报警表现为电流超过额定值1.5倍，成因包括电机堵转（如轨道卡滞）、功率模块损坏或驱动参数设置错误（如加速时间过短＜0.5s），需检查电机转动灵活性，测量三相电流平衡度（不平衡度≤5%）。</w:t>
      </w:r>
    </w:p>
    <w:p w14:paraId="32EE168E">
      <w:r>
        <w:t>控制系统故障中，PLC模块故障表现为I/O信号丢失或程序死机，成因包括模块电源故障（电压波动超过±10%）、内部元件老化或程序错误（如死循环）。可通过STEP 7软件监控程序运行状态，清除CPU故障缓冲区信息尝试恢复。总线通信故障表现为Profinet总线通信中断，数据刷新异常，成因包括电缆弯曲疲劳（弯曲半径＜5倍电缆直径）、接头松动或交换机故障，需通过诊断工具（如PRONETA）检测总线负载率（应＜70%）和丢包率（应＜0.1%）。</w:t>
      </w:r>
    </w:p>
    <w:p w14:paraId="7B2BF78A">
      <w:pPr>
        <w:pStyle w:val="4"/>
      </w:pPr>
      <w:r>
        <w:t>6.3 控制故障类型与成因</w:t>
      </w:r>
    </w:p>
    <w:p w14:paraId="60DCCA41">
      <w:r>
        <w:t>控制故障影响RGV的自动化运行，主要包括定位失效与动作异常。</w:t>
      </w:r>
    </w:p>
    <w:p w14:paraId="75115A6E">
      <w:r>
        <w:t>定位失效表现为停靠精度超过±5mm，成因包括RFID标签读取失败（油污污染或读写器角度偏差）、PLC程序逻辑错误（任务调度冲突或I/O点误动作）或传感器数据融合算法异常。例如，RFID标签表面油污会导致读取距离从50mm降至20mm以下，需使用中性清洁剂擦拭标签表面。PLC程序逻辑错误可通过在线监控程序变量（如位置设定值与实际值偏差）定位问题，修正逻辑条件。</w:t>
      </w:r>
    </w:p>
    <w:p w14:paraId="5936F91E">
      <w:r>
        <w:t>动作异常表现为RGV行驶卡顿、输送机不动作等，成因包括伺服驱动器报警（过压、过流或编码器故障）、同步控制偏差（总线延迟或电机参数不匹配）或机械卡滞（如货叉伸缩机构异物卡阻）。伺服驱动器报警需通过驱动器面板读取故障代码（如“AL001”表示过流），根据手册排查原因；同步控制偏差需通过Profinet总线校准各轴位置（同步误差≤0.1mm）。机械卡滞需拆解机构清除异物，重新涂抹润滑脂（如货叉滑轨涂抹锂基润滑脂NLGI 2级）。</w:t>
      </w:r>
    </w:p>
    <w:p w14:paraId="1268D5C4">
      <w:r>
        <w:t>程序数据丢失或错乱会导致RGV无法执行任务，成因包括PLC电池电压不足（＜3V）、电磁干扰导致程序 corruption或人为误操作。预防措施：定期备份PLC程序（每月1次），更换电池（每2年1次），加装浪涌保护器（防雷等级≥20kA）。数据恢复时，需使用最新备份程序，避免使用旧版本程序导致功能异常。</w:t>
      </w:r>
    </w:p>
    <w:p w14:paraId="610C6274">
      <w:pPr>
        <w:pStyle w:val="3"/>
      </w:pPr>
      <w:r>
        <w:t>六、维护保养技术</w:t>
      </w:r>
    </w:p>
    <w:p w14:paraId="238CFB86">
      <w:pPr>
        <w:pStyle w:val="4"/>
      </w:pPr>
      <w:r>
        <w:t>7.1 日常维护规范</w:t>
      </w:r>
    </w:p>
    <w:p w14:paraId="0B1D5609">
      <w:r>
        <w:t>日常维护是保障RGV稳定运行的基础，由操作人员与维护人员共同执行。班前检查项目包括：行走轮与轨道接触状态（无偏磨、轮缘磨损量≤0.3mm）、驱动电机异响（空载运行无异常噪音）、制动系统响应（按下急停按钮，制动距离≤0.5m）；电气系统确认电池电量≥20%、HMI无报警信息、急停按钮未触发；定位系统验证激光扫描仪指示灯绿色常亮（无故障）、RFID读卡器能正常读取测试标签（识别率100%）。</w:t>
      </w:r>
    </w:p>
    <w:p w14:paraId="7BF3F36B">
      <w:r>
        <w:t>班后维护项目包括：清洁工作，使用压缩空气（压力0.4-0.6MPa）清洁轨道异物、传感器镜头（激光扫描仪、光电开关）及车体表面粉尘，重点清理导向槽内铁屑；润滑工作，链条每周涂抹锂基润滑脂（NLGI 2级），润滑后空载运行5分钟确保油脂均匀分布，链条张紧度以垂度8-12mm为宜；记录工作，填写《RGV日常维护台账》，记录运行时间、故障现象、维护内容，存档期限≥3年。</w:t>
      </w:r>
    </w:p>
    <w:p w14:paraId="3E375867">
      <w:r>
        <w:t>定期检查项目包括：每周检查导向轮侧向间隙（3-5mm），每月检查减速器油位（油面高于检视窗1/2），每季度检查制动片磨损量（厚度≥原厚度60%）。维护工具包括扭矩扳手、无尘布、润滑脂枪、酒精瓶等，应定点存放并定期校验（如扭矩扳手每年校准一次）。</w:t>
      </w:r>
    </w:p>
    <w:p w14:paraId="7707562C">
      <w:pPr>
        <w:pStyle w:val="4"/>
      </w:pPr>
      <w:r>
        <w:t>7.2 定期检修周期与内容</w:t>
      </w:r>
    </w:p>
    <w:p w14:paraId="29220E46">
      <w:r>
        <w:t>定期检修按周期分为月度检修、季度检修与年度大修，全面评估设备性能并修复潜在故障。</w:t>
      </w:r>
    </w:p>
    <w:p w14:paraId="667DA344">
      <w:r>
        <w:t>月度检修重点检查传动与驱动系统。轴承温升检测，运行时用红外测温仪测量升降电机轴承温度，温升应≤40K（环境温度+40℃）；减速器油位检查，油面应高于检视窗1/2，不足时添加N220齿轮油；导向轮磨损检查，测量聚氨酯轮直径，磨损量＞3mm时更换；传感器精度校准，用标准砝码校准称重传感器（误差≤0.1%FS），用激光干涉仪校准编码器位置精度（偏差≤0.1mm）。</w:t>
      </w:r>
    </w:p>
    <w:p w14:paraId="528E2963">
      <w:r>
        <w:t>季度检修聚焦结构与控制系统。机架水平度检测，用精密水平仪测量，误差＞0.2mm/m时通过支撑脚调整；齿轮箱油样分析，取油样检测污染度（NAS 8级以下）与水分含量（≤0.1%），超标时更换齿轮油；PLC程序备份与对比，通过编程软件备份当前程序，与标准程序对比差异，防止程序异常修改；安全回路测试，模拟急停、安全门打开等故障，验证安全继电器动作是否可靠。</w:t>
      </w:r>
    </w:p>
    <w:p w14:paraId="567DFD4C">
      <w:r>
        <w:t>年度大修进行全面拆解与性能恢复。电机绝缘测试，用2500V兆欧表测量绕组绝缘电阻，冷态≥50MΩ、热态≥1MΩ；机械部件更换，更换磨损的线性轴承（运行时间＞8000小时）、链条（销轴磨损＞0.5mm）、密封件（如气缸O型圈）；机架应力检测，采用超声波探伤（UT）检测关键焊缝，确保无内部裂纹；控制系统联调，重新校准伺服驱动器参数，进行自动流程试运行（连续运行100个周期，故障次数≤1次）。</w:t>
      </w:r>
    </w:p>
    <w:p w14:paraId="1374F8FC">
      <w:r>
        <w:t>专项检修包括：液压系统每半年更换46号抗磨液压油（黏度指数VI≥140），清洗油箱过滤器（过滤精度10μm）；蓄电池每3月进行均衡充电（电压差≤50mV），单体电池电压低于12.5V时重点关注；轨道每半年校准直线度（误差≤0.5mm/m）和平行度（误差≤2mm/5m），通过调整支撑螺栓消除沉降变形。</w:t>
      </w:r>
    </w:p>
    <w:p w14:paraId="0A48DD61">
      <w:pPr>
        <w:pStyle w:val="4"/>
      </w:pPr>
      <w:r>
        <w:t>7.3 故障处理流程</w:t>
      </w:r>
    </w:p>
    <w:p w14:paraId="1037665E">
      <w:r>
        <w:t>故障处理采用三级响应机制，快速恢复设备功能。一级故障（操作人员现场处置）包括定位超时、传感器误报警等轻微故障，处置流程为：立即按下急停按钮→检查轨道障碍物（如铁屑、工具）→清洁传感器镜头→通过HMI复位故障→尝试重新运行→记录故障代码（如E012表示激光传感器故障）。</w:t>
      </w:r>
    </w:p>
    <w:p w14:paraId="28A6293E">
      <w:r>
        <w:t>二级故障（维护人员介入）包括电机过载、减速器异响、链条跳齿等功能性故障，处置流程为：隔离故障设备（切断主电源并挂牌）→使用红外热像仪检测电机温度（异常热点温差＞20K）→通过听针判断齿轮啮合状态→更换过载保护器（设定值为额定电流的1.2倍）或张紧链条→空载试运行3次确认恢复。</w:t>
      </w:r>
    </w:p>
    <w:p w14:paraId="1BB752B6">
      <w:r>
        <w:t>三级故障（联合抢修）包括车架变形、PLC死机、驱动模块损坏等严重故障，处置流程为：启用备用RGV保障生产→机械团队使用水平仪校正车架水平度（偏差≤0.5mm/m）→电气团队通过STEP 7软件监控PLC程序运行状态，清除CPU故障缓冲区→更换损坏模块（如伺服驱动器）→系统联调（与MES通信测试、定位精度校验）→恢复生产。</w:t>
      </w:r>
    </w:p>
    <w:p w14:paraId="05276DE6">
      <w:r>
        <w:t>典型故障案例：RGV行走卡顿，检查发现轨道接头错位（高差＞0.3mm），处理方法为使用塞铁片找平轨道→焊接加固接缝→打磨过渡坡口（45度）→试运行确认卡顿消除。</w:t>
      </w:r>
    </w:p>
    <w:p w14:paraId="3587C433">
      <w:pPr>
        <w:pStyle w:val="4"/>
      </w:pPr>
      <w:r>
        <w:t>7.4 维护安全规范</w:t>
      </w:r>
    </w:p>
    <w:p w14:paraId="04795EAA">
      <w:r>
        <w:t>维护作业需严格执行安全措施，预防机械伤害与电气事故。能量隔离措施包括：进行机械维修前，断开主电源并悬挂“禁止合闸”警示牌，拔出电池插头；液压系统维修前，通过泄压阀释放系统压力（压力≤0.5MPa），防止液压油喷射伤人。</w:t>
      </w:r>
    </w:p>
    <w:p w14:paraId="4EF55F10">
      <w:r>
        <w:t>高空作业防护要求：检修顶部机构时（高度＞1.5m），需搭设脚手架或使用登高平台，佩戴双钩式安全带（固定于牢固结构），禁止攀爬车体。作业人员需经过高空作业培训，持证上岗。</w:t>
      </w:r>
    </w:p>
    <w:p w14:paraId="34A15441">
      <w:r>
        <w:t>电气安全措施包括：测量绝缘电阻时使用2500V兆欧表，戴绝缘手套；更换PLC模块前，先释放人体静电（触摸接地体）；潮湿环境作业时，使用绝缘垫（厚度≥5mm），防止触电事故。</w:t>
      </w:r>
    </w:p>
    <w:p w14:paraId="15354180">
      <w:r>
        <w:t>应急预案需涵盖触电、机械伤害急救流程，配备急救箱（含止血带、烧伤膏），定期组织演练（每季度1次）。例如，发生触电事故时，立即切断电源，对伤者进行心肺复苏并拨打急救电话；机械伤害时，立即停止设备，对伤口进行止血处理，送医治疗。</w:t>
      </w:r>
    </w:p>
    <w:p w14:paraId="3B2F5452">
      <w:r>
        <w:t>维护人员资质要求：电气作业需持低压电工证，焊接作业需持焊工证，特种设备操作需持相应资格证；定期组织安全培训（每季度1次），考核合格后方可上岗。</w:t>
      </w:r>
    </w:p>
    <w:p w14:paraId="6F418BB0">
      <w:pPr>
        <w:pStyle w:val="3"/>
      </w:pPr>
      <w:r>
        <w:t>七、全生命周期管理</w:t>
      </w:r>
    </w:p>
    <w:p w14:paraId="7330717B">
      <w:pPr>
        <w:pStyle w:val="4"/>
      </w:pPr>
      <w:r>
        <w:t>8.1 报废标准</w:t>
      </w:r>
    </w:p>
    <w:p w14:paraId="3E53405B">
      <w:r>
        <w:t>RGV达到以下条件之一时需报废，确保设备安全与生产质量。结构报废条件包括：车架焊接裂纹深度＞3mm或长度＞50mm，无法修复；载货平台变形量超过对角线长度2%（如1200mm×1000mm平台对角线变形＞26mm）；支撑脚断裂或脱落，影响承载稳定性。</w:t>
      </w:r>
    </w:p>
    <w:p w14:paraId="3A4BC5AF">
      <w:r>
        <w:t>功能报废条件包括：动态承载能力降至额定值70%以下（如原动载5吨降至3.5吨以下）；定位精度＞±5mm，经调试无法恢复；RFID标签、称重传感器等关键功能部件失效，且更换成本超过新设备30%。</w:t>
      </w:r>
    </w:p>
    <w:p w14:paraId="2C9E9330">
      <w:r>
        <w:t>材料劣化报废条件包括：电机绕组绝缘电阻冷态＜5MΩ或热态＜1MΩ，绝缘老化无法修复；车架锈蚀穿孔（锈蚀深度＞1mm），结构强度下降50%；蓄电池容量衰减至额定值60%以下，充放电循环＞1000次。</w:t>
      </w:r>
    </w:p>
    <w:p w14:paraId="2F107388">
      <w:r>
        <w:t>报废检测方法包括：超声波探伤检测钢制部件内部裂纹，静载试验（5吨载荷持压24小时，变形量＞3%即报废），表面电阻测试（电机绕组对地绝缘电阻）。报废审批流程：设备工程师提交《报废申请表》，附检测报告与成本分析，经技术部门审核、分管领导批准后执行。</w:t>
      </w:r>
    </w:p>
    <w:p w14:paraId="29FECB65">
      <w:pPr>
        <w:pStyle w:val="4"/>
      </w:pPr>
      <w:r>
        <w:t>8.2 更新周期与策略</w:t>
      </w:r>
    </w:p>
    <w:p w14:paraId="3D0F4E26">
      <w:r>
        <w:t>RGV的更新周期根据部件类型、使用频率与环境条件动态调整，采用“预测性更换”策略，平衡设备可靠性与成本效益。</w:t>
      </w:r>
    </w:p>
    <w:p w14:paraId="29A92F35">
      <w:r>
        <w:t>基础更新周期：钢制结构部件（机架、横梁）8-10年，不锈钢部件（紧固件、传感器支架）15-20年；电气元件：PLC、HMI 5-7年，伺服电机、驱动器6-8年，传感器3-5年（光电传感器）、5-6年（激光测距仪）；传动部件：齿轮箱8-10年，链条2-3年，轴承5-6年（高速轴承）、8-10年（低速轴承）。</w:t>
      </w:r>
    </w:p>
    <w:p w14:paraId="055104BE">
      <w:r>
        <w:t>使用频率调整：日均叠盘次数＞200次时，传动部件更新周期缩短20%（如链条从3年缩至2.4年）；连续运行时间＞16小时/天，电气元件更新周期缩短30%（如伺服电机从8年缩至5.6年）；负载率＞80%（长期满负荷运行），结构部件更新周期缩短15%（如机架从10年缩至8.5年）。</w:t>
      </w:r>
    </w:p>
    <w:p w14:paraId="6298786E">
      <w:r>
        <w:t>环境条件调整：高温环境（＞40℃），塑料部件（如导向轮）更新周期缩短30%（从5年缩至3.5年）；高湿环境（＞75%），钢制部件更新周期缩短25%（从10年缩至7.5年）；高粉尘环境，轴承、电机更新周期缩短20%，增加密封防护。</w:t>
      </w:r>
    </w:p>
    <w:p w14:paraId="3AB4E97E">
      <w:r>
        <w:t>更新策略：采用“批次更换”而非整体更换，每次更换不超过总量的1/3，减少停机时间。例如，10台RGV的伺服电机分3批更换，每批3-4台，利用生产间隙施工；关键部件建立备件库（如PLC模块、伺服驱动器），故障时快速更换，维修后作为备用件。</w:t>
      </w:r>
    </w:p>
    <w:p w14:paraId="684ED314">
      <w:r>
        <w:t>更新计划制定：每年末评估设备状态，基于运行时间、故障记录、检测数据预测剩余寿命，制定下年度更新计划；纳入年度预算，预留更新资金（占设备原值的5%-8%/年）；更新前进行新设备选型，优先选择模块化、智能化机型，提升兼容性与扩展性。</w:t>
      </w:r>
    </w:p>
    <w:p w14:paraId="06C6EEDF">
      <w:pPr>
        <w:pStyle w:val="4"/>
      </w:pPr>
      <w:r>
        <w:t>8.3 成本控制策略</w:t>
      </w:r>
    </w:p>
    <w:p w14:paraId="4BBBA01D">
      <w:r>
        <w:t>全生命周期成本控制覆盖采购、运维、处置三阶段，通过优化决策降低综合成本。</w:t>
      </w:r>
    </w:p>
    <w:p w14:paraId="7CC56354">
      <w:r>
        <w:t>采购阶段：性价比优先，平衡初始投资与长期运维成本。模块化设计设备，部件标准化（如采用通用伺服电机、传感器），备件采购成本降低30%；节能型驱动系统，选用高效电机（能效等级IE3），年耗电量降低15%（按日均运行16小时计算，年节电约2000kWh）；供应商选择，优先与提供长期维保服务的厂商合作，获取优惠备件价格与技术支持。</w:t>
      </w:r>
    </w:p>
    <w:p w14:paraId="65DA6301">
      <w:r>
        <w:t>运维阶段：预防性维护替代故障维修，降低突发停机损失。预测性维护，通过振动传感器（监测齿轮箱振动频谱）、油液分析（检测磨损颗粒）预测故障，提前更换部件（如预测轴承剩余寿命3个月时主动更换），故障维修成本降低40%；分级维修，轻微故障（如传感器清洁）现场修复（成本30元/次），严重故障（如齿轮箱损坏）更换模块化部件（成本2000元/个），比整体更换节省60%成本；数字化管理，通过MES系统记录设备运行数据（如运行时间、故障次数、维护成本），分析成本构成，优化维护策略（如将高频故障部件的维护周期从季度改为月度）。</w:t>
      </w:r>
    </w:p>
    <w:p w14:paraId="4AC79C86">
      <w:r>
        <w:t>处置阶段：环保合规与资源回收，实现残值最大化。报废设备拆解，金属部件（钢、不锈钢）熔炼回收，收益约1000元/吨；电气元件（PLC、驱动器）评估修复价值，可修复件作为备用件（成本仅为新品50%）；危废处理，废弃润滑油、液压油交由有资质单位回收（成本200元/桶），避免环境污染罚款；塑料、橡胶部件交由专业回收企业处理，符合《固体废物污染环境防治法》要求。</w:t>
      </w:r>
    </w:p>
    <w:p w14:paraId="3CB7632E">
      <w:r>
        <w:t>全生命周期成本分析：以1台RGV（采购成本20万元，寿命10年）为例，初始投资占40%（8万元），运维成本占50%（10万元），处置成本占10%（2万元），年均成本2万元。通过优化运维策略（预测性维护），可使运维成本降低20%，全生命周期成本降至18万元，年均节省0.2万元。</w:t>
      </w:r>
    </w:p>
    <w:p w14:paraId="7BF1A5EB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5F78E881"/>
    <w:multiLevelType w:val="singleLevel"/>
    <w:tmpl w:val="5F78E8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7"/>
  </w:num>
  <w:num w:numId="5">
    <w:abstractNumId w:val="4"/>
  </w:num>
  <w:num w:numId="6">
    <w:abstractNumId w:val="11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7FDA800"/>
    <w:rsid w:val="7B77B008"/>
    <w:rsid w:val="7FF6C12C"/>
    <w:rsid w:val="BCB98261"/>
    <w:rsid w:val="F3EB132D"/>
    <w:rsid w:val="FBFD5FF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2025-10-02T17:05:19Z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4112C30EB0C960804F40DE68E4A07E37_43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