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C6D55">
      <w:pPr>
        <w:pStyle w:val="2"/>
      </w:pPr>
    </w:p>
    <w:p w14:paraId="6F64C5B5">
      <w:pPr>
        <w:pStyle w:val="2"/>
      </w:pPr>
    </w:p>
    <w:p w14:paraId="192529AB">
      <w:pPr>
        <w:pStyle w:val="2"/>
      </w:pPr>
      <w:r>
        <w:t>干变铁芯车间铁芯集送线立式托盘叠盘机技术手册</w:t>
      </w:r>
    </w:p>
    <w:p w14:paraId="0FB0ADBF">
      <w:pPr>
        <w:pStyle w:val="3"/>
      </w:pPr>
      <w:r>
        <w:t>一、概述</w:t>
      </w:r>
    </w:p>
    <w:p w14:paraId="7317AC5D">
      <w:pPr>
        <w:pStyle w:val="4"/>
      </w:pPr>
      <w:r>
        <w:t>1.1 设备用途与应用场景</w:t>
      </w:r>
    </w:p>
    <w:p w14:paraId="30CEA2D3">
      <w:r>
        <w:t>立式托盘叠盘机是干变铁芯车间铁芯集送线的关键物流设备，主要功能是实现铁芯转运托盘的自动化堆叠、拆分与缓存，衔接铁芯生产各工序的物料流转。在变压器铁芯生产流程中，该设备位于叠装工位与夹件组装区之间、原料存储区与剪切设备之间，通过与RGV、输送辊道及MES系统的协同，完成空托盘的垂直堆叠存储（节省地面空间）、满托盘的逐层拆分供给（配合生产节拍）及托盘状态的实时监控（数量、位置、完好度）。</w:t>
      </w:r>
    </w:p>
    <w:p w14:paraId="428C63A9">
      <w:r>
        <w:t>具体应用场景包括：接收从叠装工位返回的空托盘，通过升降机构堆叠至设定高度（最高3m，堆垛数量10-15层），堆叠垂直度误差≤±5mm；根据下游夹件组装工序需求，将堆叠的空托盘逐层拆分并输送至RGV取料位，拆分节拍30秒/层；对变形或损坏的托盘进行自动识别（通过视觉传感器检测边缘变形量＞2mm时触发剔除），确保流转托盘的合格率≥99.5%。该设备适用于10kV至220kV干式变压器铁芯生产，尤其在大型铁芯（容量1000kV·A以上）车间，可解决人工堆叠托盘导致的效率低（传统人工堆叠周期2分钟/层）、空间利用率低（平面存储仅能放3-4层）、工伤风险高等问题，使车间托盘存储容量提升3倍以上，是实现铁芯生产物流自动化的核心装备。</w:t>
      </w:r>
    </w:p>
    <w:p w14:paraId="6135CEA5">
      <w:pPr>
        <w:pStyle w:val="4"/>
      </w:pPr>
      <w:r>
        <w:t>1.2 工作环境与技术参数</w:t>
      </w:r>
    </w:p>
    <w:p w14:paraId="3A3FBE2E">
      <w:r>
        <w:t>立式托盘叠盘机的运行环境需满足工业生产标准：环境温度-10℃至40℃，相对湿度≤85%（无凝露），车间粉尘浓度≤10mg/m³，避免强电磁干扰源（如电焊机）近距离布置（间距≥3m）；电源规格为三相AC 380V±10%，50Hz，总装机容量≤5kW，接地电阻≤4Ω；压缩空气供应压力0.5-0.6MPa（如配置气动分离机构），流量≥0.2m³/min。</w:t>
      </w:r>
    </w:p>
    <w:p w14:paraId="1EEC6933">
      <w:r>
        <w:t>核心技术参数如下表所示：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5C833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3B9CCDE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4BF7BE47">
            <w:pPr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  <w:tc>
          <w:tcPr>
            <w:tcW w:w="0" w:type="auto"/>
            <w:vAlign w:val="center"/>
          </w:tcPr>
          <w:p w14:paraId="7B5A8F90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10C522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94FEC7E">
            <w:r>
              <w:t>额定载荷</w:t>
            </w:r>
          </w:p>
        </w:tc>
        <w:tc>
          <w:tcPr>
            <w:tcW w:w="0" w:type="auto"/>
            <w:vAlign w:val="center"/>
          </w:tcPr>
          <w:p w14:paraId="3E8CC65C">
            <w:r>
              <w:t>500-1000kg（含托盘与铁芯）</w:t>
            </w:r>
          </w:p>
        </w:tc>
        <w:tc>
          <w:tcPr>
            <w:tcW w:w="0" w:type="auto"/>
            <w:vAlign w:val="center"/>
          </w:tcPr>
          <w:p w14:paraId="4D5D932D">
            <w:r>
              <w:t>托盘尺寸适配800×600mm至1200×1000mm</w:t>
            </w:r>
          </w:p>
        </w:tc>
      </w:tr>
      <w:tr w14:paraId="1C3755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14C061">
            <w:r>
              <w:t>堆叠高度</w:t>
            </w:r>
          </w:p>
        </w:tc>
        <w:tc>
          <w:tcPr>
            <w:tcW w:w="0" w:type="auto"/>
            <w:vAlign w:val="center"/>
          </w:tcPr>
          <w:p w14:paraId="0D4E5A1D">
            <w:r>
              <w:t>1.5-3m</w:t>
            </w:r>
          </w:p>
        </w:tc>
        <w:tc>
          <w:tcPr>
            <w:tcW w:w="0" w:type="auto"/>
            <w:vAlign w:val="center"/>
          </w:tcPr>
          <w:p w14:paraId="2FEC3D0C">
            <w:r>
              <w:t>可存储托盘10-15层（视托盘高度而定）</w:t>
            </w:r>
          </w:p>
        </w:tc>
      </w:tr>
      <w:tr w14:paraId="07AFD11D">
        <w:tc>
          <w:tcPr>
            <w:tcW w:w="0" w:type="auto"/>
            <w:vAlign w:val="center"/>
          </w:tcPr>
          <w:p w14:paraId="2432FBB7">
            <w:r>
              <w:t>定位精度</w:t>
            </w:r>
          </w:p>
        </w:tc>
        <w:tc>
          <w:tcPr>
            <w:tcW w:w="0" w:type="auto"/>
            <w:vAlign w:val="center"/>
          </w:tcPr>
          <w:p w14:paraId="5D2BC3D9">
            <w:r>
              <w:t>±1mm（升降定位），±2mm（输送对接）</w:t>
            </w:r>
          </w:p>
        </w:tc>
        <w:tc>
          <w:tcPr>
            <w:tcW w:w="0" w:type="auto"/>
            <w:vAlign w:val="center"/>
          </w:tcPr>
          <w:p w14:paraId="0564D80C">
            <w:r>
              <w:t>重复定位精度≤±0.5mm（伺服驱动）</w:t>
            </w:r>
          </w:p>
        </w:tc>
      </w:tr>
      <w:tr w14:paraId="15D451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90EB081">
            <w:r>
              <w:t>运行速度</w:t>
            </w:r>
          </w:p>
        </w:tc>
        <w:tc>
          <w:tcPr>
            <w:tcW w:w="0" w:type="auto"/>
            <w:vAlign w:val="center"/>
          </w:tcPr>
          <w:p w14:paraId="6AE89258">
            <w:r>
              <w:t>0.1-0.3m/s（升降），0.5-1m/s（输送）</w:t>
            </w:r>
          </w:p>
        </w:tc>
        <w:tc>
          <w:tcPr>
            <w:tcW w:w="0" w:type="auto"/>
            <w:vAlign w:val="center"/>
          </w:tcPr>
          <w:p w14:paraId="53724C64">
            <w:r>
              <w:t>S型加减速曲线控制，避免冲击</w:t>
            </w:r>
          </w:p>
        </w:tc>
      </w:tr>
      <w:tr w14:paraId="2A0364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88D2F74">
            <w:r>
              <w:t>堆叠节拍</w:t>
            </w:r>
          </w:p>
        </w:tc>
        <w:tc>
          <w:tcPr>
            <w:tcW w:w="0" w:type="auto"/>
            <w:vAlign w:val="center"/>
          </w:tcPr>
          <w:p w14:paraId="1D04C5F7">
            <w:r>
              <w:t>≤30秒/层（空托盘堆叠）</w:t>
            </w:r>
          </w:p>
        </w:tc>
        <w:tc>
          <w:tcPr>
            <w:tcW w:w="0" w:type="auto"/>
            <w:vAlign w:val="center"/>
          </w:tcPr>
          <w:p w14:paraId="31218C50">
            <w:r>
              <w:t>拆分节拍同堆叠节拍</w:t>
            </w:r>
          </w:p>
        </w:tc>
      </w:tr>
      <w:tr w14:paraId="6DB16F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7F924C4">
            <w:r>
              <w:t>托盘识别范围</w:t>
            </w:r>
          </w:p>
        </w:tc>
        <w:tc>
          <w:tcPr>
            <w:tcW w:w="0" w:type="auto"/>
            <w:vAlign w:val="center"/>
          </w:tcPr>
          <w:p w14:paraId="0FC80E79">
            <w:r>
              <w:t>木质/塑料托盘，厚度15-30mm</w:t>
            </w:r>
          </w:p>
        </w:tc>
        <w:tc>
          <w:tcPr>
            <w:tcW w:w="0" w:type="auto"/>
            <w:vAlign w:val="center"/>
          </w:tcPr>
          <w:p w14:paraId="4CD26553">
            <w:r>
              <w:t>支持带定位孔/无定位孔托盘</w:t>
            </w:r>
          </w:p>
        </w:tc>
      </w:tr>
      <w:tr w14:paraId="5E2CB6EE">
        <w:tc>
          <w:tcPr>
            <w:tcW w:w="0" w:type="auto"/>
            <w:vAlign w:val="center"/>
          </w:tcPr>
          <w:p w14:paraId="255FE218">
            <w:r>
              <w:t>安全防护等级</w:t>
            </w:r>
          </w:p>
        </w:tc>
        <w:tc>
          <w:tcPr>
            <w:tcW w:w="0" w:type="auto"/>
            <w:vAlign w:val="center"/>
          </w:tcPr>
          <w:p w14:paraId="02ED52FB">
            <w:r>
              <w:t>IP54（主体），IP65（传感器）</w:t>
            </w:r>
          </w:p>
        </w:tc>
        <w:tc>
          <w:tcPr>
            <w:tcW w:w="0" w:type="auto"/>
            <w:vAlign w:val="center"/>
          </w:tcPr>
          <w:p w14:paraId="4C49D018">
            <w:r>
              <w:t>符合GB/T 4208-2017标准</w:t>
            </w:r>
          </w:p>
        </w:tc>
      </w:tr>
    </w:tbl>
    <w:p w14:paraId="6DB4DFDA">
      <w:pPr>
        <w:pStyle w:val="3"/>
      </w:pPr>
      <w:r>
        <w:t>二、结构组成</w:t>
      </w:r>
    </w:p>
    <w:p w14:paraId="3D3611E0">
      <w:pPr>
        <w:pStyle w:val="4"/>
      </w:pPr>
      <w:r>
        <w:t>2.1 机架系统</w:t>
      </w:r>
    </w:p>
    <w:p w14:paraId="0AC9B98C">
      <w:r>
        <w:t>机架系统为设备的承载基础，采用Q235B型钢焊接框架结构，由立柱（100×100mm方管）、横梁（80×80mm方管）及底部底座（20mm厚钢板）组成，整体焊接后经退火处理消除内应力，承载能力≥1500kg（按额定载荷1.5倍设计）。立柱内侧安装高精度线性导轨（型号THK HSR35或同级别），导轨平行度误差≤0.02mm/m，确保升降平台运行平稳；顶部横梁配置防坠落装置（电磁制动锁，响应时间≤50ms），防止升降平台意外下坠。</w:t>
      </w:r>
    </w:p>
    <w:p w14:paraId="672BF237">
      <w:r>
        <w:t>机架表面处理采用喷砂除锈后喷涂环氧底漆（80μm）和面漆（60μm），耐盐雾性能≥500小时，适应车间粉尘与油气环境。底部底座通过膨胀螺栓（M20×150mm）与混凝土基础（C30以上）固定，调平后水平度误差≤0.5mm/m，避免因基础不平导致的结构应力集中。</w:t>
      </w:r>
    </w:p>
    <w:p w14:paraId="2570A7FC">
      <w:pPr>
        <w:pStyle w:val="4"/>
      </w:pPr>
      <w:r>
        <w:t>2.2 升降机构</w:t>
      </w:r>
    </w:p>
    <w:p w14:paraId="460A8BA8">
      <w:r>
        <w:t>升降机构是实现托盘垂直运动的核心部件，根据负载与精度需求分为伺服驱动与液压驱动两种形式。伺服驱动系统由松下A6系列伺服电机（功率1.5-2.2kW）、行星减速器（减速比10:1-30:1）及滚珠丝杠（C3级精度，导程10mm）组成，通过联轴器实现动力传递。丝杠两端采用双列角接触球轴承（型号7205AC）支撑，径向间隙≤0.01mm，轴向窜动≤0.02mm，确保升降定位精度±0.5mm。</w:t>
      </w:r>
    </w:p>
    <w:p w14:paraId="1E5A6DD0">
      <w:r>
        <w:t>液压驱动系统适用于重载场景（载荷＞1000kg），采用单缸或双缸同步设计（缸径80-100mm，行程2000mm），工作压力6-10MPa，通过比例阀控制升降速度0.1-0.3m/s，同步精度≤±2mm（双缸联动时）。为平衡负载，配置气动平衡缸（平衡力为平台重量的80%-90%），降低驱动能耗。升降平台采用10mm厚花纹钢板，边缘设50mm高防护栏，防止托盘滑落。</w:t>
      </w:r>
    </w:p>
    <w:p w14:paraId="38D60352">
      <w:pPr>
        <w:pStyle w:val="4"/>
      </w:pPr>
      <w:r>
        <w:t>2.3 输送辊道</w:t>
      </w:r>
    </w:p>
    <w:p w14:paraId="7693B753">
      <w:r>
        <w:t>输送辊道实现托盘在叠盘机与外部输送线之间的转运，由动力辊筒（直径50mm，间距100mm）、传动链条及减速电机组成。辊筒材质为45号钢，表面镀锌处理（防锈等级≥GB/T 10125-2021 Sa2.5级），两端安装深沟球轴承（型号6204），转动阻力≤0.5N·m。传动系统采用双排滚子链（节距16mm），通过0.75kW变频电机驱动，输送速度0.5-1m/s，支持无级调速以匹配生产节拍。</w:t>
      </w:r>
    </w:p>
    <w:p w14:paraId="6D3B4638">
      <w:r>
        <w:t>辊道入口处安装光电传感器（Omron E3Z系列），检测托盘到位信号（响应时间≤1ms），触发升降机构动作；出口处设定位挡块（气动驱动，行程50mm），确保托盘对接外部输送线时定位误差≤±1mm。辊面高度与外部输送线齐平（误差≤±1mm），过渡段采用圆弧倒角（R5mm），避免托盘卡滞。</w:t>
      </w:r>
    </w:p>
    <w:p w14:paraId="2F8D603E">
      <w:pPr>
        <w:pStyle w:val="4"/>
      </w:pPr>
      <w:r>
        <w:t>2.4 定位导向装置</w:t>
      </w:r>
    </w:p>
    <w:p w14:paraId="49539B39">
      <w:r>
        <w:t>定位导向装置确保托盘堆叠与拆分过程中的姿态精度，由横向导向立板、底部定位销及侧面限位轮组成。横向导向立板间距可调（调节范围800-1200mm），内侧粘贴5mm厚耐磨尼龙板（摩擦系数≤0.3），与托盘侧边间隙0.5-1mm，防止堆叠时托盘偏移。底部定位销（直径20mm，高度15mm）与托盘定位孔配合，定位重复精度±0.2mm，确保每层托盘中心对齐误差≤±1mm。</w:t>
      </w:r>
    </w:p>
    <w:p w14:paraId="012BF9EA">
      <w:r>
        <w:t>侧面限位轮（聚氨酯材质，直径50mm）安装于升降平台两侧，间距300mm，与托盘侧面接触压力3-5N，随托盘升降滚动，限制横向摆动（摆幅≤±0.5mm）。导向装置调节通过手轮驱动丝杠实现，刻度盘精度0.1mm/格，方便快速换型（换型时间≤10分钟）。</w:t>
      </w:r>
    </w:p>
    <w:p w14:paraId="108B7C03">
      <w:pPr>
        <w:pStyle w:val="4"/>
      </w:pPr>
      <w:r>
        <w:t>2.5 托盘分离机构</w:t>
      </w:r>
    </w:p>
    <w:p w14:paraId="1B88A4FF">
      <w:r>
        <w:t>托盘分离机构实现堆叠托盘的逐层拆分与空托盘的堆叠，分为真空吸盘式与机械爪式两种。真空吸盘式配置4组直径100mm丁腈橡胶吸盘（邵氏硬度60A），呈矩形阵列分布（间距300×400mm），单个吸盘吸附力≥47N（真空度-90kPa时），总吸附力≥376N（满足15kg托盘1.5倍安全系数）。吸盘通过快换接头与气动管路连接，每组吸盘独立电磁阀控制（响应时间≤5ms），支持分区吸附以适应不同尺寸托盘。</w:t>
      </w:r>
    </w:p>
    <w:p w14:paraId="7804DC23">
      <w:r>
        <w:t>机械爪式采用气动夹爪（行程50mm，夹持力500-800N），爪片材质45号钢（硬度HRC45），表面贴橡胶缓冲垫（厚度5mm），避免夹伤托盘。分离过程中，通过激光测距传感器（基恩士IL-1000，分辨率1μm）实时监测托盘间距，确保分离高度≥托盘厚度+2mm（防止多层粘连）。</w:t>
      </w:r>
    </w:p>
    <w:p w14:paraId="296931C6">
      <w:pPr>
        <w:pStyle w:val="3"/>
      </w:pPr>
      <w:r>
        <w:t>三、功能特点与工作参数</w:t>
      </w:r>
    </w:p>
    <w:p w14:paraId="0ED7CBF6">
      <w:pPr>
        <w:pStyle w:val="4"/>
      </w:pPr>
      <w:r>
        <w:t>3.1 托盘堆叠与拆分功能</w:t>
      </w:r>
    </w:p>
    <w:p w14:paraId="5C5020F8">
      <w:r>
        <w:t>托盘堆叠功能实现空托盘的垂直存储：当空托盘由输送辊道进入叠盘机后，光电传感器检测到位，升降平台上升至对接高度（与辊道齐平），托盘被输送至平台中央；横向导向立板与定位销协同定位，确保托盘中心与平台中心偏差≤±0.5mm；随后升降平台上升一个托盘高度（根据托盘厚度自动调整），等待下一个空托盘进入，重复动作直至堆叠数量达设定值（10-15层）。堆叠过程中，真空吸盘式机构通过逐层吸附提升实现堆叠，机械爪式则通过夹持托盘边缘向上提拉完成堆叠。</w:t>
      </w:r>
    </w:p>
    <w:p w14:paraId="54F9BF4D">
      <w:r>
        <w:t>拆分功能将堆叠托盘逐层放置到输送辊道：升降平台上升至目标托盘层，分离机构动作（吸盘吸附或爪片夹持），提升托盘20mm后，平台下降至输送辊道高度，托盘被输送至外部线体；随后平台上升至下一层托盘位置，重复拆分动作。拆分节拍≤30秒/层，支持连续拆分（如连续供给3个空托盘）或间歇拆分（按生产工单按需供给），满足不同生产节奏需求。</w:t>
      </w:r>
    </w:p>
    <w:p w14:paraId="0538F7C8">
      <w:pPr>
        <w:pStyle w:val="4"/>
      </w:pPr>
      <w:r>
        <w:t>3.2 与生产线的协同作业流程</w:t>
      </w:r>
    </w:p>
    <w:p w14:paraId="0855C99A">
      <w:r>
        <w:t>立式托盘叠盘机通过Profinet总线与生产线设备实现数据交互与动作协同，典型作业流程如下：</w:t>
      </w:r>
    </w:p>
    <w:p w14:paraId="311946C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空托盘回收</w:t>
      </w:r>
      <w:r>
        <w:t>：叠装工位完成铁芯叠装后，空托盘由RGV转运至叠盘机入口输送辊道，光电传感器检测到托盘后，发送“托盘就绪”信号至PLC；</w:t>
      </w:r>
    </w:p>
    <w:p w14:paraId="5705D89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堆叠准备</w:t>
      </w:r>
      <w:r>
        <w:t>：PLC接收信号后，控制升降平台上升至辊道高度，输送辊道启动将托盘送至平台中心，定位导向装置完成姿态校准；</w:t>
      </w:r>
    </w:p>
    <w:p w14:paraId="2A27DBA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垂直堆叠</w:t>
      </w:r>
      <w:r>
        <w:t>：升降平台按设定高度（托盘厚度+2mm）逐层上升，直至堆叠数量达到10层（或MES系统设定值），激光测距传感器反馈堆叠总高度至MES系统；</w:t>
      </w:r>
    </w:p>
    <w:p w14:paraId="08254ADF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空托盘供给</w:t>
      </w:r>
      <w:r>
        <w:t>：当剪切设备发出“空托盘需求”信号时，PLC控制升降平台下降至对应层，分离机构拆分单个托盘并输送至外部辊道，RGV将托盘转运至剪切工位；</w:t>
      </w:r>
    </w:p>
    <w:p w14:paraId="715D5A4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状态反馈</w:t>
      </w:r>
      <w:r>
        <w:t>：实时上传当前堆叠数量（精度±1片）、设备运行状态（正常/故障）至MES系统，形成托盘流转追溯记录。</w:t>
      </w:r>
    </w:p>
    <w:p w14:paraId="0BEC27CF">
      <w:r>
        <w:t>协同过程中，通过“请求-响应”机制避免工序等待：当叠盘机空托盘余量＜3层时，向MES系统发送“补盘请求”，触发RGV从缓存区转运空托盘；当外部输送线堵塞时，叠盘机暂停拆分动作，直至堵塞信号解除。</w:t>
      </w:r>
    </w:p>
    <w:p w14:paraId="3D694528">
      <w:pPr>
        <w:pStyle w:val="4"/>
      </w:pPr>
      <w:r>
        <w:t>3.3 核心技术参数与性能指标</w:t>
      </w:r>
    </w:p>
    <w:p w14:paraId="3C45C67D">
      <w:r>
        <w:t>设备核心技术参数直接影响生产效率与可靠性，关键指标如下：</w:t>
      </w:r>
    </w:p>
    <w:p w14:paraId="28483EF4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堆叠精度</w:t>
      </w:r>
      <w:r>
        <w:t>：垂直度误差≤±5mm/3m（15层堆叠），层间错位≤±1mm，确保存储稳定性；</w:t>
      </w:r>
    </w:p>
    <w:p w14:paraId="319C74EA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运行效率</w:t>
      </w:r>
      <w:r>
        <w:t>：单循环堆叠/拆分时间≤30秒，连续作业时每小时可处理120个托盘，满足2000kV·A铁芯生产线（每小时需15个托盘）的物流需求；</w:t>
      </w:r>
    </w:p>
    <w:p w14:paraId="0337D6B2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可靠性</w:t>
      </w:r>
      <w:r>
        <w:t>：平均无故障运行时间（MTBF）≥5000小时，主要部件（伺服电机、滚珠丝杠）设计寿命≥10,000小时；</w:t>
      </w:r>
    </w:p>
    <w:p w14:paraId="5A8A68E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安全性</w:t>
      </w:r>
      <w:r>
        <w:t>：配置急停按钮（SIL2等级）、安全光幕（检测区域0.5-2m）及过载保护（电机电流超过额定值150%时停机），符合GB/T 28526-2012《机械安全 安全控制系统 设计通则》。</w:t>
      </w:r>
    </w:p>
    <w:p w14:paraId="3EB0EDA4">
      <w:r>
        <w:t>性能测试标准：在额定载荷1000kg、连续运行8小时条件下，堆叠垂直度偏差≤±4mm，拆分定位重复精度≤±0.8mm，无故障停机次数≤1次。</w:t>
      </w:r>
    </w:p>
    <w:p w14:paraId="49B972B6">
      <w:pPr>
        <w:pStyle w:val="3"/>
      </w:pPr>
      <w:r>
        <w:t>四、机械传动原理</w:t>
      </w:r>
    </w:p>
    <w:p w14:paraId="1816EC69">
      <w:pPr>
        <w:pStyle w:val="4"/>
      </w:pPr>
      <w:r>
        <w:t>4.1 升降驱动系统工作原理</w:t>
      </w:r>
    </w:p>
    <w:p w14:paraId="780A1D3E">
      <w:r>
        <w:t>升降驱动系统将电机旋转运动转化为平台垂直直线运动，伺服驱动与液压驱动原理各具特点。伺服驱动系统中，松下A6系列伺服电机（型号MSMF042L1U2M，功率0.4kW）输出扭矩经行星减速器（减速比20:1）放大后，通过梅花形弹性联轴器驱动滚珠丝杠旋转。丝杠导程10mm，即电机每旋转1圈，螺母座带动平台上升10mm，通过23位编码器（分辨率8,388,608 ppr）实现位置闭环控制，定位精度±0.5mm。</w:t>
      </w:r>
    </w:p>
    <w:p w14:paraId="0C64EDB2">
      <w:r>
        <w:t>液压驱动系统中，齿轮泵（排量10mL/r）将液压油从油箱压入液压缸，推动活塞杆带动平台上升；下降时通过电磁换向阀切换油路，依靠平台自重回油。系统配置压力传感器（量程0-20MPa）实时监测工作压力，当压力超过120%额定值时，溢流阀卸荷保护（响应时间≤10ms）。为避免负载偏载导致平台倾斜，双缸驱动时采用同步阀（同步精度≤±2mm）或电液比例阀（同步精度≤±1mm）控制。</w:t>
      </w:r>
    </w:p>
    <w:p w14:paraId="01CA66BC">
      <w:r>
        <w:t>两种驱动方式对比：伺服驱动定位精度高（±0.5mm vs 液压±2mm），适用于高精度场景；液压驱动负载能力强（2000kg vs 伺服1000kg），维护成本低，企业需根据实际载荷与精度需求选择。</w:t>
      </w:r>
    </w:p>
    <w:p w14:paraId="7B6E5D08">
      <w:pPr>
        <w:pStyle w:val="4"/>
      </w:pPr>
      <w:r>
        <w:t>4.2 输送与分离传动机制</w:t>
      </w:r>
    </w:p>
    <w:p w14:paraId="363E41AF">
      <w:r>
        <w:t>输送辊道的动力传递通过“电机-减速器-链传动”实现：0.75kW变频电机经减速器（减速比5:1）驱动主动链轮，通过双排滚子链带动各辊筒同步转动。链传动张紧度通过调节从动轮位置实现，标准下垂量5-8mm（按压中点），张紧力不足会导致链条跳齿（输送速度波动＞±2%），过紧则加剧轴承磨损（寿命缩短30%）。</w:t>
      </w:r>
    </w:p>
    <w:p w14:paraId="5FA4FEA1">
      <w:r>
        <w:t>托盘分离机构的真空系统采用“吸盘-真空发生器-压力传感器”闭环控制：当吸盘接触托盘后，真空发生器（流量150L/min）启动，压力传感器（测量范围-100-0kPa）检测到真空度达到-70kPa时，确认吸附可靠，分离机构启动提升动作；若3秒内未达到设定真空度，系统判定为吸附失败（如托盘变形、吸盘老化），切换至备用吸盘组或发出报警。</w:t>
      </w:r>
    </w:p>
    <w:p w14:paraId="7BF147C5">
      <w:r>
        <w:t>机械爪式分离机构通过“气缸-连杆”驱动爪片开合：夹持时，气缸活塞杆伸出，通过连杆机构带动爪片闭合（夹持力500N）；松开时，活塞杆缩回，爪片打开（开口度100mm）。爪片位置通过行程开关（Omron D4C系列）检测，确保动作到位（响应时间≤5ms）。</w:t>
      </w:r>
    </w:p>
    <w:p w14:paraId="503E0D3D">
      <w:pPr>
        <w:pStyle w:val="4"/>
      </w:pPr>
      <w:r>
        <w:t>4.3 导向与定位协同控制</w:t>
      </w:r>
    </w:p>
    <w:p w14:paraId="339A6A51">
      <w:r>
        <w:t>导向与定位系统通过机械约束与传感器反馈协同实现高精度控制。横向导向立板通过调节丝杠设定初始间距（与托盘宽度匹配），托盘进入时通过侧面限位轮限制横向摆动（摆幅≤±0.5mm）；底部定位销插入托盘定位孔，实现中心定位（误差≤±0.2mm）。</w:t>
      </w:r>
    </w:p>
    <w:p w14:paraId="1A9963E6">
      <w:r>
        <w:t>堆叠过程中，激光轮廓传感器（基恩士LJ-V7000系列，扫描频率5000Hz）实时检测托盘边缘位置，反馈偏差值至PLC，通过伺服系统微调升降平台横向位置（调节量≤±2mm），确保层间对齐误差≤±1mm。拆分过程中，光电传感器检测托盘底部与下层托盘的间距（设定值≥2mm），防止多层粘连导致分离失败。</w:t>
      </w:r>
    </w:p>
    <w:p w14:paraId="111EBA65">
      <w:r>
        <w:t>导向与定位的协同机制：机械部件提供基础约束（导向立板、定位销），传感器提供实时反馈（激光轮廓、光电），PLC通过PID算法实现动态调节，三者配合使堆叠重复定位精度≤±0.5mm。</w:t>
      </w:r>
    </w:p>
    <w:p w14:paraId="6ADEA8E7">
      <w:pPr>
        <w:pStyle w:val="3"/>
      </w:pPr>
      <w:r>
        <w:t>五、电气控制系统</w:t>
      </w:r>
    </w:p>
    <w:p w14:paraId="1DA7F1AC">
      <w:pPr>
        <w:pStyle w:val="4"/>
      </w:pPr>
      <w:r>
        <w:t>5.1 系统架构与硬件配置</w:t>
      </w:r>
    </w:p>
    <w:p w14:paraId="577CD3BB">
      <w:r>
        <w:t>电气控制系统采用“PLC+触摸屏+传感器+驱动单元”分层架构，核心硬件配置如下：</w:t>
      </w:r>
    </w:p>
    <w:p w14:paraId="4252D0C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控制器</w:t>
      </w:r>
      <w:r>
        <w:t>：西门子S7-1214C DC/DC/DC PLC（14输入/10输出），扩展SM 1231模拟量模块（4AI/2AO），支持EtherCAT总线通信（周期1ms），存储生产工单与工艺参数（如堆叠层数、定位坐标）；</w:t>
      </w:r>
    </w:p>
    <w:p w14:paraId="1C25BBE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人机界面</w:t>
      </w:r>
      <w:r>
        <w:t>：10英寸威纶通MT8102iE触摸屏，实时显示设备运行状态（堆叠数量、故障代码）、参数设置（升降速度、吸附压力）及维护提示（如“吸盘寿命剩余500次”）；</w:t>
      </w:r>
    </w:p>
    <w:p w14:paraId="03FFE44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驱动单元</w:t>
      </w:r>
      <w:r>
        <w:t>：伺服驱动器（松下A6系列，支持位置/速度模式）、变频驱动器（西门子G120系列，控制输送辊道速度）、电磁阀岛（Festo VUVG系列，控制气缸动作）；</w:t>
      </w:r>
    </w:p>
    <w:p w14:paraId="5AFC400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传感器</w:t>
      </w:r>
      <w:r>
        <w:t>：激光测距传感器（量程0-3m，精度±0.1mm）、光电传感器（检测托盘有无，响应时间≤1ms）、压力传感器（真空度-100-0kPa）、接近开关（限位保护，检测距离5mm）。</w:t>
      </w:r>
    </w:p>
    <w:p w14:paraId="11ADBF6A">
      <w:r>
        <w:t>系统电源配置：220V AC经开关电源转换为24V DC（功率300W），为PLC、传感器、触摸屏供电；380V AC直接驱动伺服电机、变频电机及真空泵，配置浪涌保护器（Imax 40kA）防止电压波动。</w:t>
      </w:r>
    </w:p>
    <w:p w14:paraId="71D0926E">
      <w:pPr>
        <w:pStyle w:val="4"/>
      </w:pPr>
      <w:r>
        <w:t>5.2 控制算法与逻辑流程</w:t>
      </w:r>
    </w:p>
    <w:p w14:paraId="4066CCBA">
      <w:r>
        <w:t>核心控制算法包括位置闭环控制、速度规划与安全联锁逻辑。位置闭环控制采用PID+前馈算法：前馈控制根据升降速度提前输出调节量（如加速时增加驱动扭矩），补偿系统滞后；PID参数通过自整定功能优化（Kp=0.8-1.5，Ki=0.1-0.5，Kd=0.01-0.1），确保阶跃响应无超调（超调量≤5%），调节时间≤0.5秒。</w:t>
      </w:r>
    </w:p>
    <w:p w14:paraId="6C676F1D">
      <w:r>
        <w:t>速度规划采用S型加减速曲线，将升降过程分为加速段（加速度从0线性增加至0.5m/s²）、匀速段（保持设定速度0.2m/s）、减速段（加速度从0.5m/s²线性减小至0），避免速度突变导致托盘晃动（振幅≤0.1mm）。输送辊道速度通过变频电机实现多段速控制：正常输送1m/s，定位阶段0.5m/s，确保托盘停靠平稳。</w:t>
      </w:r>
    </w:p>
    <w:p w14:paraId="56F0EBFE">
      <w:r>
        <w:t>逻辑控制流程采用模块化编程，主程序调用初始化、手动/自动切换、堆叠/拆分控制、故障处理模块。初始化模块完成传感器自检（响应率100%）、电机回零（定位误差≤±0.1mm）；手动模块支持单轴点动（升降/输送）、单个机构测试（吸盘吸附/爪片夹持）；自动模块按工单执行堆叠/拆分流程，包含托盘计数、异常处理（如缺盘报警）等子功能。</w:t>
      </w:r>
    </w:p>
    <w:p w14:paraId="58CAAACB">
      <w:pPr>
        <w:pStyle w:val="4"/>
      </w:pPr>
      <w:r>
        <w:t>5.3 安全防护与联锁机制</w:t>
      </w:r>
    </w:p>
    <w:p w14:paraId="7105AF99">
      <w:r>
        <w:t>安全防护系统符合ISO 13849-1标准，设置三级防护：</w:t>
      </w:r>
    </w:p>
    <w:p w14:paraId="222F2BC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一级防护</w:t>
      </w:r>
      <w:r>
        <w:t>：急停按钮（SIL2等级，红色蘑菇头，安装在设备四周），按下后切断驱动电源（响应时间≤100ms），伺服电机抱闸制动；</w:t>
      </w:r>
    </w:p>
    <w:p w14:paraId="0ABBB5BF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二级防护</w:t>
      </w:r>
      <w:r>
        <w:t>：安全光幕（SICK S300系列，检测区域0.5-2m），当光束被遮挡时（如人员进入危险区），设备立即停止运动并报警；</w:t>
      </w:r>
    </w:p>
    <w:p w14:paraId="2371457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三级防护</w:t>
      </w:r>
      <w:r>
        <w:t>：机械限位（升降平台上下极限）、电气联锁（防护门未关闭时禁止运行）、过载保护（电机电流超过额定值150%时停机）。</w:t>
      </w:r>
    </w:p>
    <w:p w14:paraId="1BCD2247">
      <w:r>
        <w:t>安全联锁逻辑通过PLC的安全程序实现：所有安全信号（急停、光幕、门开关）串联接入安全继电器，只有全部信号正常时，驱动单元才能使能；任一信号异常时，立即切断安全继电器输出，禁止设备运行。安全系统响应时间≤10ms，确保人机协作安全。</w:t>
      </w:r>
    </w:p>
    <w:p w14:paraId="196E81B0">
      <w:pPr>
        <w:pStyle w:val="3"/>
      </w:pPr>
      <w:r>
        <w:t>六、故障诊断与维护</w:t>
      </w:r>
    </w:p>
    <w:p w14:paraId="71CF52A9">
      <w:pPr>
        <w:pStyle w:val="4"/>
      </w:pPr>
      <w:r>
        <w:t>6.1 常见故障类型与成因分析</w:t>
      </w:r>
    </w:p>
    <w:p w14:paraId="371F6254">
      <w:r>
        <w:t>设备故障按系统分为机械、电气、控制三类，典型表现与成因如下：</w:t>
      </w:r>
    </w:p>
    <w:p w14:paraId="251C6235">
      <w:r>
        <w:rPr>
          <w:b/>
        </w:rPr>
        <w:t>机械系统故障</w:t>
      </w:r>
    </w:p>
    <w:p w14:paraId="5F9A0FE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升降卡顿</w:t>
      </w:r>
      <w:r>
        <w:t>：表现为平台升降时异响或速度波动＞±5%，成因是丝杠润滑不足（润滑油干涸或杂质进入，摩擦系数＞0.15）、导轨异物（如铁屑导致卡滞）或平衡缸压力不足（平衡力＜平台重量80%）；</w:t>
      </w:r>
    </w:p>
    <w:p w14:paraId="019FD75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托盘分离失败</w:t>
      </w:r>
      <w:r>
        <w:t>：吸盘式表现为真空度＜-70kPa（正常≥-85kPa），成因是吸盘老化（唇边裂纹深度＞0.5mm）、管路泄漏（接头松动或密封件损坏）或真空泵流量不足（滤芯堵塞）；机械爪式表现为夹持力不足（＜500N），成因是气缸压力低（气源压力＜0.5MPa）或爪片磨损（厚度减少＞2mm）；</w:t>
      </w:r>
    </w:p>
    <w:p w14:paraId="21FE8B0B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输送异响</w:t>
      </w:r>
      <w:r>
        <w:t>：辊道运行时发出周期性“咔嗒”声，成因是链条张紧度不足（下垂量＞10mm）、辊筒轴承磨损（径向间隙＞0.05mm）或链轮齿面磨损（齿厚减少＞0.5mm）。</w:t>
      </w:r>
    </w:p>
    <w:p w14:paraId="0CBB563A">
      <w:r>
        <w:rPr>
          <w:b/>
        </w:rPr>
        <w:t>电气系统故障</w:t>
      </w:r>
    </w:p>
    <w:p w14:paraId="561EC73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伺服电机过载</w:t>
      </w:r>
      <w:r>
        <w:t>：驱动器报E024故障，成因是电机绕组匝间短路（三相电阻不平衡度＞10%）、编码器信号干扰（电缆屏蔽层接地不良，接地电阻＞4Ω）或机械负载过大（如升降平台卡滞）；</w:t>
      </w:r>
    </w:p>
    <w:p w14:paraId="69768FF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传感器信号丢失</w:t>
      </w:r>
      <w:r>
        <w:t>：激光测距传感器无输出（值为0），成因是镜头污染（透光率＜80%）、电缆断线（芯线断裂）或电源故障（24V电压缺失）；</w:t>
      </w:r>
    </w:p>
    <w:p w14:paraId="41F6929F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电磁阀不动作</w:t>
      </w:r>
      <w:r>
        <w:t>：分离机构无响应，成因是电磁阀线圈烧毁（电阻无穷大）、气源压力不足（＜0.4MPa）或阀芯卡滞（杂质堵塞）。</w:t>
      </w:r>
    </w:p>
    <w:p w14:paraId="4ED4A8A7">
      <w:r>
        <w:rPr>
          <w:b/>
        </w:rPr>
        <w:t>控制系统故障</w:t>
      </w:r>
    </w:p>
    <w:p w14:paraId="005C7E1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通信中断</w:t>
      </w:r>
      <w:r>
        <w:t>：PLC与触摸屏连接超时，成因是网线接触不良（水晶头氧化）、IP地址冲突或交换机端口故障；</w:t>
      </w:r>
    </w:p>
    <w:p w14:paraId="48A2445B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程序死循环</w:t>
      </w:r>
      <w:r>
        <w:t>：设备无响应，PLC运行指示灯闪烁，成因是逻辑条件冲突（如“堆叠”与“拆分”信号同时为真）或数组越界（索引超过定义范围）；</w:t>
      </w:r>
    </w:p>
    <w:p w14:paraId="20FF071F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定位超差</w:t>
      </w:r>
      <w:r>
        <w:t>：自动模式下重复定位误差＞±1mm，成因是编码器零点偏移（安装松动，轴端螺栓扭矩＜20N·m）或激光传感器校准失效（定位板污染）。</w:t>
      </w:r>
    </w:p>
    <w:p w14:paraId="1D12C03E">
      <w:pPr>
        <w:pStyle w:val="4"/>
      </w:pPr>
      <w:r>
        <w:t>6.2 标准化诊断流程</w:t>
      </w:r>
    </w:p>
    <w:p w14:paraId="5EA786AF">
      <w:r>
        <w:t>故障诊断遵循“四步标准化流程”，确保快速定位与解决：</w:t>
      </w:r>
    </w:p>
    <w:p w14:paraId="5FD57FEA">
      <w:r>
        <w:rPr>
          <w:b/>
        </w:rPr>
        <w:t>故障识别</w:t>
      </w:r>
    </w:p>
    <w:p w14:paraId="0B704F7B">
      <w:r>
        <w:t>通过三级报警信息确认故障类型：一级报警为触摸屏显示故障代码（如“E101：真空度不足”）；二级报警为驱动器指示灯状态（如伺服驱动器红灯闪烁3次表示过流）；三级报警为传感器实时数据异常（如激光测距值跳变＞±0.5mm）。记录故障发生时间、工况（负载、速度）及环境条件（温度、湿度），形成初步故障描述。</w:t>
      </w:r>
    </w:p>
    <w:p w14:paraId="21E76FBF">
      <w:r>
        <w:rPr>
          <w:b/>
        </w:rPr>
        <w:t>定位排查</w:t>
      </w:r>
    </w:p>
    <w:p w14:paraId="655FCAA5">
      <w:r>
        <w:t>采用分层排查法：</w:t>
      </w:r>
    </w:p>
    <w:p w14:paraId="52DCE3A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机械检查</w:t>
      </w:r>
      <w:r>
        <w:t>：手动盘动升降平台，感受阻力是否均匀（正常应无卡滞）；测量链条下垂量（标准5-8mm）；检查吸盘唇边是否完好（无裂纹、弹性良好）；</w:t>
      </w:r>
    </w:p>
    <w:p w14:paraId="1E9523E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电气检查</w:t>
      </w:r>
      <w:r>
        <w:t>：用万用表测量电机三相电阻（平衡度应≤5%）、真空压力传感器输出（24V供电时，-90kPa对应4-20mA信号）；用示波器检测编码器信号（波形无畸变，幅值2-5V）；</w:t>
      </w:r>
    </w:p>
    <w:p w14:paraId="01B49E5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控制检查</w:t>
      </w:r>
      <w:r>
        <w:t>：通过PLC在线监控I/O状态（如“托盘到位”信号是否为真）、变量值（如目标位置、当前位置偏差）；检查通信报文（EtherCAT状态字0x1000表示就绪）。</w:t>
      </w:r>
    </w:p>
    <w:p w14:paraId="469924C4">
      <w:r>
        <w:rPr>
          <w:b/>
        </w:rPr>
        <w:t>成因分析</w:t>
      </w:r>
    </w:p>
    <w:p w14:paraId="1E52CB68">
      <w:r>
        <w:t>结合排查数据与历史记录判断根因：如定位超差故障，若激光传感器清洁后恢复正常，则成因是镜头污染；若清洁后仍超差，检查编码器安装螺栓扭矩（应25N·m），排除松动导致的零点偏移；若故障依旧，测量丝杠导程误差（应≤0.02mm/100mm），确认是否因磨损导致精度下降。</w:t>
      </w:r>
    </w:p>
    <w:p w14:paraId="58D29EF1">
      <w:r>
        <w:rPr>
          <w:b/>
        </w:rPr>
        <w:t>解决方案</w:t>
      </w:r>
    </w:p>
    <w:p w14:paraId="352B93FD">
      <w:r>
        <w:t>制定针对性措施：机械故障如轴承磨损需更换同型号轴承（如6204）；电气故障如电缆断线需更换屏蔽电缆（带接地层）；控制故障如程序逻辑错误需修改条件判断语句。修复后进行功能测试：空载运行3个循环（定位精度≤±0.5mm），带载运行1个循环（负载1000kg），确认故障排除。</w:t>
      </w:r>
    </w:p>
    <w:p w14:paraId="273A28A7">
      <w:pPr>
        <w:pStyle w:val="4"/>
      </w:pPr>
      <w:r>
        <w:t>6.3 预防性维护策略</w:t>
      </w:r>
    </w:p>
    <w:p w14:paraId="2B5B5AE7">
      <w:r>
        <w:t>采用“三级维护”模式，确保设备平均无故障运行时间≥5000小时：</w:t>
      </w:r>
    </w:p>
    <w:p w14:paraId="73FF40D3">
      <w:r>
        <w:rPr>
          <w:b/>
        </w:rPr>
        <w:t>日常检查（每班开工前30分钟）</w:t>
      </w:r>
    </w:p>
    <w:p w14:paraId="5EF2096C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机械部分</w:t>
      </w:r>
      <w:r>
        <w:t>：检查升降平台导轨表面清洁度（无油污、铁屑）；吸盘真空度（启动后5秒内应达到-85kPa）；链条下垂量（5-8mm）；</w:t>
      </w:r>
    </w:p>
    <w:p w14:paraId="4328510C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电气部分</w:t>
      </w:r>
      <w:r>
        <w:t>：控制柜指示灯正常（电源、通信灯亮）；电缆拖链无卡滞；传感器镜头清洁（透光率≥90%）；</w:t>
      </w:r>
    </w:p>
    <w:p w14:paraId="782ACEDF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功能测试</w:t>
      </w:r>
      <w:r>
        <w:t>：急停按钮触发后驱动电源切断；安全光幕遮挡时设备停止运行。</w:t>
      </w:r>
    </w:p>
    <w:p w14:paraId="4D600956">
      <w:r>
        <w:rPr>
          <w:b/>
        </w:rPr>
        <w:t>定期维护</w:t>
      </w:r>
    </w:p>
    <w:p w14:paraId="6695D693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周维护</w:t>
      </w:r>
      <w:r>
        <w:t>：清洁激光传感器镜头（无水乙醇擦拭）；润滑导轨（加注锂基润滑脂NLGI 2，用量1-2g/点）；检查吸盘弹性（按压后恢复时间＜1秒）；</w:t>
      </w:r>
    </w:p>
    <w:p w14:paraId="532551DE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月维护</w:t>
      </w:r>
      <w:r>
        <w:t>：校准定位精度（通过激光干涉仪，误差超±0.5mm时调整伺服参数）；紧固电气连接点（端子排、电机接线盒，扭矩按规格：M5螺栓8N·m）；测试真空系统泄漏率（关闭真空泵后，5分钟内真空度下降≤5kPa）；</w:t>
      </w:r>
    </w:p>
    <w:p w14:paraId="5C5AD4B9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季度维护</w:t>
      </w:r>
      <w:r>
        <w:t>：更换吸盘（寿命3-6个月，视使用频率）；清洗真空泵滤芯；检查液压油污染度（NAS 8级以下，超标时更换）；</w:t>
      </w:r>
    </w:p>
    <w:p w14:paraId="74F4073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年度维护</w:t>
      </w:r>
      <w:r>
        <w:t>：更换丝杠轴承（寿命约8000小时）；减速箱齿轮油（型号ISO VG220，用量至油窗1/2）；重新标定工具坐标系（TCP定位误差≤±0.05mm）。</w:t>
      </w:r>
    </w:p>
    <w:p w14:paraId="3A5627C3">
      <w:r>
        <w:rPr>
          <w:b/>
        </w:rPr>
        <w:t>预测性维护</w:t>
      </w:r>
    </w:p>
    <w:p w14:paraId="29058E14">
      <w:r>
        <w:t>通过状态监测提前发现潜在故障：振动传感器监测电机轴承振动加速度（正常≤3m/s²，＞5m/s²时预警）；温度传感器监测电机绕组温度（正常≤70℃，超80℃时预警）；建立关键部件更换台账（如吸盘更换日期、轴承运行时间），提前备货（最低库存：吸盘5个、轴承10套）。</w:t>
      </w:r>
    </w:p>
    <w:p w14:paraId="3148D9F0">
      <w:pPr>
        <w:pStyle w:val="4"/>
      </w:pPr>
      <w:r>
        <w:t>6.4 典型故障案例分析</w:t>
      </w:r>
    </w:p>
    <w:p w14:paraId="6778ADE0">
      <w:pPr>
        <w:pStyle w:val="5"/>
      </w:pPr>
      <w:r>
        <w:t>案例一：升降平台卡顿异响</w:t>
      </w:r>
    </w:p>
    <w:p w14:paraId="687AC7F0">
      <w:r>
        <w:rPr>
          <w:b/>
        </w:rPr>
        <w:t>故障现象</w:t>
      </w:r>
      <w:r>
        <w:t>：伺服驱动升降平台运行至1.5m高度时出现“咔咔”异响，速度波动±8%，定位精度降至±1.2mm。</w:t>
      </w:r>
    </w:p>
    <w:p w14:paraId="30A5F3E5">
      <w:r>
        <w:rPr>
          <w:b/>
        </w:rPr>
        <w:t>诊断过程</w:t>
      </w:r>
      <w:r>
        <w:t>：</w:t>
      </w:r>
    </w:p>
    <w:p w14:paraId="6533A17E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手动盘动平台，发现丝杠在1.5m位置阻力明显增大；</w:t>
      </w:r>
    </w:p>
    <w:p w14:paraId="6FF37BD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拆检丝杠防护罩，发现内部有铁屑（直径约2mm）；</w:t>
      </w:r>
    </w:p>
    <w:p w14:paraId="23968F03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测量丝杠润滑脂，发现油脂干涸（滴点＜120℃，标准应≥180℃）。</w:t>
      </w:r>
    </w:p>
    <w:p w14:paraId="4B679C34">
      <w:pPr>
        <w:spacing w:before="0" w:beforeAutospacing="1" w:after="0" w:afterAutospacing="1"/>
        <w:ind w:left="720"/>
      </w:pPr>
      <w:r>
        <w:rPr>
          <w:b/>
        </w:rPr>
        <w:t>解决方案</w:t>
      </w:r>
      <w:r>
        <w:t>：清理丝杠铁屑，用煤油冲洗后重新加注锂基润滑脂（NLGI 2，用量填满丝杠螺母腔1/2）；更换防护罩密封件（防止异物再次进入）。</w:t>
      </w:r>
    </w:p>
    <w:p w14:paraId="0BBF0A6B">
      <w:pPr>
        <w:spacing w:before="0" w:beforeAutospacing="1" w:after="0" w:afterAutospacing="1"/>
        <w:ind w:left="720"/>
      </w:pPr>
      <w:r>
        <w:rPr>
          <w:b/>
        </w:rPr>
        <w:t>预防措施</w:t>
      </w:r>
      <w:r>
        <w:t>：将丝杠润滑周期从月维护缩短至周维护，防护罩加装磁性吸铁（吸附铁屑）。</w:t>
      </w:r>
    </w:p>
    <w:p w14:paraId="6BCB3EC3">
      <w:pPr>
        <w:pStyle w:val="5"/>
      </w:pPr>
      <w:r>
        <w:t>案例二：真空吸盘吸附失败</w:t>
      </w:r>
    </w:p>
    <w:p w14:paraId="59B74948">
      <w:r>
        <w:rPr>
          <w:b/>
        </w:rPr>
        <w:t>故障现象</w:t>
      </w:r>
      <w:r>
        <w:t>：吸盘式分离机构吸附托盘时，真空度仅能达到-65kPa（设定值-85kPa），3秒后报警“吸附失败”。</w:t>
      </w:r>
    </w:p>
    <w:p w14:paraId="55AC745C">
      <w:r>
        <w:rPr>
          <w:b/>
        </w:rPr>
        <w:t>诊断过程</w:t>
      </w:r>
      <w:r>
        <w:t>：</w:t>
      </w:r>
    </w:p>
    <w:p w14:paraId="35E9263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检查吸盘，发现2个吸盘唇边有0.8mm深裂纹；</w:t>
      </w:r>
    </w:p>
    <w:p w14:paraId="65A3A453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用肥皂水检测管路，发现快换接头处有气泡（泄漏）；</w:t>
      </w:r>
    </w:p>
    <w:p w14:paraId="60BBD0AC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测量气源压力0.45MPa（标准0.5-0.6MPa）。</w:t>
      </w:r>
    </w:p>
    <w:p w14:paraId="65590091">
      <w:pPr>
        <w:spacing w:before="0" w:beforeAutospacing="1" w:after="0" w:afterAutospacing="1"/>
        <w:ind w:left="720"/>
      </w:pPr>
      <w:r>
        <w:rPr>
          <w:b/>
        </w:rPr>
        <w:t>解决方案</w:t>
      </w:r>
      <w:r>
        <w:t>：更换全部吸盘（型号ZP100BN），重新拧紧快换接头（扭矩15N·m）；调节气源压力至0.55MPa。</w:t>
      </w:r>
    </w:p>
    <w:p w14:paraId="5418C093">
      <w:pPr>
        <w:spacing w:before="0" w:beforeAutospacing="1" w:after="0" w:afterAutospacing="1"/>
        <w:ind w:left="720"/>
      </w:pPr>
      <w:r>
        <w:rPr>
          <w:b/>
        </w:rPr>
        <w:t>预防措施</w:t>
      </w:r>
      <w:r>
        <w:t>：每日班前检查吸盘外观，每周用肥皂水检测管路密封性，气源三联件每日排水。</w:t>
      </w:r>
    </w:p>
    <w:p w14:paraId="385FD204">
      <w:pPr>
        <w:pStyle w:val="5"/>
      </w:pPr>
      <w:r>
        <w:t>案例三：PLC与触摸屏通信中断</w:t>
      </w:r>
    </w:p>
    <w:p w14:paraId="0267BFB2">
      <w:r>
        <w:rPr>
          <w:b/>
        </w:rPr>
        <w:t>故障现象</w:t>
      </w:r>
      <w:r>
        <w:t>：触摸屏显示“连接超时”，无法监控设备状态，PLC运行指示灯正常。</w:t>
      </w:r>
    </w:p>
    <w:p w14:paraId="3CB4EE1C">
      <w:r>
        <w:rPr>
          <w:b/>
        </w:rPr>
        <w:t>诊断过程</w:t>
      </w:r>
      <w:r>
        <w:t>：</w:t>
      </w:r>
    </w:p>
    <w:p w14:paraId="69879E6E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检查网线接头，发现水晶头针脚氧化（发黑）；</w:t>
      </w:r>
    </w:p>
    <w:p w14:paraId="00822D3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更换网线后通信恢复，但30分钟后再次中断；</w:t>
      </w:r>
    </w:p>
    <w:p w14:paraId="1097AF9D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用网络测试仪检测，发现IP地址冲突（与另一台RGV相同）。</w:t>
      </w:r>
    </w:p>
    <w:p w14:paraId="0FD31D91">
      <w:pPr>
        <w:spacing w:before="0" w:beforeAutospacing="1" w:after="0" w:afterAutospacing="1"/>
        <w:ind w:left="720"/>
      </w:pPr>
      <w:r>
        <w:rPr>
          <w:b/>
        </w:rPr>
        <w:t>解决方案</w:t>
      </w:r>
      <w:r>
        <w:t>：重新制作镀金水晶头，修改叠盘机IP地址（从192.168.1.101改为192.168.1.105）；交换机端口绑定MAC地址，防止IP冲突。</w:t>
      </w:r>
    </w:p>
    <w:p w14:paraId="215ED059">
      <w:pPr>
        <w:spacing w:before="0" w:beforeAutospacing="1" w:after="0" w:afterAutospacing="1"/>
        <w:ind w:left="720"/>
      </w:pPr>
      <w:r>
        <w:rPr>
          <w:b/>
        </w:rPr>
        <w:t>预防措施</w:t>
      </w:r>
      <w:r>
        <w:t>：建立设备IP地址台账，每月检查网络配置，网线采用双屏蔽电缆（减少电磁干扰）。</w:t>
      </w:r>
    </w:p>
    <w:p w14:paraId="105AFB81">
      <w:pPr>
        <w:pStyle w:val="3"/>
      </w:pPr>
      <w:r>
        <w:t>七、附录</w:t>
      </w:r>
    </w:p>
    <w:p w14:paraId="731A41D4">
      <w:pPr>
        <w:pStyle w:val="4"/>
      </w:pPr>
      <w:r>
        <w:t>7.1 机械原理图说明</w:t>
      </w:r>
    </w:p>
    <w:p w14:paraId="303B73FC">
      <w:r>
        <w:t>设备关键机械原理图包括：</w:t>
      </w:r>
    </w:p>
    <w:p w14:paraId="3F3B7EEA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整体结构图</w:t>
      </w:r>
      <w:r>
        <w:t>：标注机架、升降平台、输送辊道的安装位置与尺寸（如机架长×宽×高=2000×1500×3500mm）；</w:t>
      </w:r>
    </w:p>
    <w:p w14:paraId="7CD5F66B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升降机构详图</w:t>
      </w:r>
      <w:r>
        <w:t>：展示伺服电机、丝杠、导轨的装配关系，丝杠导程10mm，导轨间距800mm；</w:t>
      </w:r>
    </w:p>
    <w:p w14:paraId="0FD184B7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分离机构详图</w:t>
      </w:r>
      <w:r>
        <w:t>：吸盘阵列分布（2×2矩阵，间距300×400mm），机械爪片行程50mm；</w:t>
      </w:r>
    </w:p>
    <w:p w14:paraId="27464D01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定位导向装置图</w:t>
      </w:r>
      <w:r>
        <w:t>：导向立板调节范围800-1200mm，定位销直径20mm。</w:t>
      </w:r>
    </w:p>
    <w:p w14:paraId="20D571A6">
      <w:pPr>
        <w:pStyle w:val="4"/>
      </w:pPr>
      <w:r>
        <w:t>7.2 故障代码表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57612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C79C77">
            <w:pPr>
              <w:jc w:val="center"/>
              <w:rPr>
                <w:b/>
              </w:rPr>
            </w:pPr>
            <w:r>
              <w:rPr>
                <w:b/>
              </w:rPr>
              <w:t>故障代码</w:t>
            </w:r>
          </w:p>
        </w:tc>
        <w:tc>
          <w:tcPr>
            <w:tcW w:w="0" w:type="auto"/>
            <w:vAlign w:val="center"/>
          </w:tcPr>
          <w:p w14:paraId="7A9C535C">
            <w:pPr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0" w:type="auto"/>
            <w:vAlign w:val="center"/>
          </w:tcPr>
          <w:p w14:paraId="0DAF0F0A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2FFFB441">
            <w:pPr>
              <w:jc w:val="center"/>
              <w:rPr>
                <w:b/>
              </w:rPr>
            </w:pPr>
            <w:r>
              <w:rPr>
                <w:b/>
              </w:rPr>
              <w:t>可能成因</w:t>
            </w:r>
          </w:p>
        </w:tc>
        <w:tc>
          <w:tcPr>
            <w:tcW w:w="0" w:type="auto"/>
            <w:vAlign w:val="center"/>
          </w:tcPr>
          <w:p w14:paraId="6F910FB7">
            <w:pPr>
              <w:jc w:val="center"/>
              <w:rPr>
                <w:b/>
              </w:rPr>
            </w:pPr>
            <w:r>
              <w:rPr>
                <w:b/>
              </w:rPr>
              <w:t>解决措施</w:t>
            </w:r>
          </w:p>
        </w:tc>
      </w:tr>
      <w:tr w14:paraId="18DBFF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C2B78E">
            <w:r>
              <w:t>E001</w:t>
            </w:r>
          </w:p>
        </w:tc>
        <w:tc>
          <w:tcPr>
            <w:tcW w:w="0" w:type="auto"/>
            <w:vAlign w:val="center"/>
          </w:tcPr>
          <w:p w14:paraId="1D9CD9EB">
            <w:r>
              <w:t>机械</w:t>
            </w:r>
          </w:p>
        </w:tc>
        <w:tc>
          <w:tcPr>
            <w:tcW w:w="0" w:type="auto"/>
            <w:vAlign w:val="center"/>
          </w:tcPr>
          <w:p w14:paraId="76DDAA21">
            <w:r>
              <w:t>升降超程</w:t>
            </w:r>
          </w:p>
        </w:tc>
        <w:tc>
          <w:tcPr>
            <w:tcW w:w="0" w:type="auto"/>
            <w:vAlign w:val="center"/>
          </w:tcPr>
          <w:p w14:paraId="64ED0466">
            <w:r>
              <w:t>限位开关故障，软限位参数错误</w:t>
            </w:r>
          </w:p>
        </w:tc>
        <w:tc>
          <w:tcPr>
            <w:tcW w:w="0" w:type="auto"/>
            <w:vAlign w:val="center"/>
          </w:tcPr>
          <w:p w14:paraId="7A125CF9">
            <w:r>
              <w:t>更换限位开关，重新设置软限位坐标</w:t>
            </w:r>
          </w:p>
        </w:tc>
      </w:tr>
      <w:tr w14:paraId="4E5079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9AA594">
            <w:r>
              <w:t>E002</w:t>
            </w:r>
          </w:p>
        </w:tc>
        <w:tc>
          <w:tcPr>
            <w:tcW w:w="0" w:type="auto"/>
            <w:vAlign w:val="center"/>
          </w:tcPr>
          <w:p w14:paraId="07D74B62">
            <w:r>
              <w:t>机械</w:t>
            </w:r>
          </w:p>
        </w:tc>
        <w:tc>
          <w:tcPr>
            <w:tcW w:w="0" w:type="auto"/>
            <w:vAlign w:val="center"/>
          </w:tcPr>
          <w:p w14:paraId="5B39D85F">
            <w:r>
              <w:t>托盘分离失败</w:t>
            </w:r>
          </w:p>
        </w:tc>
        <w:tc>
          <w:tcPr>
            <w:tcW w:w="0" w:type="auto"/>
            <w:vAlign w:val="center"/>
          </w:tcPr>
          <w:p w14:paraId="5547F3D0">
            <w:r>
              <w:t>吸盘老化，真空管路泄漏</w:t>
            </w:r>
          </w:p>
        </w:tc>
        <w:tc>
          <w:tcPr>
            <w:tcW w:w="0" w:type="auto"/>
            <w:vAlign w:val="center"/>
          </w:tcPr>
          <w:p w14:paraId="0CB00F2F">
            <w:r>
              <w:t>更换吸盘，紧固管路接头</w:t>
            </w:r>
          </w:p>
        </w:tc>
      </w:tr>
      <w:tr w14:paraId="0D27C48D">
        <w:tc>
          <w:tcPr>
            <w:tcW w:w="0" w:type="auto"/>
            <w:vAlign w:val="center"/>
          </w:tcPr>
          <w:p w14:paraId="1962C126">
            <w:r>
              <w:t>E024</w:t>
            </w:r>
          </w:p>
        </w:tc>
        <w:tc>
          <w:tcPr>
            <w:tcW w:w="0" w:type="auto"/>
            <w:vAlign w:val="center"/>
          </w:tcPr>
          <w:p w14:paraId="33495543">
            <w:r>
              <w:t>电气</w:t>
            </w:r>
          </w:p>
        </w:tc>
        <w:tc>
          <w:tcPr>
            <w:tcW w:w="0" w:type="auto"/>
            <w:vAlign w:val="center"/>
          </w:tcPr>
          <w:p w14:paraId="74209A20">
            <w:r>
              <w:t>伺服电机过载</w:t>
            </w:r>
          </w:p>
        </w:tc>
        <w:tc>
          <w:tcPr>
            <w:tcW w:w="0" w:type="auto"/>
            <w:vAlign w:val="center"/>
          </w:tcPr>
          <w:p w14:paraId="5A4FCFD2">
            <w:r>
              <w:t>电机轴承卡滞，绕组短路</w:t>
            </w:r>
          </w:p>
        </w:tc>
        <w:tc>
          <w:tcPr>
            <w:tcW w:w="0" w:type="auto"/>
            <w:vAlign w:val="center"/>
          </w:tcPr>
          <w:p w14:paraId="7310EB5F">
            <w:r>
              <w:t>更换轴承，修复电机绕组</w:t>
            </w:r>
          </w:p>
        </w:tc>
      </w:tr>
      <w:tr w14:paraId="36D19F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E9EEB6E">
            <w:r>
              <w:t>E101</w:t>
            </w:r>
          </w:p>
        </w:tc>
        <w:tc>
          <w:tcPr>
            <w:tcW w:w="0" w:type="auto"/>
            <w:vAlign w:val="center"/>
          </w:tcPr>
          <w:p w14:paraId="79716A01">
            <w:r>
              <w:t>传感器</w:t>
            </w:r>
          </w:p>
        </w:tc>
        <w:tc>
          <w:tcPr>
            <w:tcW w:w="0" w:type="auto"/>
            <w:vAlign w:val="center"/>
          </w:tcPr>
          <w:p w14:paraId="3DA4033B">
            <w:r>
              <w:t>真空度不足</w:t>
            </w:r>
          </w:p>
        </w:tc>
        <w:tc>
          <w:tcPr>
            <w:tcW w:w="0" w:type="auto"/>
            <w:vAlign w:val="center"/>
          </w:tcPr>
          <w:p w14:paraId="50CDE96B">
            <w:r>
              <w:t>真空泵故障，压力传感器漂移</w:t>
            </w:r>
          </w:p>
        </w:tc>
        <w:tc>
          <w:tcPr>
            <w:tcW w:w="0" w:type="auto"/>
            <w:vAlign w:val="center"/>
          </w:tcPr>
          <w:p w14:paraId="0FF5E006">
            <w:r>
              <w:t>检修真空泵，校准压力传感器</w:t>
            </w:r>
          </w:p>
        </w:tc>
      </w:tr>
      <w:tr w14:paraId="178269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611FB6">
            <w:r>
              <w:t>E201</w:t>
            </w:r>
          </w:p>
        </w:tc>
        <w:tc>
          <w:tcPr>
            <w:tcW w:w="0" w:type="auto"/>
            <w:vAlign w:val="center"/>
          </w:tcPr>
          <w:p w14:paraId="666E2092">
            <w:r>
              <w:t>控制</w:t>
            </w:r>
          </w:p>
        </w:tc>
        <w:tc>
          <w:tcPr>
            <w:tcW w:w="0" w:type="auto"/>
            <w:vAlign w:val="center"/>
          </w:tcPr>
          <w:p w14:paraId="2D535452">
            <w:r>
              <w:t>通信中断</w:t>
            </w:r>
          </w:p>
        </w:tc>
        <w:tc>
          <w:tcPr>
            <w:tcW w:w="0" w:type="auto"/>
            <w:vAlign w:val="center"/>
          </w:tcPr>
          <w:p w14:paraId="2C9AC8BD">
            <w:r>
              <w:t>网线接触不良，IP地址冲突</w:t>
            </w:r>
          </w:p>
        </w:tc>
        <w:tc>
          <w:tcPr>
            <w:tcW w:w="0" w:type="auto"/>
            <w:vAlign w:val="center"/>
          </w:tcPr>
          <w:p w14:paraId="5235DC00">
            <w:r>
              <w:t>更换网线，重新配置IP地址</w:t>
            </w:r>
          </w:p>
        </w:tc>
      </w:tr>
      <w:tr w14:paraId="12BBFF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64AF5C">
            <w:r>
              <w:t>E301</w:t>
            </w:r>
          </w:p>
        </w:tc>
        <w:tc>
          <w:tcPr>
            <w:tcW w:w="0" w:type="auto"/>
            <w:vAlign w:val="center"/>
          </w:tcPr>
          <w:p w14:paraId="35D7ADEF">
            <w:r>
              <w:t>安全</w:t>
            </w:r>
          </w:p>
        </w:tc>
        <w:tc>
          <w:tcPr>
            <w:tcW w:w="0" w:type="auto"/>
            <w:vAlign w:val="center"/>
          </w:tcPr>
          <w:p w14:paraId="21221BD2">
            <w:r>
              <w:t>安全光幕触发</w:t>
            </w:r>
          </w:p>
        </w:tc>
        <w:tc>
          <w:tcPr>
            <w:tcW w:w="0" w:type="auto"/>
            <w:vAlign w:val="center"/>
          </w:tcPr>
          <w:p w14:paraId="40D27F4F">
            <w:r>
              <w:t>人员进入危险区，光幕镜片污染</w:t>
            </w:r>
          </w:p>
        </w:tc>
        <w:tc>
          <w:tcPr>
            <w:tcW w:w="0" w:type="auto"/>
            <w:vAlign w:val="center"/>
          </w:tcPr>
          <w:p w14:paraId="10C013C8">
            <w:r>
              <w:t>撤离人员，清洁光幕镜片</w:t>
            </w:r>
          </w:p>
        </w:tc>
      </w:tr>
    </w:tbl>
    <w:p w14:paraId="629FD721">
      <w:pPr>
        <w:pStyle w:val="4"/>
      </w:pPr>
      <w:r>
        <w:t>7.3 维护保养流程图</w:t>
      </w:r>
    </w:p>
    <w:p w14:paraId="429294A5">
      <w:r>
        <w:rPr>
          <w:b/>
        </w:rPr>
        <w:t>日常检查流程</w:t>
      </w:r>
      <w:r>
        <w:t>：开机前准备→机械结构检查（导轨、链条）→电气检查（传感器、电缆）→功能测试（急停、光幕）→正常开机/故障处理。</w:t>
      </w:r>
    </w:p>
    <w:p w14:paraId="5A7E852F">
      <w:r>
        <w:rPr>
          <w:b/>
        </w:rPr>
        <w:t>故障处理流程</w:t>
      </w:r>
      <w:r>
        <w:t>：故障识别（报警代码）→定位排查（机械/电气/控制）→成因分析（根因判断）→解决方案（部件更换/参数调整）→测试验证→记录归档。</w:t>
      </w:r>
    </w:p>
    <w:p w14:paraId="559035C1">
      <w:r>
        <w:rPr>
          <w:b/>
        </w:rPr>
        <w:t>周维护流程</w:t>
      </w:r>
      <w:r>
        <w:t>：清洁传感器→润滑导轨轴承→检查吸盘弹性→测试真空度→记录维护数据。</w:t>
      </w:r>
    </w:p>
    <w:p w14:paraId="5B1720F5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DF9EE76D"/>
    <w:multiLevelType w:val="singleLevel"/>
    <w:tmpl w:val="DF9EE7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E9FB0EE"/>
    <w:multiLevelType w:val="singleLevel"/>
    <w:tmpl w:val="EE9FB0E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F5BE53D1"/>
    <w:multiLevelType w:val="singleLevel"/>
    <w:tmpl w:val="F5BE53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F7F691F1"/>
    <w:multiLevelType w:val="singleLevel"/>
    <w:tmpl w:val="F7F691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F8FE99A9"/>
    <w:multiLevelType w:val="singleLevel"/>
    <w:tmpl w:val="F8FE99A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1">
    <w:nsid w:val="FFA5583F"/>
    <w:multiLevelType w:val="singleLevel"/>
    <w:tmpl w:val="FFA5583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3">
    <w:nsid w:val="FFF6C59D"/>
    <w:multiLevelType w:val="singleLevel"/>
    <w:tmpl w:val="FFF6C5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157D6B24"/>
    <w:multiLevelType w:val="singleLevel"/>
    <w:tmpl w:val="157D6B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8">
    <w:nsid w:val="3F9B21ED"/>
    <w:multiLevelType w:val="singleLevel"/>
    <w:tmpl w:val="3F9B21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5DFCE0DC"/>
    <w:multiLevelType w:val="singleLevel"/>
    <w:tmpl w:val="5DFCE0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21">
    <w:nsid w:val="77FD3DB9"/>
    <w:multiLevelType w:val="singleLevel"/>
    <w:tmpl w:val="77FD3D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7D7EB75A"/>
    <w:multiLevelType w:val="singleLevel"/>
    <w:tmpl w:val="7D7EB7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7EEF2D33"/>
    <w:multiLevelType w:val="singleLevel"/>
    <w:tmpl w:val="7EEF2D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25">
    <w:nsid w:val="7FFFA979"/>
    <w:multiLevelType w:val="singleLevel"/>
    <w:tmpl w:val="7FFFA97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7"/>
  </w:num>
  <w:num w:numId="2">
    <w:abstractNumId w:val="24"/>
  </w:num>
  <w:num w:numId="3">
    <w:abstractNumId w:val="1"/>
  </w:num>
  <w:num w:numId="4">
    <w:abstractNumId w:val="14"/>
  </w:num>
  <w:num w:numId="5">
    <w:abstractNumId w:val="9"/>
  </w:num>
  <w:num w:numId="6">
    <w:abstractNumId w:val="20"/>
  </w:num>
  <w:num w:numId="7">
    <w:abstractNumId w:val="5"/>
  </w:num>
  <w:num w:numId="8">
    <w:abstractNumId w:val="16"/>
  </w:num>
  <w:num w:numId="9">
    <w:abstractNumId w:val="10"/>
  </w:num>
  <w:num w:numId="10">
    <w:abstractNumId w:val="12"/>
  </w:num>
  <w:num w:numId="11">
    <w:abstractNumId w:val="2"/>
  </w:num>
  <w:num w:numId="12">
    <w:abstractNumId w:val="0"/>
  </w:num>
  <w:num w:numId="13">
    <w:abstractNumId w:val="4"/>
  </w:num>
  <w:num w:numId="14">
    <w:abstractNumId w:val="15"/>
  </w:num>
  <w:num w:numId="15">
    <w:abstractNumId w:val="3"/>
  </w:num>
  <w:num w:numId="16">
    <w:abstractNumId w:val="7"/>
  </w:num>
  <w:num w:numId="17">
    <w:abstractNumId w:val="21"/>
  </w:num>
  <w:num w:numId="18">
    <w:abstractNumId w:val="18"/>
  </w:num>
  <w:num w:numId="19">
    <w:abstractNumId w:val="13"/>
  </w:num>
  <w:num w:numId="20">
    <w:abstractNumId w:val="19"/>
  </w:num>
  <w:num w:numId="21">
    <w:abstractNumId w:val="22"/>
  </w:num>
  <w:num w:numId="22">
    <w:abstractNumId w:val="23"/>
  </w:num>
  <w:num w:numId="23">
    <w:abstractNumId w:val="25"/>
  </w:num>
  <w:num w:numId="24">
    <w:abstractNumId w:val="8"/>
  </w:num>
  <w:num w:numId="25">
    <w:abstractNumId w:val="11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BF69F44"/>
    <w:rsid w:val="7FF6C12C"/>
    <w:rsid w:val="9BFE03A1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2025-10-05T18:14:07Z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7B1EA3302E44D84CEF44E268B9C0D2D9_43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