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B549DE">
      <w:pPr>
        <w:pStyle w:val="2"/>
      </w:pPr>
    </w:p>
    <w:p w14:paraId="1470DE23">
      <w:pPr>
        <w:pStyle w:val="2"/>
      </w:pPr>
    </w:p>
    <w:p w14:paraId="68FEC9CF">
      <w:pPr>
        <w:pStyle w:val="2"/>
      </w:pPr>
      <w:r>
        <w:t>干变铁芯车间铁芯集送线移载车技术手册</w:t>
      </w:r>
    </w:p>
    <w:p w14:paraId="654E47E4">
      <w:pPr>
        <w:pStyle w:val="3"/>
      </w:pPr>
      <w:r>
        <w:t>一、概述</w:t>
      </w:r>
    </w:p>
    <w:p w14:paraId="1ACB8A6C">
      <w:pPr>
        <w:pStyle w:val="4"/>
      </w:pPr>
      <w:r>
        <w:t>1.1 手册目的与适用范围</w:t>
      </w:r>
    </w:p>
    <w:p w14:paraId="2638880D">
      <w:r>
        <w:t>本手册旨在为干变铁芯车间铁芯集送线移载车的设计选型、操作使用、维护保养及故障处理提供标准化技术指导，确保设备在干式变压器铁芯生产过程中的安全稳定运行。手册内容涵盖移载车结构组成、功能特性、机械与控制系统原理、常见故障分析及全生命周期管理策略，适用于设备工程师、维护技术人员及相关管理人员。应用场景包括干式变压器铁芯叠装、固化、装配等工序间的自动化转运，涉及30KW-2500KVA规格变压器铁芯（重量1.5-5吨，尺寸1600×1000×800mm）的搬运、定位与设备对接。本手册不适用于非干式变压器铁芯专用移载车或极端环境（如温度超过-10℃~60℃、粉尘浓度＞8mg/m³）下的设备运维。</w:t>
      </w:r>
    </w:p>
    <w:p w14:paraId="78C343C5">
      <w:pPr>
        <w:pStyle w:val="4"/>
      </w:pPr>
      <w:r>
        <w:t>1.2 移载车在铁芯生产中的作用与重要性</w:t>
      </w:r>
    </w:p>
    <w:p w14:paraId="65D181F0">
      <w:r>
        <w:t>移载车是干式变压器铁芯生产流程中的关键自动化设备，承担铁芯物料在各工序间的转运任务，其性能直接影响生产效率与产品质量。在传统生产模式中，铁芯搬运依赖行车或人工叉车，存在转运效率低（单次转运时间＞5分钟）、定位精度差（偏差＞±20mm）、易造成铁芯损伤（如叠片错位、绝缘涂层破损）等问题。移载车通过自动化控制实现铁芯的精准搬运，单次移载时间缩短至10-20秒，定位精度提升至±1-5mm，有效减少人工干预导致的质量风险。同时，移载车与MES、PLC系统的集成实现了生产流程的智能化调度，例如在铁芯叠装完成后，可自动将物料转运至固化炉，通过与设备的无缝对接减少工序等待时间，使整线设备综合稼动率提升至92%以上。对于重量达5吨的大型铁芯，移载车的多机协同搬运功能可避免人工操作的安全隐患，降低工伤事故发生率。</w:t>
      </w:r>
    </w:p>
    <w:p w14:paraId="7A31AF1C">
      <w:pPr>
        <w:pStyle w:val="4"/>
      </w:pPr>
      <w:r>
        <w:t>1.3 相关标准与规范</w:t>
      </w:r>
    </w:p>
    <w:p w14:paraId="71C0DD98">
      <w:r>
        <w:t>移载车设计、制造及运维需符合以下国家标准与行业规范，关键技术指标需满足表1-1要求：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6C69B3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2AA3ACC">
            <w:pPr>
              <w:jc w:val="center"/>
              <w:rPr>
                <w:b/>
              </w:rPr>
            </w:pPr>
            <w:r>
              <w:rPr>
                <w:b/>
              </w:rPr>
              <w:t>标准名称</w:t>
            </w:r>
          </w:p>
        </w:tc>
        <w:tc>
          <w:tcPr>
            <w:tcW w:w="0" w:type="auto"/>
            <w:vAlign w:val="center"/>
          </w:tcPr>
          <w:p w14:paraId="6B9E7793">
            <w:pPr>
              <w:jc w:val="center"/>
              <w:rPr>
                <w:b/>
              </w:rPr>
            </w:pPr>
            <w:r>
              <w:rPr>
                <w:b/>
              </w:rPr>
              <w:t>标准编号</w:t>
            </w:r>
          </w:p>
        </w:tc>
        <w:tc>
          <w:tcPr>
            <w:tcW w:w="0" w:type="auto"/>
            <w:vAlign w:val="center"/>
          </w:tcPr>
          <w:p w14:paraId="182F0FFF">
            <w:pPr>
              <w:jc w:val="center"/>
              <w:rPr>
                <w:b/>
              </w:rPr>
            </w:pPr>
            <w:r>
              <w:rPr>
                <w:b/>
              </w:rPr>
              <w:t>核心技术指标要求</w:t>
            </w:r>
          </w:p>
        </w:tc>
      </w:tr>
      <w:tr w14:paraId="0EDDF9F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FDEA507">
            <w:r>
              <w:t>道路车辆电气及电子设备的防护</w:t>
            </w:r>
          </w:p>
        </w:tc>
        <w:tc>
          <w:tcPr>
            <w:tcW w:w="0" w:type="auto"/>
            <w:vAlign w:val="center"/>
          </w:tcPr>
          <w:p w14:paraId="07B87A91">
            <w:r>
              <w:t>GB/T 30038</w:t>
            </w:r>
          </w:p>
        </w:tc>
        <w:tc>
          <w:tcPr>
            <w:tcW w:w="0" w:type="auto"/>
            <w:vAlign w:val="center"/>
          </w:tcPr>
          <w:p w14:paraId="5BEDB2E0">
            <w:r>
              <w:t>电气部件防护等级≥IP54，耐振动10-2000Hz</w:t>
            </w:r>
          </w:p>
        </w:tc>
      </w:tr>
      <w:tr w14:paraId="40D5F5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A8CB14">
            <w:r>
              <w:t>有轨电动平车</w:t>
            </w:r>
          </w:p>
        </w:tc>
        <w:tc>
          <w:tcPr>
            <w:tcW w:w="0" w:type="auto"/>
            <w:vAlign w:val="center"/>
          </w:tcPr>
          <w:p w14:paraId="6CBEC73D">
            <w:r>
              <w:t>JB/T 10822</w:t>
            </w:r>
          </w:p>
        </w:tc>
        <w:tc>
          <w:tcPr>
            <w:tcW w:w="0" w:type="auto"/>
            <w:vAlign w:val="center"/>
          </w:tcPr>
          <w:p w14:paraId="72199010">
            <w:r>
              <w:t>静态承载能力≥3吨，运行速度0.5-1.2m/s</w:t>
            </w:r>
          </w:p>
        </w:tc>
      </w:tr>
      <w:tr w14:paraId="5179ECCE">
        <w:tc>
          <w:tcPr>
            <w:tcW w:w="0" w:type="auto"/>
            <w:vAlign w:val="center"/>
          </w:tcPr>
          <w:p w14:paraId="37C8F1C0">
            <w:r>
              <w:t>金属和合金的腐蚀 盐雾试验</w:t>
            </w:r>
          </w:p>
        </w:tc>
        <w:tc>
          <w:tcPr>
            <w:tcW w:w="0" w:type="auto"/>
            <w:vAlign w:val="center"/>
          </w:tcPr>
          <w:p w14:paraId="2DE6187F">
            <w:r>
              <w:t>GB/T 10125-2021</w:t>
            </w:r>
          </w:p>
        </w:tc>
        <w:tc>
          <w:tcPr>
            <w:tcW w:w="0" w:type="auto"/>
            <w:vAlign w:val="center"/>
          </w:tcPr>
          <w:p w14:paraId="5CB7E6B2">
            <w:r>
              <w:t>框架涂层耐盐雾性能≥500小时</w:t>
            </w:r>
          </w:p>
        </w:tc>
      </w:tr>
      <w:tr w14:paraId="008261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EFAF5E0">
            <w:r>
              <w:t>工业机械电气设备 通用技术条件</w:t>
            </w:r>
          </w:p>
        </w:tc>
        <w:tc>
          <w:tcPr>
            <w:tcW w:w="0" w:type="auto"/>
            <w:vAlign w:val="center"/>
          </w:tcPr>
          <w:p w14:paraId="33580E91">
            <w:r>
              <w:t>GB/T 5226.1</w:t>
            </w:r>
          </w:p>
        </w:tc>
        <w:tc>
          <w:tcPr>
            <w:tcW w:w="0" w:type="auto"/>
            <w:vAlign w:val="center"/>
          </w:tcPr>
          <w:p w14:paraId="3CFD141A">
            <w:r>
              <w:t>急停响应时间≤0.5s，绝缘电阻≥1MΩ（热态）</w:t>
            </w:r>
          </w:p>
        </w:tc>
      </w:tr>
      <w:tr w14:paraId="709175C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3DE99F">
            <w:r>
              <w:t>自动化立体仓库设计规范</w:t>
            </w:r>
          </w:p>
        </w:tc>
        <w:tc>
          <w:tcPr>
            <w:tcW w:w="0" w:type="auto"/>
            <w:vAlign w:val="center"/>
          </w:tcPr>
          <w:p w14:paraId="20300AC8">
            <w:r>
              <w:t>JB/T 9018</w:t>
            </w:r>
          </w:p>
        </w:tc>
        <w:tc>
          <w:tcPr>
            <w:tcW w:w="0" w:type="auto"/>
            <w:vAlign w:val="center"/>
          </w:tcPr>
          <w:p w14:paraId="23232B08">
            <w:r>
              <w:t>定位精度±5mm，重复定位精度±0.5mm</w:t>
            </w:r>
          </w:p>
        </w:tc>
      </w:tr>
    </w:tbl>
    <w:p w14:paraId="072234B0">
      <w:pPr>
        <w:pStyle w:val="3"/>
      </w:pPr>
      <w:r>
        <w:t>二、结构组成</w:t>
      </w:r>
    </w:p>
    <w:p w14:paraId="4ABBADF4">
      <w:pPr>
        <w:pStyle w:val="4"/>
      </w:pPr>
      <w:r>
        <w:t>2.1 机械框架设计</w:t>
      </w:r>
    </w:p>
    <w:p w14:paraId="76C6CB78">
      <w:r>
        <w:t>机械框架作为承载铁芯的核心结构，需满足高强度与轻量化的双重要求。框架主体采用Q235B碳钢焊接而成，面板厚度不小于5mm，底部横梁采用10号槽钢焊接形成“田”字形支撑结构，静态承载能力≥3吨（对应铁芯最大重量）。框架表面经喷砂除锈（Sa2.5级）后喷涂环氧树脂涂层，厚度≥60μm，耐盐雾性能达500小时以上，可适应车间潮湿环境。关键连接部位（如横梁与纵梁焊接点）需进行磁粉探伤检测，确保无裂纹等焊接缺陷；所有紧固件采用304不锈钢材质（直径≥M12），配备防松垫圈以满足振动环境下的连接可靠性。框架四角设置吊装孔（直径Φ30mm），便于设备安装与维护时的起吊作业。</w:t>
      </w:r>
    </w:p>
    <w:p w14:paraId="551B6585">
      <w:pPr>
        <w:pStyle w:val="4"/>
      </w:pPr>
      <w:r>
        <w:t>2.2 传动系统组成</w:t>
      </w:r>
    </w:p>
    <w:p w14:paraId="70018A63">
      <w:r>
        <w:t>传动系统分为驱动单元与行走机构两部分。驱动单元采用“伺服电机+行星齿轮减速器”组合，电机功率1.5-2.2kW，额定转速1200-1500rpm，配合减速比1:20-1:30的减速器，输出转速控制在60-75rpm。动力传递方式根据负载选择链传动（轻载）或齿轮齿条传动（重载），链条采用16A-1滚子链，张紧度以垂度8-12mm为宜（测量方法：在两链轮中间施加10kg垂直力，测量下垂量）。行走机构采用双轮组设计，车轮材质为耐磨铸铁（硬度HB200-250），轮径根据负载分为Φ150mm（轻载）和Φ200mm（重载），轮宽80mm，与轨道接触面积≥100cm²以降低地面压强。轨道选用P24轻轨，安装平行度误差≤2mm/5m，轨距设计为800mm或1000mm，轨道接缝处采用45度坡口过渡，间隙≤1mm，避免车轮通过时产生冲击振动。</w:t>
      </w:r>
    </w:p>
    <w:p w14:paraId="73C78C48">
      <w:pPr>
        <w:pStyle w:val="4"/>
      </w:pPr>
      <w:r>
        <w:t>2.3 导向与定位机构</w:t>
      </w:r>
    </w:p>
    <w:p w14:paraId="0DB91F7C">
      <w:r>
        <w:t>导向机构采用“双导向轮+中央导向槽”复合设计：两侧导向轮为聚氨酯材质（硬度邵氏A85），安装于车架两侧，与轨道侧面间隙控制在3-5mm，可吸收横向偏移量；底部中央设置V型导向槽（角度90度），与轨道中央导向轨配合，定位精度可达±1mm。定位系统采用光电传感器与机械限位双重保障：移载车两端安装漫反射式光电开关（检测距离50-100mm），触发时减速至额定速度的30%；终点位置设置机械缓冲器（行程20mm，最大吸收能量50J），配合接近开关实现最终定位，重复定位精度±0.5mm。部分高端车型集成RFID标签（安装于车架底部中央），采用ISO 15693协议，与地面读写器配合实现位置信息实时上传，响应时间≤100ms，支持与WMS系统的数据交互。</w:t>
      </w:r>
    </w:p>
    <w:p w14:paraId="7A16F29A">
      <w:pPr>
        <w:pStyle w:val="4"/>
      </w:pPr>
      <w:r>
        <w:t>2.4 铁芯适配特殊设计</w:t>
      </w:r>
    </w:p>
    <w:p w14:paraId="341272BA">
      <w:r>
        <w:t>针对干式变压器铁芯的特性，移载车需具备以下专用结构设计：表面铺设3mm厚橡胶防滑垫，摩擦系数≥0.6，防止铁芯在加速/减速过程中滑动；边缘设置100mm高可拆卸防护栏，避免铁芯倾倒；台面开设Φ20mm定位孔阵列（间距500mm×500mm），与铁芯底部定位销配合实现快速对中，定位偏差≤±5mm。台面下方安装4个称重传感器（量程1吨/个，精度0.1%FS），实时监测负载状态，当超载10%时自动切断驱动电源并报警。对于卷绕式铁芯，台面可集成滚筒输送装置（滚筒间距150mm，转速0.5m/s），实现铁芯与加工设备的自动对接。</w:t>
      </w:r>
    </w:p>
    <w:p w14:paraId="527A8FBE">
      <w:pPr>
        <w:pStyle w:val="3"/>
      </w:pPr>
      <w:r>
        <w:t>三、功能特性</w:t>
      </w:r>
    </w:p>
    <w:p w14:paraId="6A771C5C">
      <w:pPr>
        <w:pStyle w:val="4"/>
      </w:pPr>
      <w:r>
        <w:t>3.1 搬运功能</w:t>
      </w:r>
    </w:p>
    <w:p w14:paraId="6C60409B">
      <w:r>
        <w:t>移载车的搬运能力需匹配干式变压器铁芯的重量与尺寸，负载设计覆盖1.5-5吨梯度，可适应30KW-2500KVA变压器对应的铁芯规格。搬运方式上，滚筒移栽式移载车通过顶部滚筒输送装置实现物料转移，类似“带轮子的传送带”，能自动接收来自加工设备的铁芯，并转运至下一工序。例如，在铁芯叠装完成后，移载车可通过滚筒系统将铁芯从叠装台移载至自身平台，再运输至固化炉或装配工位，整个过程无需人工干预，单次移载时间约10-20秒。背负式移载车支持多机协同搬运，当铁芯重量超过单台设备负载时，可通过2-3台移载车同步动作实现超重物料运输，最小转弯半径300mm，适应车间复杂路径。</w:t>
      </w:r>
    </w:p>
    <w:p w14:paraId="7F5A35B3">
      <w:pPr>
        <w:pStyle w:val="4"/>
      </w:pPr>
      <w:r>
        <w:t>3.2 定位功能</w:t>
      </w:r>
    </w:p>
    <w:p w14:paraId="54795CCF">
      <w:r>
        <w:t>定位精度直接影响铁芯与后续设备的对接准确性，移载车采用多技术融合的定位方案（表3-1）：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17BA2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378055">
            <w:pPr>
              <w:jc w:val="center"/>
              <w:rPr>
                <w:b/>
              </w:rPr>
            </w:pPr>
            <w:r>
              <w:rPr>
                <w:b/>
              </w:rPr>
              <w:t>定位技术</w:t>
            </w:r>
          </w:p>
        </w:tc>
        <w:tc>
          <w:tcPr>
            <w:tcW w:w="0" w:type="auto"/>
            <w:vAlign w:val="center"/>
          </w:tcPr>
          <w:p w14:paraId="1A909E21">
            <w:pPr>
              <w:jc w:val="center"/>
              <w:rPr>
                <w:b/>
              </w:rPr>
            </w:pPr>
            <w:r>
              <w:rPr>
                <w:b/>
              </w:rPr>
              <w:t>核心原理</w:t>
            </w:r>
          </w:p>
        </w:tc>
        <w:tc>
          <w:tcPr>
            <w:tcW w:w="0" w:type="auto"/>
            <w:vAlign w:val="center"/>
          </w:tcPr>
          <w:p w14:paraId="6EAB1C83">
            <w:pPr>
              <w:jc w:val="center"/>
              <w:rPr>
                <w:b/>
              </w:rPr>
            </w:pPr>
            <w:r>
              <w:rPr>
                <w:b/>
              </w:rPr>
              <w:t>定位精度</w:t>
            </w:r>
          </w:p>
        </w:tc>
        <w:tc>
          <w:tcPr>
            <w:tcW w:w="0" w:type="auto"/>
            <w:vAlign w:val="center"/>
          </w:tcPr>
          <w:p w14:paraId="062C7B84">
            <w:pPr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 w14:paraId="62F6FE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E8DF70">
            <w:r>
              <w:t>激光导航</w:t>
            </w:r>
          </w:p>
        </w:tc>
        <w:tc>
          <w:tcPr>
            <w:tcW w:w="0" w:type="auto"/>
            <w:vAlign w:val="center"/>
          </w:tcPr>
          <w:p w14:paraId="6C35E901">
            <w:r>
              <w:t>激光扫描仪识别反光板，三角定位法</w:t>
            </w:r>
          </w:p>
        </w:tc>
        <w:tc>
          <w:tcPr>
            <w:tcW w:w="0" w:type="auto"/>
            <w:vAlign w:val="center"/>
          </w:tcPr>
          <w:p w14:paraId="07ED8A59">
            <w:r>
              <w:t>±3mm</w:t>
            </w:r>
          </w:p>
        </w:tc>
        <w:tc>
          <w:tcPr>
            <w:tcW w:w="0" w:type="auto"/>
            <w:vAlign w:val="center"/>
          </w:tcPr>
          <w:p w14:paraId="5D747518">
            <w:r>
              <w:t>大场景、高精度需求</w:t>
            </w:r>
          </w:p>
        </w:tc>
      </w:tr>
      <w:tr w14:paraId="150C933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BCE8BAB">
            <w:r>
              <w:t>二维码导航</w:t>
            </w:r>
          </w:p>
        </w:tc>
        <w:tc>
          <w:tcPr>
            <w:tcW w:w="0" w:type="auto"/>
            <w:vAlign w:val="center"/>
          </w:tcPr>
          <w:p w14:paraId="595D2A26">
            <w:r>
              <w:t>摄像头读取地面二维码获取绝对位置</w:t>
            </w:r>
          </w:p>
        </w:tc>
        <w:tc>
          <w:tcPr>
            <w:tcW w:w="0" w:type="auto"/>
            <w:vAlign w:val="center"/>
          </w:tcPr>
          <w:p w14:paraId="3E4245F5">
            <w:r>
              <w:t>±5mm</w:t>
            </w:r>
          </w:p>
        </w:tc>
        <w:tc>
          <w:tcPr>
            <w:tcW w:w="0" w:type="auto"/>
            <w:vAlign w:val="center"/>
          </w:tcPr>
          <w:p w14:paraId="3EE55DCA">
            <w:r>
              <w:t>路径固定、维护成本低</w:t>
            </w:r>
          </w:p>
        </w:tc>
      </w:tr>
      <w:tr w14:paraId="11709E34">
        <w:tc>
          <w:tcPr>
            <w:tcW w:w="0" w:type="auto"/>
            <w:vAlign w:val="center"/>
          </w:tcPr>
          <w:p w14:paraId="6AC055FE">
            <w:r>
              <w:t>惯性导航</w:t>
            </w:r>
          </w:p>
        </w:tc>
        <w:tc>
          <w:tcPr>
            <w:tcW w:w="0" w:type="auto"/>
            <w:vAlign w:val="center"/>
          </w:tcPr>
          <w:p w14:paraId="189C376A">
            <w:r>
              <w:t>陀螺仪+里程计推算相对位置</w:t>
            </w:r>
          </w:p>
        </w:tc>
        <w:tc>
          <w:tcPr>
            <w:tcW w:w="0" w:type="auto"/>
            <w:vAlign w:val="center"/>
          </w:tcPr>
          <w:p w14:paraId="3A2B049A">
            <w:r>
              <w:t>±10mm</w:t>
            </w:r>
          </w:p>
        </w:tc>
        <w:tc>
          <w:tcPr>
            <w:tcW w:w="0" w:type="auto"/>
            <w:vAlign w:val="center"/>
          </w:tcPr>
          <w:p w14:paraId="3413838E">
            <w:r>
              <w:t>复杂路径、抗干扰要求高</w:t>
            </w:r>
          </w:p>
        </w:tc>
      </w:tr>
    </w:tbl>
    <w:p w14:paraId="0F85EA48">
      <w:r>
        <w:t>激光导航通过二维激光扫描仪（扫描角度270°，检测距离0.1-25m）识别车间部署的反光板，利用三角定位法计算自身坐标（X,Y,α），反光板采用三棱镜结构实现同路反射，确保在金属粉尘环境下稳定识别。二维码导航通过地面粘贴的二维码标签（尺寸100mm×100mm，密度500dpi）实现定位，每2米部署1个标签，支持高速行驶（1.2m/s）下的连续识别。在实际应用中，移载车到达目标工位后，启用视觉定位补偿对接误差，最终实现±1mm的精确定位。</w:t>
      </w:r>
    </w:p>
    <w:p w14:paraId="5A5B5D2C">
      <w:pPr>
        <w:pStyle w:val="4"/>
      </w:pPr>
      <w:r>
        <w:t>3.3 对接功能</w:t>
      </w:r>
    </w:p>
    <w:p w14:paraId="152799D5">
      <w:r>
        <w:t>对接功能是实现铁芯在各工序间流转的关键，需与叠装台、固化炉、装配线等设备无缝衔接。技术实现包括：</w:t>
      </w:r>
    </w:p>
    <w:p w14:paraId="55D913B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滚筒同步系统</w:t>
      </w:r>
      <w:r>
        <w:t>：顶部滚筒输送装置与对接设备的滚筒转速同步（误差≤±5%），确保铁芯平稳转移。例如，当移载车靠近叠片机时，滚筒启动并与设备滚筒协同转动，使铁芯从设备滑入移载车，避免卡顿或碰撞。</w:t>
      </w:r>
    </w:p>
    <w:p w14:paraId="0B9BB24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顶升机构</w:t>
      </w:r>
      <w:r>
        <w:t>：配备电动或气动顶升装置，可调节滚筒平台高度（浮动范围±50mm），适应不同设备的对接高度。顶升速度0.05m/s，承重能力≥5吨，具备自锁功能防止意外下降。</w:t>
      </w:r>
    </w:p>
    <w:p w14:paraId="2D0E224A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传感器协同</w:t>
      </w:r>
      <w:r>
        <w:t>：通过光电传感器（检测距离50mm）确认铁芯位置，当铁芯完全进入移载车后，传感器触发信号，停止滚筒转动并开始运输；到达目标设备后，检测对接就绪状态，启动卸料流程。</w:t>
      </w:r>
    </w:p>
    <w:p w14:paraId="4BDA625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通信集成</w:t>
      </w:r>
      <w:r>
        <w:t>：与MES、PLC系统通过Profinet总线实时通信（传输速率100Mbps），接收任务指令并反馈状态（如“物料就绪”“转运完成”），实现全流程自动化。</w:t>
      </w:r>
    </w:p>
    <w:p w14:paraId="2FD300B6">
      <w:pPr>
        <w:pStyle w:val="4"/>
      </w:pPr>
      <w:r>
        <w:t>3.4 设备协同功能</w:t>
      </w:r>
    </w:p>
    <w:p w14:paraId="68EEAE37">
      <w:r>
        <w:t>移载车通过SCADA系统与卷绕机、叠片机等核心设备建立硬线联锁与数据交互，实现生产流程的智能调度。协同机制包括：</w:t>
      </w:r>
    </w:p>
    <w:p w14:paraId="5721DBE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任务优先级调度</w:t>
      </w:r>
      <w:r>
        <w:t>：MES系统根据生产计划生成转运任务，移载车根据优先级算法（紧急订单优先系数1.5）决定执行顺序，例如当某批次铁芯需紧急固化时，系统优先调度移载车前往叠装台取料。</w:t>
      </w:r>
    </w:p>
    <w:p w14:paraId="079AD72D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生产进度预判</w:t>
      </w:r>
      <w:r>
        <w:t>：通过分析卷绕机、叠片机的运行状态，提前10秒到达待机位。例如，卷绕机每完成3个铁芯，移载车即开始向卷绕机出口工位行驶，减少设备等待时间。</w:t>
      </w:r>
    </w:p>
    <w:p w14:paraId="182BC8E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质量追溯</w:t>
      </w:r>
      <w:r>
        <w:t>：移载车将车载称重传感器数据（精度±0.5kg）与铁芯批次信息绑定，上传至MES系统，实现“重量-工序-人员”的全流程追溯。当检测到铁芯重量异常（偏差＞±2%）时，自动将其转运至返修区。</w:t>
      </w:r>
    </w:p>
    <w:p w14:paraId="6F9922F5">
      <w:pPr>
        <w:pStyle w:val="3"/>
      </w:pPr>
      <w:r>
        <w:t>四、机械工作原理</w:t>
      </w:r>
    </w:p>
    <w:p w14:paraId="62924BC8">
      <w:pPr>
        <w:pStyle w:val="4"/>
      </w:pPr>
      <w:r>
        <w:t>4.1 驱动系统工作原理</w:t>
      </w:r>
    </w:p>
    <w:p w14:paraId="35D66B9F">
      <w:r>
        <w:t>移载车采用蓄电池供电的直流电机驱动，配合液压传动实现动力分配。驱动系统核心为“三合一卧式驱动轮”（集成电机、减速器、制动器），通过齿轮啮合将电机输出扭矩传递至主动轮。电机额定转速1200-1500rpm，经减速器（传动比1:20-1:30）减速后，驱动轮输出转速降至60-75rpm，确保行驶速度控制在0.5-1.2m/s。液压系统由齿轮泵（工作压力16-20MPa）、液压缸及控制元件组成，通过电磁换向阀切换油路方向，实现升降机构的伸缩动作。液压介质采用46号抗磨液压油，在-10℃~60℃环境下黏度变化率≤15%，保证低温启动顺畅性。制动系统为电磁失电制动器，制动扭矩≥20N·m，响应时间≤0.1秒，确保紧急情况下的快速停车。</w:t>
      </w:r>
    </w:p>
    <w:p w14:paraId="13A06B5E">
      <w:pPr>
        <w:pStyle w:val="4"/>
      </w:pPr>
      <w:r>
        <w:t>4.2 升降机构工作原理</w:t>
      </w:r>
    </w:p>
    <w:p w14:paraId="3AABA094">
      <w:r>
        <w:t>升降机构采用多级剪杆单元串联结构，单级剪杆由两根长度相等的高强度钢杆（Q345B材质，直径25-30mm）通过中部销轴铰接，形成菱形可伸缩框架。升降动作由液压油缸或滚珠丝杠驱动：</w:t>
      </w:r>
    </w:p>
    <w:p w14:paraId="76E3837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液压驱动</w:t>
      </w:r>
      <w:r>
        <w:t>：油缸活塞杆（行程200-300mm）推动剪杆交叉角变化，带动平台垂直升降（图4-1）。升程范围300-1200mm，升降速度0.05-0.1m/s，当剪杆交叉角θ从30°增至60°时，高度H与油缸行程S的关系为H=2L·sinθ（L为剪杆长度）。</w:t>
      </w:r>
    </w:p>
    <w:p w14:paraId="2188C173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丝杠驱动</w:t>
      </w:r>
      <w:r>
        <w:t>：电机带动滚珠丝杠旋转，螺母座横向移动（位移量500-800mm），通过连杆机构转化为剪杆的角位移，传动效率达90%以上，且具备自锁功能（螺旋升角≤4°），可使平台在任意高度停留。</w:t>
      </w:r>
    </w:p>
    <w:p w14:paraId="27421BFB">
      <w:r>
        <w:t>机构设计需满足静载强度要求，当额定载荷5吨时，剪杆最大应力不超过150MPa，挠度控制在L/400（L为剪杆长度）。</w:t>
      </w:r>
    </w:p>
    <w:p w14:paraId="6727413B">
      <w:pPr>
        <w:pStyle w:val="4"/>
      </w:pPr>
      <w:r>
        <w:t>4.3 行走与转向机构原理</w:t>
      </w:r>
    </w:p>
    <w:p w14:paraId="657995B7">
      <w:r>
        <w:t>行走系统采用聚氨酯实心轮胎（轮径200-250mm，轮宽80-100mm），钢芯外包40-50mm厚聚氨酯层，具有耐磨（使用寿命≥5000小时）和减震特性。根据承载能力配置4-6轮结构，其中2-4个为驱动轮，其余为万向从动轮。转向通过“差速控制”实现：当转向指令触发时，控制器调节两侧驱动轮转速差（范围0-30rpm），最小转弯半径可达1.5-2倍车宽，支持原地360°旋转。部分车型配备液压转向装置，通过转向油缸推动转向节臂，使车轮偏转角达到±35°，进一步提升狭窄车间的 maneuverability。行走平稳性通过轮胎弹性变形实现，行驶过程中振幅≤60μm，确保铁芯叠片不发生错位。</w:t>
      </w:r>
    </w:p>
    <w:p w14:paraId="4A7F1DA5">
      <w:pPr>
        <w:pStyle w:val="4"/>
      </w:pPr>
      <w:r>
        <w:t>4.4 运动学特性分析</w:t>
      </w:r>
    </w:p>
    <w:p w14:paraId="0470A38B">
      <w:r>
        <w:t>移载车的运动学特性需满足铁芯转运的平稳性与精准性要求：</w:t>
      </w:r>
    </w:p>
    <w:p w14:paraId="2A14468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升降运动学</w:t>
      </w:r>
      <w:r>
        <w:t>：剪叉机构的升降高度H与油缸行程S满足H=2L·sinθ，其中θ为剪杆与水平线夹角（初始角15°-20°，最大角60°-70°）。当θ从30°增至60°时，高度变化率逐渐降低，需通过流量阀调节油缸进油量以保持升降速度均匀。</w:t>
      </w:r>
    </w:p>
    <w:p w14:paraId="598B8B24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行走动力学</w:t>
      </w:r>
      <w:r>
        <w:t>：启动阶段加速度≤0.2m/s²，避免铁芯因惯性滑动；制动时采用电磁制动器，制动距离≤0.5m（速度1m/s时）。驱动轮附着力需满足F=μ·N（μ为聚氨酯与轨道摩擦系数0.6-0.8，N为轮上载荷），确保满载时不打滑。</w:t>
      </w:r>
    </w:p>
    <w:p w14:paraId="79F2868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负载分布</w:t>
      </w:r>
      <w:r>
        <w:t>：当铁芯重心偏移量≤100mm时，平台倾斜角≤3°，通过台面防滑垫（摩擦系数≥0.6）与防护栏的配合，防止铁芯倾倒。静态载荷下，平台最大挠度≤3mm/m，确保铁芯平面度不受影响。</w:t>
      </w:r>
    </w:p>
    <w:p w14:paraId="3176DF82">
      <w:pPr>
        <w:pStyle w:val="3"/>
      </w:pPr>
      <w:r>
        <w:t>五、控制系统原理</w:t>
      </w:r>
    </w:p>
    <w:p w14:paraId="3021B677">
      <w:pPr>
        <w:pStyle w:val="4"/>
      </w:pPr>
      <w:r>
        <w:t>5.1 控制架构组成</w:t>
      </w:r>
    </w:p>
    <w:p w14:paraId="22FBECAF">
      <w:r>
        <w:t>移载车控制系统采用分层架构（图5-1），实现“规划-执行-反馈”的闭环控制：</w:t>
      </w:r>
    </w:p>
    <w:p w14:paraId="7762B83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控制层</w:t>
      </w:r>
      <w:r>
        <w:t>：以PLC为核心，主流采用汇川H5U系列EtherCAT总线小型PLC或西门子S7-1200系列，支持IEC 61131-3标准编程语言（梯形图、结构化文本）。程序容量≥2MB，可存储铁芯转运流程逻辑；典型I/O点数配置为32输入/32输出，预留20%扩展余量。部分高端系统集成边缘计算功能，实时处理10万条/秒的设备状态数据，并通过OPC UA协议上传至MES系统。</w:t>
      </w:r>
    </w:p>
    <w:p w14:paraId="154715F5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驱动层</w:t>
      </w:r>
      <w:r>
        <w:t>：包括伺服驱动器、变频器、液压控制器等，接收控制层指令并驱动执行机构。伺服驱动器支持位置、速度、转矩三种控制模式切换，响应时间≤100μs。</w:t>
      </w:r>
    </w:p>
    <w:p w14:paraId="4D40EC8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感知层</w:t>
      </w:r>
      <w:r>
        <w:t>：由激光扫描仪、RFID读卡器、称重传感器等组成，实时采集位置、状态、物料信息，为控制层提供决策依据。</w:t>
      </w:r>
    </w:p>
    <w:p w14:paraId="2812B71D">
      <w:pPr>
        <w:pStyle w:val="4"/>
      </w:pPr>
      <w:r>
        <w:t>5.2 伺服驱动系统</w:t>
      </w:r>
    </w:p>
    <w:p w14:paraId="6E6E5F6F">
      <w:r>
        <w:t>伺服驱动系统采用“PLC+伺服驱动器+永磁同步电机”的闭环控制架构（图5-2）：</w:t>
      </w:r>
    </w:p>
    <w:p w14:paraId="166CE718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驱动器</w:t>
      </w:r>
      <w:r>
        <w:t>：选用汇川IS620N系列或台达ASDA-A2系列，支持脉冲指令（频率≤2MHz）或总线通信控制。位置模式下，通过脉冲指令实现±0.1mm定位精度；速度模式采用模拟量（4-20mA）或总线通信实现0-2m/s无级调速；转矩模式通过电流闭环控制确保铁芯抓取时的平稳力输出（波动≤±5%额定转矩）。</w:t>
      </w:r>
    </w:p>
    <w:p w14:paraId="2B07C4C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电机</w:t>
      </w:r>
      <w:r>
        <w:t>：配备2500线增量式编码器或17位绝对值式编码器，实时反馈位置信号，形成位置环（控制周期1ms）、速度环（0.5ms）、电流环（0.1ms）的三环控制。电机绝缘等级为F级，温升限值105K，确保在连续运行工况下的稳定性。</w:t>
      </w:r>
    </w:p>
    <w:p w14:paraId="793E21AE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保护功能</w:t>
      </w:r>
      <w:r>
        <w:t>：集成过压（DC Bus电压＞400V）、过流（＞150%额定电流）、过载（＞120%持续1分钟）、编码器故障等保护，故障响应时间≤100ms，触发时立即切断输出并报警。</w:t>
      </w:r>
    </w:p>
    <w:p w14:paraId="473C454A">
      <w:pPr>
        <w:pStyle w:val="4"/>
      </w:pPr>
      <w:r>
        <w:t>5.3 传感器网络原理</w:t>
      </w:r>
    </w:p>
    <w:p w14:paraId="0FEDA708">
      <w:r>
        <w:t>传感器网络覆盖位置检测、安全防护、物料识别三类功能，关键参数见表5-1：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8192D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1C48F5F">
            <w:pPr>
              <w:jc w:val="center"/>
              <w:rPr>
                <w:b/>
              </w:rPr>
            </w:pPr>
            <w:r>
              <w:rPr>
                <w:b/>
              </w:rPr>
              <w:t>传感器类型</w:t>
            </w:r>
          </w:p>
        </w:tc>
        <w:tc>
          <w:tcPr>
            <w:tcW w:w="0" w:type="auto"/>
            <w:vAlign w:val="center"/>
          </w:tcPr>
          <w:p w14:paraId="6795F6C2">
            <w:pPr>
              <w:jc w:val="center"/>
              <w:rPr>
                <w:b/>
              </w:rPr>
            </w:pPr>
            <w:r>
              <w:rPr>
                <w:b/>
              </w:rPr>
              <w:t>核心参数</w:t>
            </w:r>
          </w:p>
        </w:tc>
        <w:tc>
          <w:tcPr>
            <w:tcW w:w="0" w:type="auto"/>
            <w:vAlign w:val="center"/>
          </w:tcPr>
          <w:p w14:paraId="67022B9D">
            <w:pPr>
              <w:jc w:val="center"/>
              <w:rPr>
                <w:b/>
              </w:rPr>
            </w:pPr>
            <w:r>
              <w:rPr>
                <w:b/>
              </w:rPr>
              <w:t>安装位置</w:t>
            </w:r>
          </w:p>
        </w:tc>
        <w:tc>
          <w:tcPr>
            <w:tcW w:w="0" w:type="auto"/>
            <w:vAlign w:val="center"/>
          </w:tcPr>
          <w:p w14:paraId="631831B0">
            <w:pPr>
              <w:jc w:val="center"/>
              <w:rPr>
                <w:b/>
              </w:rPr>
            </w:pPr>
            <w:r>
              <w:rPr>
                <w:b/>
              </w:rPr>
              <w:t>功能作用</w:t>
            </w:r>
          </w:p>
        </w:tc>
      </w:tr>
      <w:tr w14:paraId="733627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D3A678C">
            <w:r>
              <w:t>激光测距仪</w:t>
            </w:r>
          </w:p>
        </w:tc>
        <w:tc>
          <w:tcPr>
            <w:tcW w:w="0" w:type="auto"/>
            <w:vAlign w:val="center"/>
          </w:tcPr>
          <w:p w14:paraId="26DE27D5">
            <w:r>
              <w:t>测量范围0.1-50m，精度±1mm</w:t>
            </w:r>
          </w:p>
        </w:tc>
        <w:tc>
          <w:tcPr>
            <w:tcW w:w="0" w:type="auto"/>
            <w:vAlign w:val="center"/>
          </w:tcPr>
          <w:p w14:paraId="124F0C99">
            <w:r>
              <w:t>车体前后端</w:t>
            </w:r>
          </w:p>
        </w:tc>
        <w:tc>
          <w:tcPr>
            <w:tcW w:w="0" w:type="auto"/>
            <w:vAlign w:val="center"/>
          </w:tcPr>
          <w:p w14:paraId="6CB2BD93">
            <w:r>
              <w:t>巷道定位、障碍物检测</w:t>
            </w:r>
          </w:p>
        </w:tc>
      </w:tr>
      <w:tr w14:paraId="553D5E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DDCBECA">
            <w:r>
              <w:t>接近开关</w:t>
            </w:r>
          </w:p>
        </w:tc>
        <w:tc>
          <w:tcPr>
            <w:tcW w:w="0" w:type="auto"/>
            <w:vAlign w:val="center"/>
          </w:tcPr>
          <w:p w14:paraId="435488C0">
            <w:r>
              <w:t>检测距离5mm，响应时间≤1ms</w:t>
            </w:r>
          </w:p>
        </w:tc>
        <w:tc>
          <w:tcPr>
            <w:tcW w:w="0" w:type="auto"/>
            <w:vAlign w:val="center"/>
          </w:tcPr>
          <w:p w14:paraId="5EB7DAE0">
            <w:r>
              <w:t>车轮轴端、定位板</w:t>
            </w:r>
          </w:p>
        </w:tc>
        <w:tc>
          <w:tcPr>
            <w:tcW w:w="0" w:type="auto"/>
            <w:vAlign w:val="center"/>
          </w:tcPr>
          <w:p w14:paraId="7279F69A">
            <w:r>
              <w:t>停车到位信号、限位保护</w:t>
            </w:r>
          </w:p>
        </w:tc>
      </w:tr>
      <w:tr w14:paraId="12763C80">
        <w:tc>
          <w:tcPr>
            <w:tcW w:w="0" w:type="auto"/>
            <w:vAlign w:val="center"/>
          </w:tcPr>
          <w:p w14:paraId="08FA66CF">
            <w:r>
              <w:t>激光扫描仪</w:t>
            </w:r>
          </w:p>
        </w:tc>
        <w:tc>
          <w:tcPr>
            <w:tcW w:w="0" w:type="auto"/>
            <w:vAlign w:val="center"/>
          </w:tcPr>
          <w:p w14:paraId="0A366BD3">
            <w:r>
              <w:t>扫描角度270°，防护距离0-3m可调</w:t>
            </w:r>
          </w:p>
        </w:tc>
        <w:tc>
          <w:tcPr>
            <w:tcW w:w="0" w:type="auto"/>
            <w:vAlign w:val="center"/>
          </w:tcPr>
          <w:p w14:paraId="5DDD59E2">
            <w:r>
              <w:t>车体四周</w:t>
            </w:r>
          </w:p>
        </w:tc>
        <w:tc>
          <w:tcPr>
            <w:tcW w:w="0" w:type="auto"/>
            <w:vAlign w:val="center"/>
          </w:tcPr>
          <w:p w14:paraId="3FAC1D6A">
            <w:r>
              <w:t>安全区域防护，检测障碍物</w:t>
            </w:r>
          </w:p>
        </w:tc>
      </w:tr>
      <w:tr w14:paraId="052BB14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F52CF51">
            <w:r>
              <w:t>RFID读卡器</w:t>
            </w:r>
          </w:p>
        </w:tc>
        <w:tc>
          <w:tcPr>
            <w:tcW w:w="0" w:type="auto"/>
            <w:vAlign w:val="center"/>
          </w:tcPr>
          <w:p w14:paraId="55634D50">
            <w:r>
              <w:t>协议ISO 15693，读取距离50mm</w:t>
            </w:r>
          </w:p>
        </w:tc>
        <w:tc>
          <w:tcPr>
            <w:tcW w:w="0" w:type="auto"/>
            <w:vAlign w:val="center"/>
          </w:tcPr>
          <w:p w14:paraId="66332478">
            <w:r>
              <w:t>载物平台底部</w:t>
            </w:r>
          </w:p>
        </w:tc>
        <w:tc>
          <w:tcPr>
            <w:tcW w:w="0" w:type="auto"/>
            <w:vAlign w:val="center"/>
          </w:tcPr>
          <w:p w14:paraId="22037D90">
            <w:r>
              <w:t>铁芯批次信息识别，防错料</w:t>
            </w:r>
          </w:p>
        </w:tc>
      </w:tr>
      <w:tr w14:paraId="5D0CC72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C938F1">
            <w:r>
              <w:t>称重传感器</w:t>
            </w:r>
          </w:p>
        </w:tc>
        <w:tc>
          <w:tcPr>
            <w:tcW w:w="0" w:type="auto"/>
            <w:vAlign w:val="center"/>
          </w:tcPr>
          <w:p w14:paraId="3195BDB1">
            <w:r>
              <w:t>量程1吨/个，精度0.1%FS</w:t>
            </w:r>
          </w:p>
        </w:tc>
        <w:tc>
          <w:tcPr>
            <w:tcW w:w="0" w:type="auto"/>
            <w:vAlign w:val="center"/>
          </w:tcPr>
          <w:p w14:paraId="0CEEF305">
            <w:r>
              <w:t>平台四角</w:t>
            </w:r>
          </w:p>
        </w:tc>
        <w:tc>
          <w:tcPr>
            <w:tcW w:w="0" w:type="auto"/>
            <w:vAlign w:val="center"/>
          </w:tcPr>
          <w:p w14:paraId="6B8E1629">
            <w:r>
              <w:t>负载监测，超载报警</w:t>
            </w:r>
          </w:p>
        </w:tc>
      </w:tr>
    </w:tbl>
    <w:p w14:paraId="2293F064">
      <w:r>
        <w:t>激光扫描仪通过270°扫描形成安全防护区域，当检测到障碍物（如人员、设备）时，触发伺服驱动器立即制动（制动距离≤50mm）。RFID读卡器读取铁芯料框上的电子标签信息（包含物料型号、批次、重量），与PLC内预设信息比对，实现防错料功能，识别准确率≥99.9%。</w:t>
      </w:r>
    </w:p>
    <w:p w14:paraId="1AB37823">
      <w:pPr>
        <w:pStyle w:val="4"/>
      </w:pPr>
      <w:r>
        <w:t>5.4 通信与控制逻辑</w:t>
      </w:r>
    </w:p>
    <w:p w14:paraId="02992724">
      <w:r>
        <w:rPr>
          <w:b/>
        </w:rPr>
        <w:t>通信网络</w:t>
      </w:r>
      <w:r>
        <w:t>：采用“工业以太网+现场总线”混合架构，确保数据传输的实时性与可靠性：</w:t>
      </w:r>
    </w:p>
    <w:p w14:paraId="0CECAA22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EtherCAT总线</w:t>
      </w:r>
      <w:r>
        <w:t>：连接PLC与伺服驱动器，周期通信速率≤1ms，支持16轴同步控制（位置同步误差≤1μs）。</w:t>
      </w:r>
    </w:p>
    <w:p w14:paraId="1280835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Profinet</w:t>
      </w:r>
      <w:r>
        <w:t>：实现PLC与HMI、MES系统的通信，传输速率100Mbps，支持实时数据交换与远程监控。</w:t>
      </w:r>
    </w:p>
    <w:p w14:paraId="232C8365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Modbus TCP/IP</w:t>
      </w:r>
      <w:r>
        <w:t>：与RFID读卡器、称重仪表等智能设备通信，数据传输延迟≤50ms。</w:t>
      </w:r>
    </w:p>
    <w:p w14:paraId="4854BF22">
      <w:r>
        <w:rPr>
          <w:b/>
        </w:rPr>
        <w:t>控制逻辑</w:t>
      </w:r>
      <w:r>
        <w:t>：采用模块化编程，核心包括主程序模块、手动/自动切换模块、故障处理模块。主程序通过状态机实现流程控制（图5-3）：</w:t>
      </w:r>
    </w:p>
    <w:p w14:paraId="6A98D310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初始化状态</w:t>
      </w:r>
      <w:r>
        <w:t>：检测各传感器就绪信号（激光扫描仪正常、急停未触发、电池电量≥20%）。</w:t>
      </w:r>
    </w:p>
    <w:p w14:paraId="7A2E95D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待机状态</w:t>
      </w:r>
      <w:r>
        <w:t>：等待HMI或WMS的任务指令，接收铁芯转运目标工位信息。</w:t>
      </w:r>
    </w:p>
    <w:p w14:paraId="4004C92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取料状态</w:t>
      </w:r>
      <w:r>
        <w:t>：驱动伺服电机移动至取料位，激光传感器定位后，顶升机构下降承接铁芯，触发光电传感器确认物料到位。</w:t>
      </w:r>
    </w:p>
    <w:p w14:paraId="33228A8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输送状态</w:t>
      </w:r>
      <w:r>
        <w:t>：按预设路径行驶，通过编码器计算位移，每500ms更新位置数据，直线段速度1.2m/s，弯道0.5m/s。</w:t>
      </w:r>
    </w:p>
    <w:p w14:paraId="5C759855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对接状态</w:t>
      </w:r>
      <w:r>
        <w:t>：与目标设备对接，通过视觉定位补偿对接误差（±0.5mm），启动滚筒系统卸料。</w:t>
      </w:r>
    </w:p>
    <w:p w14:paraId="11AE5A70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完成状态</w:t>
      </w:r>
      <w:r>
        <w:t>：上传任务数据至MES，返回待机位。</w:t>
      </w:r>
    </w:p>
    <w:p w14:paraId="44E6A3F7">
      <w:pPr>
        <w:pStyle w:val="3"/>
      </w:pPr>
      <w:r>
        <w:t>六、常见故障分析</w:t>
      </w:r>
    </w:p>
    <w:p w14:paraId="62D9E48C">
      <w:pPr>
        <w:pStyle w:val="4"/>
      </w:pPr>
      <w:r>
        <w:t>6.1 机械故障类型与成因</w:t>
      </w:r>
    </w:p>
    <w:p w14:paraId="7757E950">
      <w:r>
        <w:rPr>
          <w:b/>
        </w:rPr>
        <w:t>结构故障</w:t>
      </w:r>
      <w:r>
        <w:t>：</w:t>
      </w:r>
    </w:p>
    <w:p w14:paraId="4B27A9D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车架焊接开裂</w:t>
      </w:r>
      <w:r>
        <w:t>：多发生于横梁与纵梁连接的应力集中部位，成因包括焊接工艺缺陷（如未开坡口、焊脚尺寸不足）、长期超载（超过额定载荷15%）或材料疲劳。开裂初期表现为车架异响，严重时出现铁芯倾斜，需通过磁粉探伤检测裂纹深度（超过3mm需停机维修）。</w:t>
      </w:r>
    </w:p>
    <w:p w14:paraId="22CE4C1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平台变形</w:t>
      </w:r>
      <w:r>
        <w:t>：静态载荷下挠度＞3mm/m，成因包括材料厚度不足（＜5mm）、支撑筋布置稀疏或长期超载。变形会导致铁芯放置不水平，影响后续叠片精度，需通过水平仪检测并采用火焰矫正或更换平台。</w:t>
      </w:r>
    </w:p>
    <w:p w14:paraId="30D67AE1">
      <w:r>
        <w:rPr>
          <w:b/>
        </w:rPr>
        <w:t>传动故障</w:t>
      </w:r>
      <w:r>
        <w:t>：</w:t>
      </w:r>
    </w:p>
    <w:p w14:paraId="2C0B69AE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齿轮箱异响</w:t>
      </w:r>
      <w:r>
        <w:t>：表现为周期性“咔咔”声，成因包括齿面磨损（超过0.2mm）、齿轮啮合间隙过大（＞0.1mm）或润滑油劣化（水分含量＞0.1%）。可通过听针判断异响位置，结合油样分析（NAS污染度＞8级）确认故障原因。</w:t>
      </w:r>
    </w:p>
    <w:p w14:paraId="7F754D2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链条断裂</w:t>
      </w:r>
      <w:r>
        <w:t>：销轴磨损量达0.5mm或链板变形超过1.5mm时，链条强度下降50%，易在启停冲击下断裂。此外，链条张紧度过低（垂度＞12mm）会导致跳齿，加剧磨损。</w:t>
      </w:r>
    </w:p>
    <w:p w14:paraId="1A74B710">
      <w:r>
        <w:rPr>
          <w:b/>
        </w:rPr>
        <w:t>定位故障</w:t>
      </w:r>
      <w:r>
        <w:t>：</w:t>
      </w:r>
    </w:p>
    <w:p w14:paraId="666CCE2B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导向轮磨损</w:t>
      </w:r>
      <w:r>
        <w:t>：直径偏差超过0.3mm时，移载车运行时横向偏移量超过±2mm，触发限位开关报警。导向轮聚氨酯层磨损（厚度＜20mm）会导致减震性能下降，产生冲击振动。</w:t>
      </w:r>
    </w:p>
    <w:p w14:paraId="370F0A06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轨道安装精度不足</w:t>
      </w:r>
      <w:r>
        <w:t>：直线度偏差＞0.5mm/m或接缝间隙＞1mm，会导致车轮通过时产生“颠簸”，影响定位精度，长期运行还会加剧车轮磨损。</w:t>
      </w:r>
    </w:p>
    <w:p w14:paraId="6F300DB3">
      <w:pPr>
        <w:pStyle w:val="4"/>
      </w:pPr>
      <w:r>
        <w:t>6.2 电气故障类型与成因</w:t>
      </w:r>
    </w:p>
    <w:p w14:paraId="102D36F3">
      <w:r>
        <w:rPr>
          <w:b/>
        </w:rPr>
        <w:t>传感器故障</w:t>
      </w:r>
      <w:r>
        <w:t>：</w:t>
      </w:r>
    </w:p>
    <w:p w14:paraId="57431231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光电开关误动作</w:t>
      </w:r>
      <w:r>
        <w:t>：检测距离从设计值3m衰减至1.5m以下，成因包括镜头粉尘堆积（厚度＞0.5mm）、光源老化（亮度下降30%）或背景光干扰（如阳光直射）。表现为定位超时或误触发，需定期清洁镜头（每月1次）并检查光源强度。</w:t>
      </w:r>
    </w:p>
    <w:p w14:paraId="36256565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编码器数据跳变</w:t>
      </w:r>
      <w:r>
        <w:t>：输出脉冲信号异常（如丢脉冲、数据突变），成因包括电缆屏蔽层破损（接地电阻＞100mΩ）、连接器接触不良（针脚氧化导致接触电阻＞50mΩ）或编码器内部轴承磨损。可通过示波器监测脉冲波形，正常波形应无畸变、占空比50%±5%。</w:t>
      </w:r>
    </w:p>
    <w:p w14:paraId="1C3E7171">
      <w:r>
        <w:rPr>
          <w:b/>
        </w:rPr>
        <w:t>驱动故障</w:t>
      </w:r>
      <w:r>
        <w:t>：</w:t>
      </w:r>
    </w:p>
    <w:p w14:paraId="25B0E3C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电机过热</w:t>
      </w:r>
      <w:r>
        <w:t>：绕组温度超过155℃（F级绝缘限值），成因包括散热不良（风扇堵塞、风道积尘）、电源电压不平衡（超过5%）或匝间短路（三相电阻不平衡度＞5%）。可用红外热像仪检测电机温度分布，异常热点温差＞20K提示故障。</w:t>
      </w:r>
    </w:p>
    <w:p w14:paraId="6388F68D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变频器过流报警</w:t>
      </w:r>
      <w:r>
        <w:t>：电流超过额定值1.5倍，成因包括电机堵转（如轨道卡滞）、功率模块损坏或驱动参数设置错误（如加速时间过短＜0.5s）。需检查电机转动灵活性，测量三相电流平衡度（不平衡度≤5%）。</w:t>
      </w:r>
    </w:p>
    <w:p w14:paraId="64421D0A">
      <w:r>
        <w:rPr>
          <w:b/>
        </w:rPr>
        <w:t>控制故障</w:t>
      </w:r>
      <w:r>
        <w:t>：</w:t>
      </w:r>
    </w:p>
    <w:p w14:paraId="1DB91BC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PLC模块故障</w:t>
      </w:r>
      <w:r>
        <w:t>：I/O信号丢失或程序死机，成因包括模块电源故障（电压波动超过±10%）、内部元件老化或程序错误（如死循环）。可通过STEP 7软件监控程序运行状态，清除CPU故障缓冲区信息尝试恢复。</w:t>
      </w:r>
    </w:p>
    <w:p w14:paraId="7E0B9F23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总线通信故障</w:t>
      </w:r>
      <w:r>
        <w:t>：PROFINET总线通信中断，表现为设备无响应或数据刷新异常，成因包括电缆弯曲疲劳（弯曲半径＜5倍电缆直径）、接头松动或交换机故障。可通过诊断工具（如PRONETA）检测总线负载率（应＜70%）和丢包率（应＜0.1%）。</w:t>
      </w:r>
    </w:p>
    <w:p w14:paraId="333D646B">
      <w:pPr>
        <w:pStyle w:val="4"/>
      </w:pPr>
      <w:r>
        <w:t>6.3 环境与操作故障成因</w:t>
      </w:r>
    </w:p>
    <w:p w14:paraId="52CF80A6">
      <w:r>
        <w:rPr>
          <w:b/>
        </w:rPr>
        <w:t>环境因素</w:t>
      </w:r>
      <w:r>
        <w:t>：</w:t>
      </w:r>
    </w:p>
    <w:p w14:paraId="101B10DE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高温</w:t>
      </w:r>
      <w:r>
        <w:t>：环境温度超过40℃时，电气元件寿命缩短50%，如伺服电机绕组温度每升高10℃，绝缘寿命减半；液压油黏度下降15%，导致升降速度不稳定。需加强车间通风（换气次数≥6次/小时）或安装空调系统。</w:t>
      </w:r>
    </w:p>
    <w:p w14:paraId="1C0AC6D4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粉尘</w:t>
      </w:r>
      <w:r>
        <w:t>：金属粉尘浓度超过8mg/m³时，机械运动部件磨损速率增加2倍，如齿轮箱内进入粉尘（粒径＞50μm）会导致齿面磨粒磨损，传感器镜头积尘影响检测精度。需定期清洁设备（每周1次），关键部位加装防尘罩。</w:t>
      </w:r>
    </w:p>
    <w:p w14:paraId="7F7CC08D">
      <w:r>
        <w:rPr>
          <w:b/>
        </w:rPr>
        <w:t>操作因素</w:t>
      </w:r>
      <w:r>
        <w:t>：</w:t>
      </w:r>
    </w:p>
    <w:p w14:paraId="7C164067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超载使用</w:t>
      </w:r>
      <w:r>
        <w:t>：超过额定载荷15%时，车架寿命缩短至设计值的50%，液压系统安全阀频繁动作，导致油温升高（超过60℃）。需通过称重传感器实时监测负载，设置三级报警（预警105%、报警110%、停机120%额定载荷）。</w:t>
      </w:r>
    </w:p>
    <w:p w14:paraId="7AC12F36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急停误触发</w:t>
      </w:r>
      <w:r>
        <w:t>：操作人员误碰急停按钮导致设备突然停机，影响生产节奏。需在急停按钮旁设置防护罩，并在HMI提示“急停触发位置”，便于快速排查。</w:t>
      </w:r>
    </w:p>
    <w:p w14:paraId="092D05C4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维护不到位</w:t>
      </w:r>
      <w:r>
        <w:t>：未按规程清洁传感器镜面（如每月未清洁）、润滑传动部件（链条每周未加脂），会导致故障发生率增加3倍。例如，编码器镜头积尘会导致信号丢失，链条缺油会加剧销轴磨损。</w:t>
      </w:r>
    </w:p>
    <w:p w14:paraId="2D9A23B2">
      <w:pPr>
        <w:pStyle w:val="3"/>
      </w:pPr>
      <w:r>
        <w:t>七、维护保养技术</w:t>
      </w:r>
    </w:p>
    <w:p w14:paraId="210D4785">
      <w:pPr>
        <w:pStyle w:val="4"/>
      </w:pPr>
      <w:r>
        <w:t>7.1 日常维护规范</w:t>
      </w:r>
    </w:p>
    <w:p w14:paraId="1D18674C">
      <w:r>
        <w:rPr>
          <w:b/>
        </w:rPr>
        <w:t>班前检查项目</w:t>
      </w:r>
      <w:r>
        <w:t>（操作人员执行）：</w:t>
      </w:r>
    </w:p>
    <w:p w14:paraId="490A90BB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机械系统</w:t>
      </w:r>
      <w:r>
        <w:t>：检查行走轮与轨道接触状态（无偏磨、轮缘磨损量≤0.3mm）、驱动电机异响（空载运行无异常噪音）、制动系统响应（按下急停按钮，制动距离≤0.5m）。</w:t>
      </w:r>
    </w:p>
    <w:p w14:paraId="2073B05A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电气系统</w:t>
      </w:r>
      <w:r>
        <w:t>：确认电池电量≥20%、HMI无报警信息、急停按钮未触发（触点闭合）。</w:t>
      </w:r>
    </w:p>
    <w:p w14:paraId="2F78D097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定位系统</w:t>
      </w:r>
      <w:r>
        <w:t>：激光扫描仪指示灯绿色常亮（无故障）、RFID读卡器能正常读取测试标签（识别率100%）。</w:t>
      </w:r>
    </w:p>
    <w:p w14:paraId="1DA89F66">
      <w:r>
        <w:rPr>
          <w:b/>
        </w:rPr>
        <w:t>班后维护项目</w:t>
      </w:r>
      <w:r>
        <w:t>（维护人员执行）：</w:t>
      </w:r>
    </w:p>
    <w:p w14:paraId="47343384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：使用压缩空气（压力0.4-0.6MPa）清洁轨道异物、传感器镜头（激光扫描仪、光电开关）及车体表面粉尘，重点清理导向槽内铁屑。</w:t>
      </w:r>
    </w:p>
    <w:p w14:paraId="150CA300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润滑</w:t>
      </w:r>
      <w:r>
        <w:t>：链条每周涂抹锂基润滑脂（NLGI 2级），润滑后空载运行5分钟确保油脂均匀分布，链条张紧度以垂度8-12mm为宜。</w:t>
      </w:r>
    </w:p>
    <w:p w14:paraId="1D6961BC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记录</w:t>
      </w:r>
      <w:r>
        <w:t>：填写《移载车日常维护台账》，记录运行时间、故障现象、维护内容，存档期限≥3年。</w:t>
      </w:r>
    </w:p>
    <w:p w14:paraId="38CF57DC">
      <w:pPr>
        <w:pStyle w:val="4"/>
      </w:pPr>
      <w:r>
        <w:t>7.2 定期检修周期与内容</w:t>
      </w:r>
    </w:p>
    <w:p w14:paraId="7E3184AC">
      <w:r>
        <w:t>按周期划分检修项目（表7-1）：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34A3B17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7BE8A6E">
            <w:pPr>
              <w:jc w:val="center"/>
              <w:rPr>
                <w:b/>
              </w:rPr>
            </w:pPr>
            <w:r>
              <w:rPr>
                <w:b/>
              </w:rPr>
              <w:t>检修级别</w:t>
            </w:r>
          </w:p>
        </w:tc>
        <w:tc>
          <w:tcPr>
            <w:tcW w:w="0" w:type="auto"/>
            <w:vAlign w:val="center"/>
          </w:tcPr>
          <w:p w14:paraId="48C48BB3">
            <w:pPr>
              <w:jc w:val="center"/>
              <w:rPr>
                <w:b/>
              </w:rPr>
            </w:pPr>
            <w:r>
              <w:rPr>
                <w:b/>
              </w:rPr>
              <w:t>周期</w:t>
            </w:r>
          </w:p>
        </w:tc>
        <w:tc>
          <w:tcPr>
            <w:tcW w:w="0" w:type="auto"/>
            <w:vAlign w:val="center"/>
          </w:tcPr>
          <w:p w14:paraId="5FA9BD07">
            <w:pPr>
              <w:jc w:val="center"/>
              <w:rPr>
                <w:b/>
              </w:rPr>
            </w:pPr>
            <w:r>
              <w:rPr>
                <w:b/>
              </w:rPr>
              <w:t>核心检修内容</w:t>
            </w:r>
          </w:p>
        </w:tc>
      </w:tr>
      <w:tr w14:paraId="1DFDBA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A0DF0E3">
            <w:r>
              <w:t>月度检修</w:t>
            </w:r>
          </w:p>
        </w:tc>
        <w:tc>
          <w:tcPr>
            <w:tcW w:w="0" w:type="auto"/>
            <w:vAlign w:val="center"/>
          </w:tcPr>
          <w:p w14:paraId="41A567F7">
            <w:r>
              <w:t>每月</w:t>
            </w:r>
          </w:p>
        </w:tc>
        <w:tc>
          <w:tcPr>
            <w:tcW w:w="0" w:type="auto"/>
            <w:vAlign w:val="center"/>
          </w:tcPr>
          <w:p w14:paraId="47AE74F7">
            <w:r>
              <w:t>轴承温升检测（运行时≤40K）、减速器油位检查（油面高于检视窗1/2）、导向轮侧向间隙测量（0.5-1mm）</w:t>
            </w:r>
          </w:p>
        </w:tc>
      </w:tr>
      <w:tr w14:paraId="74E396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DC56D23">
            <w:r>
              <w:t>季度检修</w:t>
            </w:r>
          </w:p>
        </w:tc>
        <w:tc>
          <w:tcPr>
            <w:tcW w:w="0" w:type="auto"/>
            <w:vAlign w:val="center"/>
          </w:tcPr>
          <w:p w14:paraId="697FD181">
            <w:r>
              <w:t>每3月</w:t>
            </w:r>
          </w:p>
        </w:tc>
        <w:tc>
          <w:tcPr>
            <w:tcW w:w="0" w:type="auto"/>
            <w:vAlign w:val="center"/>
          </w:tcPr>
          <w:p w14:paraId="6E1C05DB">
            <w:r>
              <w:t>齿轮箱油样分析（水分≤0.1%，污染度NAS 8级以下）、制动片磨损量检测（厚度≥原厚度60%）、电缆拖链检查（每米松动链节≤1处）</w:t>
            </w:r>
          </w:p>
        </w:tc>
      </w:tr>
      <w:tr w14:paraId="798FF9E2">
        <w:tc>
          <w:tcPr>
            <w:tcW w:w="0" w:type="auto"/>
            <w:vAlign w:val="center"/>
          </w:tcPr>
          <w:p w14:paraId="20BAA210">
            <w:r>
              <w:t>年度大修</w:t>
            </w:r>
          </w:p>
        </w:tc>
        <w:tc>
          <w:tcPr>
            <w:tcW w:w="0" w:type="auto"/>
            <w:vAlign w:val="center"/>
          </w:tcPr>
          <w:p w14:paraId="1301DEAA">
            <w:r>
              <w:t>每年</w:t>
            </w:r>
          </w:p>
        </w:tc>
        <w:tc>
          <w:tcPr>
            <w:tcW w:w="0" w:type="auto"/>
            <w:vAlign w:val="center"/>
          </w:tcPr>
          <w:p w14:paraId="4F75C285">
            <w:r>
              <w:t>电机绝缘电阻测试（冷态≥50MΩ）、车架结构应力检测（关键焊缝磁粉探伤无裂纹）、PLC程序备份与I/O点校验（准确率100%）</w:t>
            </w:r>
          </w:p>
        </w:tc>
      </w:tr>
    </w:tbl>
    <w:p w14:paraId="7061EC05">
      <w:r>
        <w:rPr>
          <w:b/>
        </w:rPr>
        <w:t>专项检修</w:t>
      </w:r>
      <w:r>
        <w:t>：</w:t>
      </w:r>
    </w:p>
    <w:p w14:paraId="330765D3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：每半年更换46号抗磨液压油（黏度指数VI≥140），清洗油箱过滤器（过滤精度10μm），检查密封件老化情况（硬度变化≤10 Shore A）。</w:t>
      </w:r>
    </w:p>
    <w:p w14:paraId="11374033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电池维护</w:t>
      </w:r>
      <w:r>
        <w:t>：蓄电池每3月进行均衡充电（电压差≤50mV），检测单体电池电压（12V电池≥12.5V），寿命到期（充放电循环＞1000次）及时更换。</w:t>
      </w:r>
    </w:p>
    <w:p w14:paraId="2F0409DA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轨道校准</w:t>
      </w:r>
      <w:r>
        <w:t>：每半年测量轨道直线度（误差≤0.5mm/m）、平行度（误差≤2mm/5m），调整轨道支撑螺栓，消除沉降导致的变形。</w:t>
      </w:r>
    </w:p>
    <w:p w14:paraId="2FA818EF">
      <w:pPr>
        <w:pStyle w:val="4"/>
      </w:pPr>
      <w:r>
        <w:t>7.3 故障处理流程</w:t>
      </w:r>
    </w:p>
    <w:p w14:paraId="2B558A45">
      <w:r>
        <w:t>采用三级响应机制处理故障：</w:t>
      </w:r>
    </w:p>
    <w:p w14:paraId="434B4131">
      <w:r>
        <w:rPr>
          <w:b/>
        </w:rPr>
        <w:t>一级故障</w:t>
      </w:r>
      <w:r>
        <w:t>（操作人员现场处置）：</w:t>
      </w:r>
    </w:p>
    <w:p w14:paraId="7E31318C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：定位超时、急停触发、传感器误报警等轻微故障。</w:t>
      </w:r>
    </w:p>
    <w:p w14:paraId="28B62A20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处置流程</w:t>
      </w:r>
      <w:r>
        <w:t>：立即按下急停按钮→检查轨道障碍物（如铁屑、工具）→清洁传感器镜头→通过HMI复位故障→尝试重新运行→记录故障代码（如E012表示激光传感器故障）。</w:t>
      </w:r>
    </w:p>
    <w:p w14:paraId="1D42DCBF">
      <w:r>
        <w:rPr>
          <w:b/>
        </w:rPr>
        <w:t>二级故障</w:t>
      </w:r>
      <w:r>
        <w:t>（维护人员介入）：</w:t>
      </w:r>
    </w:p>
    <w:p w14:paraId="0F161DBE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：电机过载、减速器异响、链条跳齿等功能性故障。</w:t>
      </w:r>
    </w:p>
    <w:p w14:paraId="3E69256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处置流程</w:t>
      </w:r>
      <w:r>
        <w:t>：隔离故障设备（切断主电源并挂牌）→使用红外热像仪检测电机温度（异常热点温差＞20K）→通过听针判断齿轮啮合状态→更换过载保护器（设定值为额定电流的1.2倍）或张紧链条→空载试运行3次确认恢复。</w:t>
      </w:r>
    </w:p>
    <w:p w14:paraId="4C88B9E1">
      <w:r>
        <w:rPr>
          <w:b/>
        </w:rPr>
        <w:t>三级故障</w:t>
      </w:r>
      <w:r>
        <w:t>（联合抢修）：</w:t>
      </w:r>
    </w:p>
    <w:p w14:paraId="3EBF94EF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：车架变形、PLC死机、驱动模块损坏等严重故障。</w:t>
      </w:r>
    </w:p>
    <w:p w14:paraId="3B49E734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处置流程</w:t>
      </w:r>
      <w:r>
        <w:t>：启用备用移载车保障生产→机械团队使用水平仪校正车架水平度（偏差≤0.5mm/m）→电气团队通过STEP 7软件监控PLC程序运行状态，清除CPU故障缓冲区→更换损坏模块（如伺服驱动器）→系统联调（与MES通信测试、定位精度校验）→恢复生产。</w:t>
      </w:r>
    </w:p>
    <w:p w14:paraId="4CFF0FDD">
      <w:r>
        <w:rPr>
          <w:b/>
        </w:rPr>
        <w:t>典型故障案例</w:t>
      </w:r>
      <w:r>
        <w:t>：移载车行走卡顿，检查发现轨道接头错位（高差＞0.3mm），处理方法：使用塞铁片找平轨道→焊接加固接缝→打磨过渡坡口（45度）→试运行确认卡顿消除。</w:t>
      </w:r>
    </w:p>
    <w:p w14:paraId="7EBAC4D8">
      <w:pPr>
        <w:pStyle w:val="4"/>
      </w:pPr>
      <w:r>
        <w:t>7.4 维护安全规范</w:t>
      </w:r>
    </w:p>
    <w:p w14:paraId="11E1D142">
      <w:r>
        <w:t>维护过程中需严格执行安全措施，预防机械伤害与电气事故：</w:t>
      </w:r>
    </w:p>
    <w:p w14:paraId="50E68E7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能量隔离</w:t>
      </w:r>
      <w:r>
        <w:t>：进行机械维修前，断开主电源并悬挂“禁止合闸”警示牌，拔出电池插头；液压系统维修前，通过泄压阀释放系统压力（压力≤0.5MPa）。</w:t>
      </w:r>
    </w:p>
    <w:p w14:paraId="434A929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高空作业</w:t>
      </w:r>
      <w:r>
        <w:t>：检修顶部机构时，需搭设脚手架（高度＞1.5m）或使用登高平台，佩戴安全带（双钩式，固定于牢固结构），禁止攀爬车体。</w:t>
      </w:r>
    </w:p>
    <w:p w14:paraId="01285582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电气安全</w:t>
      </w:r>
      <w:r>
        <w:t>：测量绝缘电阻时使用2500V兆欧表，戴绝缘手套；更换PLC模块前，先释放人体静电（触摸接地体）；潮湿环境作业时，使用绝缘垫（厚度≥5mm）。</w:t>
      </w:r>
    </w:p>
    <w:p w14:paraId="621C9377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应急预案</w:t>
      </w:r>
      <w:r>
        <w:t>：制定触电、机械伤害急救流程，配备急救箱（含止血带、烧伤膏），定期组织演练（每季度1次）。例如，发生触电事故时，立即切断电源，对伤者进行心肺复苏并拨打急救电话。</w:t>
      </w:r>
    </w:p>
    <w:p w14:paraId="1E427001">
      <w:pPr>
        <w:pStyle w:val="3"/>
      </w:pPr>
      <w:r>
        <w:t>八、全生命周期管理</w:t>
      </w:r>
    </w:p>
    <w:p w14:paraId="58FBD11D">
      <w:pPr>
        <w:pStyle w:val="4"/>
      </w:pPr>
      <w:r>
        <w:t>8.1 报废标准</w:t>
      </w:r>
    </w:p>
    <w:p w14:paraId="7D160601">
      <w:r>
        <w:t>移载车达到以下条件之一时需报废：</w:t>
      </w:r>
    </w:p>
    <w:p w14:paraId="2D030F09">
      <w:r>
        <w:rPr>
          <w:b/>
        </w:rPr>
        <w:t>结构报废</w:t>
      </w:r>
      <w:r>
        <w:t>：</w:t>
      </w:r>
    </w:p>
    <w:p w14:paraId="7F8BF047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车架焊接裂纹深度＞3mm或长度＞50mm，无法修复；</w:t>
      </w:r>
    </w:p>
    <w:p w14:paraId="542A1DD5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载货平台变形量超过对角线长度2%（如1200mm×1000mm托盘对角线变形＞26mm）；</w:t>
      </w:r>
    </w:p>
    <w:p w14:paraId="7D99CCFB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t>支撑脚断裂或脱落，影响承载稳定性。</w:t>
      </w:r>
    </w:p>
    <w:p w14:paraId="53513288">
      <w:r>
        <w:rPr>
          <w:b/>
        </w:rPr>
        <w:t>功能报废</w:t>
      </w:r>
      <w:r>
        <w:t>：</w:t>
      </w:r>
    </w:p>
    <w:p w14:paraId="59CB4458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动态承载能力降至额定值70%以下（如原动载5吨降至3.5吨以下）；</w:t>
      </w:r>
    </w:p>
    <w:p w14:paraId="7252629C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定位精度＞±5mm，经调试无法恢复；</w:t>
      </w:r>
    </w:p>
    <w:p w14:paraId="4C8EA003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t>RFID标签、称重传感器等关键功能部件失效，且更换成本超过新设备30%。</w:t>
      </w:r>
    </w:p>
    <w:p w14:paraId="357CCC0A">
      <w:r>
        <w:rPr>
          <w:b/>
        </w:rPr>
        <w:t>材料劣化报废</w:t>
      </w:r>
      <w:r>
        <w:t>：</w:t>
      </w:r>
    </w:p>
    <w:p w14:paraId="36602895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电机绕组绝缘电阻冷态＜5MΩ或热态＜1MΩ，绝缘老化无法修复；</w:t>
      </w:r>
    </w:p>
    <w:p w14:paraId="0EF6A395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车架锈蚀穿孔（锈蚀深度＞1mm），结构强度下降50%；</w:t>
      </w:r>
    </w:p>
    <w:p w14:paraId="30860B6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t>蓄电池容量衰减至额定值60%以下，充放电循环＞1000次。</w:t>
      </w:r>
    </w:p>
    <w:p w14:paraId="5DBBC9B5">
      <w:r>
        <w:t>报废检测方法包括：超声波探伤（检测钢制部件内部裂纹）、静载试验（5吨载荷持压24小时，变形量＞3%即报废）、表面电阻测试（电机绕组对地绝缘电阻）。报废判定需填写《移载车报废申请表》，经设备工程师审核后执行。</w:t>
      </w:r>
    </w:p>
    <w:p w14:paraId="0616564B">
      <w:pPr>
        <w:pStyle w:val="4"/>
      </w:pPr>
      <w:r>
        <w:t>8.2 更新周期管理</w:t>
      </w:r>
    </w:p>
    <w:p w14:paraId="2410F102">
      <w:r>
        <w:t>移载车更新周期根据材质、使用频率、环境条件动态调整：</w:t>
      </w:r>
    </w:p>
    <w:p w14:paraId="1CEF81D2">
      <w:r>
        <w:rPr>
          <w:b/>
        </w:rPr>
        <w:t>基础更新周期</w:t>
      </w:r>
      <w:r>
        <w:t>：</w:t>
      </w:r>
    </w:p>
    <w:p w14:paraId="41127375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钢制结构部件：8-10年；</w:t>
      </w:r>
    </w:p>
    <w:p w14:paraId="7A3E6123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不锈钢部件（如紧固件、传感器支架）：15-20年；</w:t>
      </w:r>
    </w:p>
    <w:p w14:paraId="148FED06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电气元件（PLC、伺服驱动器）：5-7年；</w:t>
      </w:r>
    </w:p>
    <w:p w14:paraId="64D6DD59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t>蓄电池：3-5年（充放电循环1000次）。</w:t>
      </w:r>
    </w:p>
    <w:p w14:paraId="5FFC1082">
      <w:r>
        <w:rPr>
          <w:b/>
        </w:rPr>
        <w:t>使用频率调整</w:t>
      </w:r>
      <w:r>
        <w:t>：日均周转次数＞3次的移载车，更新周期缩短20%；连续运行时间＞16小时/天的设备，电气元件更新周期缩短30%。</w:t>
      </w:r>
    </w:p>
    <w:p w14:paraId="6921EC4D">
      <w:r>
        <w:rPr>
          <w:b/>
        </w:rPr>
        <w:t>环境条件调整</w:t>
      </w:r>
      <w:r>
        <w:t>：高温（＞40℃）或高湿（＞75%）环境，塑料部件（如导向轮）更新周期缩短30%；沿海高盐雾环境，钢制结构更新周期缩短25%。</w:t>
      </w:r>
    </w:p>
    <w:p w14:paraId="4815A748">
      <w:r>
        <w:t>更新计划需纳入年度设备维护预算，采用“批次更换”策略（每次更换不超过总量的1/3），避免系统停机。更新后，旧设备可回收利用：金属部件熔炼再利用（回炉价值约1000元/吨），电气元件拆解回收有色金属（如铜、铝）。</w:t>
      </w:r>
    </w:p>
    <w:p w14:paraId="45C5F272">
      <w:pPr>
        <w:pStyle w:val="4"/>
      </w:pPr>
      <w:r>
        <w:t>8.3 成本控制策略</w:t>
      </w:r>
    </w:p>
    <w:p w14:paraId="4E9D0F0B">
      <w:r>
        <w:t>全生命周期成本控制需覆盖采购、运维、处置三个阶段：</w:t>
      </w:r>
    </w:p>
    <w:p w14:paraId="6AC6DE0F">
      <w:r>
        <w:rPr>
          <w:b/>
        </w:rPr>
        <w:t>采购阶段</w:t>
      </w:r>
      <w:r>
        <w:t>：</w:t>
      </w:r>
    </w:p>
    <w:p w14:paraId="7D832FE5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采用“性价比优先”原则，避免盲目追求高端配置。例如，纯原料HDPE导向轮单价300元/个，寿命5年，年均成本60元；含30%再生料导向轮单价200元/个，寿命2年，年均成本100元，长期使用纯原料更经济。</w:t>
      </w:r>
    </w:p>
    <w:p w14:paraId="685D2670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t>选择模块化设计设备，便于部件更换，降低维修成本。例如，三合一驱动轮（集成电机、减速器、制动器）更换时间＜2小时，比分体式结构节省50%维修工时。</w:t>
      </w:r>
    </w:p>
    <w:p w14:paraId="79B284A6">
      <w:r>
        <w:rPr>
          <w:b/>
        </w:rPr>
        <w:t>运维阶段</w:t>
      </w:r>
      <w:r>
        <w:t>：</w:t>
      </w:r>
    </w:p>
    <w:p w14:paraId="06DA5007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实施分级维修：轻微故障（如传感器清洁）采用现场修复（成本30元/次）；严重故障（如齿轮箱损坏）更换模块化部件（如齿轮箱组件2000元/个），比整体更换节省60%成本。</w:t>
      </w:r>
    </w:p>
    <w:p w14:paraId="10E774A2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t>数字化管理：通过RFID记录设备使用次数、载荷历史，预测维护需求（如每万次周转进行结构探伤），使故障维修成本降低25%。</w:t>
      </w:r>
    </w:p>
    <w:p w14:paraId="7AE574BF">
      <w:r>
        <w:rPr>
          <w:b/>
        </w:rPr>
        <w:t>处置阶段</w:t>
      </w:r>
      <w:r>
        <w:t>：</w:t>
      </w:r>
    </w:p>
    <w:p w14:paraId="2AABDFB7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报废设备回收：塑料部件交由有资质企业粉碎造粒（回收收益约50元/个），金属部件熔炼再利用（回炉价值约1000元/吨）；</w:t>
      </w:r>
    </w:p>
    <w:p w14:paraId="52A0FCBC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t>环保处置：废弃液压油需交由危废处理单位回收（成本200元/桶），避免环境污染罚款。</w:t>
      </w:r>
    </w:p>
    <w:p w14:paraId="1B86BBAC">
      <w:r>
        <w:t>通过全生命周期成本分析，标准化移载车年均成本可控制在5000元以内，比非标准化设备低40%。</w:t>
      </w:r>
    </w:p>
    <w:p w14:paraId="6CC72E58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F6506"/>
    <w:multiLevelType w:val="singleLevel"/>
    <w:tmpl w:val="9F6F65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CFAB92B"/>
    <w:multiLevelType w:val="singleLevel"/>
    <w:tmpl w:val="ACFAB9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4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5">
    <w:nsid w:val="D73072AF"/>
    <w:multiLevelType w:val="singleLevel"/>
    <w:tmpl w:val="D73072A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D3A7A35"/>
    <w:multiLevelType w:val="singleLevel"/>
    <w:tmpl w:val="DD3A7A3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EDE4B68"/>
    <w:multiLevelType w:val="singleLevel"/>
    <w:tmpl w:val="DEDE4B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E3FB42CE"/>
    <w:multiLevelType w:val="singleLevel"/>
    <w:tmpl w:val="E3FB42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EF6C83E2"/>
    <w:multiLevelType w:val="singleLevel"/>
    <w:tmpl w:val="EF6C83E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EFFF1515"/>
    <w:multiLevelType w:val="singleLevel"/>
    <w:tmpl w:val="EFFF15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3FED5E4"/>
    <w:multiLevelType w:val="singleLevel"/>
    <w:tmpl w:val="F3FED5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3">
    <w:nsid w:val="F4BEF574"/>
    <w:multiLevelType w:val="singleLevel"/>
    <w:tmpl w:val="F4BEF5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FB7E087A"/>
    <w:multiLevelType w:val="singleLevel"/>
    <w:tmpl w:val="FB7E087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FBEE927F"/>
    <w:multiLevelType w:val="singleLevel"/>
    <w:tmpl w:val="FBEE927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FC77FED9"/>
    <w:multiLevelType w:val="singleLevel"/>
    <w:tmpl w:val="FC77FED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FCECD153"/>
    <w:multiLevelType w:val="singleLevel"/>
    <w:tmpl w:val="FCECD1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FD3B2FA4"/>
    <w:multiLevelType w:val="singleLevel"/>
    <w:tmpl w:val="FD3B2F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20">
    <w:nsid w:val="FEEC7890"/>
    <w:multiLevelType w:val="singleLevel"/>
    <w:tmpl w:val="FEEC78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EEE8E8A"/>
    <w:multiLevelType w:val="singleLevel"/>
    <w:tmpl w:val="FEEE8E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F6F1B58"/>
    <w:multiLevelType w:val="singleLevel"/>
    <w:tmpl w:val="FF6F1B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4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25">
    <w:nsid w:val="FFAE6F8D"/>
    <w:multiLevelType w:val="singleLevel"/>
    <w:tmpl w:val="FFAE6F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FBCCA0F"/>
    <w:multiLevelType w:val="singleLevel"/>
    <w:tmpl w:val="FFBCCA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FF696E8"/>
    <w:multiLevelType w:val="singleLevel"/>
    <w:tmpl w:val="FFF696E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FFF6A60"/>
    <w:multiLevelType w:val="singleLevel"/>
    <w:tmpl w:val="FFFF6A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30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1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2">
    <w:nsid w:val="5BFEDAEE"/>
    <w:multiLevelType w:val="singleLevel"/>
    <w:tmpl w:val="5BFEDA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69F5BFAE"/>
    <w:multiLevelType w:val="singleLevel"/>
    <w:tmpl w:val="69F5BF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6FDEFE74"/>
    <w:multiLevelType w:val="singleLevel"/>
    <w:tmpl w:val="6FDEFE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36">
    <w:nsid w:val="77E6A7C7"/>
    <w:multiLevelType w:val="singleLevel"/>
    <w:tmpl w:val="77E6A7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7">
    <w:nsid w:val="7EE25B8E"/>
    <w:multiLevelType w:val="singleLevel"/>
    <w:tmpl w:val="7EE25B8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39">
    <w:nsid w:val="7F97AC71"/>
    <w:multiLevelType w:val="singleLevel"/>
    <w:tmpl w:val="7F97AC7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0">
    <w:nsid w:val="7FD54057"/>
    <w:multiLevelType w:val="singleLevel"/>
    <w:tmpl w:val="7FD5405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7FF6369C"/>
    <w:multiLevelType w:val="singleLevel"/>
    <w:tmpl w:val="7FF636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31"/>
  </w:num>
  <w:num w:numId="2">
    <w:abstractNumId w:val="38"/>
  </w:num>
  <w:num w:numId="3">
    <w:abstractNumId w:val="3"/>
  </w:num>
  <w:num w:numId="4">
    <w:abstractNumId w:val="29"/>
  </w:num>
  <w:num w:numId="5">
    <w:abstractNumId w:val="19"/>
  </w:num>
  <w:num w:numId="6">
    <w:abstractNumId w:val="35"/>
  </w:num>
  <w:num w:numId="7">
    <w:abstractNumId w:val="12"/>
  </w:num>
  <w:num w:numId="8">
    <w:abstractNumId w:val="30"/>
  </w:num>
  <w:num w:numId="9">
    <w:abstractNumId w:val="23"/>
  </w:num>
  <w:num w:numId="10">
    <w:abstractNumId w:val="24"/>
  </w:num>
  <w:num w:numId="11">
    <w:abstractNumId w:val="4"/>
  </w:num>
  <w:num w:numId="12">
    <w:abstractNumId w:val="1"/>
  </w:num>
  <w:num w:numId="13">
    <w:abstractNumId w:val="20"/>
  </w:num>
  <w:num w:numId="14">
    <w:abstractNumId w:val="18"/>
  </w:num>
  <w:num w:numId="15">
    <w:abstractNumId w:val="11"/>
  </w:num>
  <w:num w:numId="16">
    <w:abstractNumId w:val="8"/>
  </w:num>
  <w:num w:numId="17">
    <w:abstractNumId w:val="0"/>
  </w:num>
  <w:num w:numId="18">
    <w:abstractNumId w:val="37"/>
  </w:num>
  <w:num w:numId="19">
    <w:abstractNumId w:val="36"/>
  </w:num>
  <w:num w:numId="20">
    <w:abstractNumId w:val="39"/>
  </w:num>
  <w:num w:numId="21">
    <w:abstractNumId w:val="5"/>
  </w:num>
  <w:num w:numId="22">
    <w:abstractNumId w:val="21"/>
  </w:num>
  <w:num w:numId="23">
    <w:abstractNumId w:val="27"/>
  </w:num>
  <w:num w:numId="24">
    <w:abstractNumId w:val="2"/>
  </w:num>
  <w:num w:numId="25">
    <w:abstractNumId w:val="26"/>
  </w:num>
  <w:num w:numId="26">
    <w:abstractNumId w:val="6"/>
  </w:num>
  <w:num w:numId="27">
    <w:abstractNumId w:val="32"/>
  </w:num>
  <w:num w:numId="28">
    <w:abstractNumId w:val="22"/>
  </w:num>
  <w:num w:numId="29">
    <w:abstractNumId w:val="10"/>
  </w:num>
  <w:num w:numId="30">
    <w:abstractNumId w:val="25"/>
  </w:num>
  <w:num w:numId="31">
    <w:abstractNumId w:val="7"/>
  </w:num>
  <w:num w:numId="32">
    <w:abstractNumId w:val="13"/>
  </w:num>
  <w:num w:numId="33">
    <w:abstractNumId w:val="34"/>
  </w:num>
  <w:num w:numId="34">
    <w:abstractNumId w:val="17"/>
  </w:num>
  <w:num w:numId="35">
    <w:abstractNumId w:val="41"/>
  </w:num>
  <w:num w:numId="36">
    <w:abstractNumId w:val="9"/>
  </w:num>
  <w:num w:numId="37">
    <w:abstractNumId w:val="15"/>
  </w:num>
  <w:num w:numId="38">
    <w:abstractNumId w:val="33"/>
  </w:num>
  <w:num w:numId="39">
    <w:abstractNumId w:val="28"/>
  </w:num>
  <w:num w:numId="40">
    <w:abstractNumId w:val="40"/>
  </w:num>
  <w:num w:numId="41">
    <w:abstractNumId w:val="14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86A71AB"/>
    <w:rsid w:val="7B77B008"/>
    <w:rsid w:val="7FF6C12C"/>
    <w:rsid w:val="BCB98261"/>
    <w:rsid w:val="F3EB132D"/>
    <w:rsid w:val="FB7FEB32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2025-10-02T16:24:52Z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58ACFDA1D52BFC79D436DE68D85B500A_43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