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39E3CD">
      <w:pPr>
        <w:pStyle w:val="2"/>
      </w:pPr>
    </w:p>
    <w:p w14:paraId="620C867F">
      <w:pPr>
        <w:pStyle w:val="2"/>
      </w:pPr>
    </w:p>
    <w:p w14:paraId="5C96938B">
      <w:pPr>
        <w:pStyle w:val="2"/>
      </w:pPr>
      <w:r>
        <w:t>干变铁芯车间产线-铁芯集送线卸料车技术分析报告</w:t>
      </w:r>
    </w:p>
    <w:p w14:paraId="32EF19E5">
      <w:pPr>
        <w:pStyle w:val="3"/>
      </w:pPr>
      <w:r>
        <w:t>一、设备概述与技术参数</w:t>
      </w:r>
    </w:p>
    <w:p w14:paraId="69FAE914">
      <w:pPr>
        <w:pStyle w:val="4"/>
      </w:pPr>
      <w:r>
        <w:t>1.1 卸料车在铁芯集送线中的功能定位</w:t>
      </w:r>
    </w:p>
    <w:p w14:paraId="1AD3E576">
      <w:r>
        <w:t>干变铁芯集送线卸料车是干式变压器铁芯生产过程中的关键转运设备，主要承担铁芯从叠片工序至后续加工工序（如固化、装配）的自动化转运及精准卸料任务，是衔接产线各环节的核心枢纽。在干式变压器铁芯生产流程中，经叠片工序完成的铁芯需通过集送线输送至不同工位进行后续处理，卸料车作为集送线的终端执行设备，其核心功能包括三大方面：一是实现铁芯物料的稳定承接，通过与上游输送带的精准对接，确保铁芯从输送带到卸料车平台的平稳过渡；二是完成卸料方向的快速切换，通过双卸料口设计，可在不停机状态下将铁芯转运至左侧或右侧暂存区，大幅提升产线流转效率；三是保障铁芯转运过程中的姿态稳定，通过定位导向与安全防护系统，避免铁芯在转运及卸料过程中发生偏移、碰撞或损伤，确保产品质量。</w:t>
      </w:r>
    </w:p>
    <w:p w14:paraId="23C71A2C">
      <w:r>
        <w:t>从产线布局关联性来看，卸料车前端衔接铁芯叠片机组的输出输送带，后端对接左侧固化区暂存架与右侧装配区上料辊道，形成“叠片-转运-暂存/装配”的连续化生产链路。在实际生产中，当叠片机组完成一榀铁芯的叠装后，输送带将铁芯输送至卸料车承接平台，卸料车根据下游工序需求（如固化区当前空闲则切换至左卸料口，装配区待料则切换至右卸料口），通过机械结构与自动化控制系统协同动作，将铁芯精准卸至目标工位。其运行效率直接影响产线整体节拍，据行业经验数据，配置双卸料口的卸料车可使铁芯转运环节设备利用率提升40%，较传统单口卸料设备减少停机换料时间约300小时/年，对干变铁芯车间的连续化生产具有重要支撑作用。</w:t>
      </w:r>
    </w:p>
    <w:p w14:paraId="67F12358">
      <w:pPr>
        <w:pStyle w:val="4"/>
      </w:pPr>
      <w:r>
        <w:t>1.2 主要技术性能指标</w:t>
      </w:r>
    </w:p>
    <w:p w14:paraId="22BCA840">
      <w:r>
        <w:t>铁芯集送线卸料车的关键技术性能指标直接决定其在产线中的适配性与可靠性，具体参数如下表所示：</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056A6EA4">
        <w:tblPrEx>
          <w:tblCellMar>
            <w:top w:w="0" w:type="dxa"/>
            <w:left w:w="0" w:type="dxa"/>
            <w:bottom w:w="0" w:type="dxa"/>
            <w:right w:w="0" w:type="dxa"/>
          </w:tblCellMar>
        </w:tblPrEx>
        <w:tc>
          <w:tcPr>
            <w:tcW w:w="0" w:type="auto"/>
            <w:vAlign w:val="center"/>
          </w:tcPr>
          <w:p w14:paraId="1245B996">
            <w:pPr>
              <w:jc w:val="center"/>
              <w:rPr>
                <w:b/>
              </w:rPr>
            </w:pPr>
            <w:r>
              <w:rPr>
                <w:b/>
              </w:rPr>
              <w:t>技术参数项</w:t>
            </w:r>
          </w:p>
        </w:tc>
        <w:tc>
          <w:tcPr>
            <w:tcW w:w="0" w:type="auto"/>
            <w:vAlign w:val="center"/>
          </w:tcPr>
          <w:p w14:paraId="77785B4D">
            <w:pPr>
              <w:jc w:val="center"/>
              <w:rPr>
                <w:b/>
              </w:rPr>
            </w:pPr>
            <w:r>
              <w:rPr>
                <w:b/>
              </w:rPr>
              <w:t>指标值</w:t>
            </w:r>
          </w:p>
        </w:tc>
        <w:tc>
          <w:tcPr>
            <w:tcW w:w="0" w:type="auto"/>
            <w:vAlign w:val="center"/>
          </w:tcPr>
          <w:p w14:paraId="647FD419">
            <w:pPr>
              <w:jc w:val="center"/>
              <w:rPr>
                <w:b/>
              </w:rPr>
            </w:pPr>
            <w:r>
              <w:rPr>
                <w:b/>
              </w:rPr>
              <w:t>备注说明</w:t>
            </w:r>
          </w:p>
        </w:tc>
      </w:tr>
      <w:tr w14:paraId="0529F9E4">
        <w:tblPrEx>
          <w:tblCellMar>
            <w:top w:w="0" w:type="dxa"/>
            <w:left w:w="0" w:type="dxa"/>
            <w:bottom w:w="0" w:type="dxa"/>
            <w:right w:w="0" w:type="dxa"/>
          </w:tblCellMar>
        </w:tblPrEx>
        <w:tc>
          <w:tcPr>
            <w:tcW w:w="0" w:type="auto"/>
            <w:vAlign w:val="center"/>
          </w:tcPr>
          <w:p w14:paraId="24560838">
            <w:r>
              <w:t>额定承重</w:t>
            </w:r>
          </w:p>
        </w:tc>
        <w:tc>
          <w:tcPr>
            <w:tcW w:w="0" w:type="auto"/>
            <w:vAlign w:val="center"/>
          </w:tcPr>
          <w:p w14:paraId="59EEB01A">
            <w:r>
              <w:t>1.0T</w:t>
            </w:r>
          </w:p>
        </w:tc>
        <w:tc>
          <w:tcPr>
            <w:tcW w:w="0" w:type="auto"/>
            <w:vAlign w:val="center"/>
          </w:tcPr>
          <w:p w14:paraId="670BC7E4">
            <w:r>
              <w:t>适配常规干变铁芯（容量1000-2500kVA）重量范围</w:t>
            </w:r>
          </w:p>
        </w:tc>
      </w:tr>
      <w:tr w14:paraId="24FCE626">
        <w:tblPrEx>
          <w:tblCellMar>
            <w:top w:w="0" w:type="dxa"/>
            <w:left w:w="0" w:type="dxa"/>
            <w:bottom w:w="0" w:type="dxa"/>
            <w:right w:w="0" w:type="dxa"/>
          </w:tblCellMar>
        </w:tblPrEx>
        <w:tc>
          <w:tcPr>
            <w:tcW w:w="0" w:type="auto"/>
            <w:vAlign w:val="center"/>
          </w:tcPr>
          <w:p w14:paraId="7A21FD15">
            <w:r>
              <w:t>定位精度</w:t>
            </w:r>
          </w:p>
        </w:tc>
        <w:tc>
          <w:tcPr>
            <w:tcW w:w="0" w:type="auto"/>
            <w:vAlign w:val="center"/>
          </w:tcPr>
          <w:p w14:paraId="00F0D841">
            <w:r>
              <w:t>±0.5mm</w:t>
            </w:r>
          </w:p>
        </w:tc>
        <w:tc>
          <w:tcPr>
            <w:tcW w:w="0" w:type="auto"/>
            <w:vAlign w:val="center"/>
          </w:tcPr>
          <w:p w14:paraId="6EA42765">
            <w:r>
              <w:t>卸料口中心与目标工位对接偏差</w:t>
            </w:r>
          </w:p>
        </w:tc>
      </w:tr>
      <w:tr w14:paraId="7F986771">
        <w:tc>
          <w:tcPr>
            <w:tcW w:w="0" w:type="auto"/>
            <w:vAlign w:val="center"/>
          </w:tcPr>
          <w:p w14:paraId="10D5049C">
            <w:r>
              <w:t>卸料方向切换时间</w:t>
            </w:r>
          </w:p>
        </w:tc>
        <w:tc>
          <w:tcPr>
            <w:tcW w:w="0" w:type="auto"/>
            <w:vAlign w:val="center"/>
          </w:tcPr>
          <w:p w14:paraId="007B1375">
            <w:r>
              <w:t>≤2秒</w:t>
            </w:r>
          </w:p>
        </w:tc>
        <w:tc>
          <w:tcPr>
            <w:tcW w:w="0" w:type="auto"/>
            <w:vAlign w:val="center"/>
          </w:tcPr>
          <w:p w14:paraId="631F9B3A">
            <w:r>
              <w:t>从左卸料口切换至右卸料口的动作周期</w:t>
            </w:r>
          </w:p>
        </w:tc>
      </w:tr>
      <w:tr w14:paraId="54B85390">
        <w:tblPrEx>
          <w:tblCellMar>
            <w:top w:w="0" w:type="dxa"/>
            <w:left w:w="0" w:type="dxa"/>
            <w:bottom w:w="0" w:type="dxa"/>
            <w:right w:w="0" w:type="dxa"/>
          </w:tblCellMar>
        </w:tblPrEx>
        <w:tc>
          <w:tcPr>
            <w:tcW w:w="0" w:type="auto"/>
            <w:vAlign w:val="center"/>
          </w:tcPr>
          <w:p w14:paraId="6A456148">
            <w:r>
              <w:t>运行速度</w:t>
            </w:r>
          </w:p>
        </w:tc>
        <w:tc>
          <w:tcPr>
            <w:tcW w:w="0" w:type="auto"/>
            <w:vAlign w:val="center"/>
          </w:tcPr>
          <w:p w14:paraId="09C1A432">
            <w:r>
              <w:t>0.5-1.0m/s</w:t>
            </w:r>
          </w:p>
        </w:tc>
        <w:tc>
          <w:tcPr>
            <w:tcW w:w="0" w:type="auto"/>
            <w:vAlign w:val="center"/>
          </w:tcPr>
          <w:p w14:paraId="49350A6E">
            <w:r>
              <w:t>沿轨道行走速度，支持无级调速</w:t>
            </w:r>
          </w:p>
        </w:tc>
      </w:tr>
      <w:tr w14:paraId="4881EC72">
        <w:tblPrEx>
          <w:tblCellMar>
            <w:top w:w="0" w:type="dxa"/>
            <w:left w:w="0" w:type="dxa"/>
            <w:bottom w:w="0" w:type="dxa"/>
            <w:right w:w="0" w:type="dxa"/>
          </w:tblCellMar>
        </w:tblPrEx>
        <w:tc>
          <w:tcPr>
            <w:tcW w:w="0" w:type="auto"/>
            <w:vAlign w:val="center"/>
          </w:tcPr>
          <w:p w14:paraId="6DC6891B">
            <w:r>
              <w:t>工作环境温度</w:t>
            </w:r>
          </w:p>
        </w:tc>
        <w:tc>
          <w:tcPr>
            <w:tcW w:w="0" w:type="auto"/>
            <w:vAlign w:val="center"/>
          </w:tcPr>
          <w:p w14:paraId="086AC82F">
            <w:r>
              <w:t>-10℃~50℃</w:t>
            </w:r>
          </w:p>
        </w:tc>
        <w:tc>
          <w:tcPr>
            <w:tcW w:w="0" w:type="auto"/>
            <w:vAlign w:val="center"/>
          </w:tcPr>
          <w:p w14:paraId="7B03E0C3">
            <w:r>
              <w:t>满足车间高温、温差变化工况</w:t>
            </w:r>
          </w:p>
        </w:tc>
      </w:tr>
      <w:tr w14:paraId="47F51F91">
        <w:tblPrEx>
          <w:tblCellMar>
            <w:top w:w="0" w:type="dxa"/>
            <w:left w:w="0" w:type="dxa"/>
            <w:bottom w:w="0" w:type="dxa"/>
            <w:right w:w="0" w:type="dxa"/>
          </w:tblCellMar>
        </w:tblPrEx>
        <w:tc>
          <w:tcPr>
            <w:tcW w:w="0" w:type="auto"/>
            <w:vAlign w:val="center"/>
          </w:tcPr>
          <w:p w14:paraId="147B8CE6">
            <w:r>
              <w:t>工作环境湿度</w:t>
            </w:r>
          </w:p>
        </w:tc>
        <w:tc>
          <w:tcPr>
            <w:tcW w:w="0" w:type="auto"/>
            <w:vAlign w:val="center"/>
          </w:tcPr>
          <w:p w14:paraId="5D6E8815">
            <w:r>
              <w:t>≤85%（无凝露）</w:t>
            </w:r>
          </w:p>
        </w:tc>
        <w:tc>
          <w:tcPr>
            <w:tcW w:w="0" w:type="auto"/>
            <w:vAlign w:val="center"/>
          </w:tcPr>
          <w:p w14:paraId="03880894">
            <w:r>
              <w:t>适应车间潮湿环境要求</w:t>
            </w:r>
          </w:p>
        </w:tc>
      </w:tr>
      <w:tr w14:paraId="5B2DEC27">
        <w:tc>
          <w:tcPr>
            <w:tcW w:w="0" w:type="auto"/>
            <w:vAlign w:val="center"/>
          </w:tcPr>
          <w:p w14:paraId="0F7062A6">
            <w:r>
              <w:t>粉尘防护等级</w:t>
            </w:r>
          </w:p>
        </w:tc>
        <w:tc>
          <w:tcPr>
            <w:tcW w:w="0" w:type="auto"/>
            <w:vAlign w:val="center"/>
          </w:tcPr>
          <w:p w14:paraId="071B4A17">
            <w:r>
              <w:t>IP54</w:t>
            </w:r>
          </w:p>
        </w:tc>
        <w:tc>
          <w:tcPr>
            <w:tcW w:w="0" w:type="auto"/>
            <w:vAlign w:val="center"/>
          </w:tcPr>
          <w:p w14:paraId="535CF17A">
            <w:r>
              <w:t>防止粉尘进入设备内部影响传动部件</w:t>
            </w:r>
          </w:p>
        </w:tc>
      </w:tr>
      <w:tr w14:paraId="474FF41E">
        <w:tblPrEx>
          <w:tblCellMar>
            <w:top w:w="0" w:type="dxa"/>
            <w:left w:w="0" w:type="dxa"/>
            <w:bottom w:w="0" w:type="dxa"/>
            <w:right w:w="0" w:type="dxa"/>
          </w:tblCellMar>
        </w:tblPrEx>
        <w:tc>
          <w:tcPr>
            <w:tcW w:w="0" w:type="auto"/>
            <w:vAlign w:val="center"/>
          </w:tcPr>
          <w:p w14:paraId="21382A0E">
            <w:r>
              <w:t>驱动电机功率</w:t>
            </w:r>
          </w:p>
        </w:tc>
        <w:tc>
          <w:tcPr>
            <w:tcW w:w="0" w:type="auto"/>
            <w:vAlign w:val="center"/>
          </w:tcPr>
          <w:p w14:paraId="293F141B">
            <w:r>
              <w:t>5.5KW</w:t>
            </w:r>
          </w:p>
        </w:tc>
        <w:tc>
          <w:tcPr>
            <w:tcW w:w="0" w:type="auto"/>
            <w:vAlign w:val="center"/>
          </w:tcPr>
          <w:p w14:paraId="18D1F5D3">
            <w:r>
              <w:t>行走驱动电机，三相异步伺服电机</w:t>
            </w:r>
          </w:p>
        </w:tc>
      </w:tr>
      <w:tr w14:paraId="6968D853">
        <w:tblPrEx>
          <w:tblCellMar>
            <w:top w:w="0" w:type="dxa"/>
            <w:left w:w="0" w:type="dxa"/>
            <w:bottom w:w="0" w:type="dxa"/>
            <w:right w:w="0" w:type="dxa"/>
          </w:tblCellMar>
        </w:tblPrEx>
        <w:tc>
          <w:tcPr>
            <w:tcW w:w="0" w:type="auto"/>
            <w:vAlign w:val="center"/>
          </w:tcPr>
          <w:p w14:paraId="1F2C0048">
            <w:r>
              <w:t>升降电机功率</w:t>
            </w:r>
          </w:p>
        </w:tc>
        <w:tc>
          <w:tcPr>
            <w:tcW w:w="0" w:type="auto"/>
            <w:vAlign w:val="center"/>
          </w:tcPr>
          <w:p w14:paraId="6619A0C0">
            <w:r>
              <w:t>11KW</w:t>
            </w:r>
          </w:p>
        </w:tc>
        <w:tc>
          <w:tcPr>
            <w:tcW w:w="0" w:type="auto"/>
            <w:vAlign w:val="center"/>
          </w:tcPr>
          <w:p w14:paraId="1539F7B7">
            <w:r>
              <w:t>卸料平台翻转驱动电机</w:t>
            </w:r>
          </w:p>
        </w:tc>
      </w:tr>
      <w:tr w14:paraId="1F280784">
        <w:tblPrEx>
          <w:tblCellMar>
            <w:top w:w="0" w:type="dxa"/>
            <w:left w:w="0" w:type="dxa"/>
            <w:bottom w:w="0" w:type="dxa"/>
            <w:right w:w="0" w:type="dxa"/>
          </w:tblCellMar>
        </w:tblPrEx>
        <w:tc>
          <w:tcPr>
            <w:tcW w:w="0" w:type="auto"/>
            <w:vAlign w:val="center"/>
          </w:tcPr>
          <w:p w14:paraId="7136C7BA">
            <w:r>
              <w:t>传动效率</w:t>
            </w:r>
          </w:p>
        </w:tc>
        <w:tc>
          <w:tcPr>
            <w:tcW w:w="0" w:type="auto"/>
            <w:vAlign w:val="center"/>
          </w:tcPr>
          <w:p w14:paraId="71320AFC">
            <w:r>
              <w:t>≥98%</w:t>
            </w:r>
          </w:p>
        </w:tc>
        <w:tc>
          <w:tcPr>
            <w:tcW w:w="0" w:type="auto"/>
            <w:vAlign w:val="center"/>
          </w:tcPr>
          <w:p w14:paraId="1CC98C30">
            <w:r>
              <w:t>驱动系统动力传递效率</w:t>
            </w:r>
          </w:p>
        </w:tc>
      </w:tr>
      <w:tr w14:paraId="0798E40E">
        <w:tc>
          <w:tcPr>
            <w:tcW w:w="0" w:type="auto"/>
            <w:vAlign w:val="center"/>
          </w:tcPr>
          <w:p w14:paraId="68FFC006">
            <w:r>
              <w:t>单次卸料周期</w:t>
            </w:r>
          </w:p>
        </w:tc>
        <w:tc>
          <w:tcPr>
            <w:tcW w:w="0" w:type="auto"/>
            <w:vAlign w:val="center"/>
          </w:tcPr>
          <w:p w14:paraId="37E60C73">
            <w:r>
              <w:t>15-20秒</w:t>
            </w:r>
          </w:p>
        </w:tc>
        <w:tc>
          <w:tcPr>
            <w:tcW w:w="0" w:type="auto"/>
            <w:vAlign w:val="center"/>
          </w:tcPr>
          <w:p w14:paraId="5F28A8F1">
            <w:r>
              <w:t>含承接、定位、卸料、复位全流程</w:t>
            </w:r>
          </w:p>
        </w:tc>
      </w:tr>
    </w:tbl>
    <w:p w14:paraId="1946FBE3">
      <w:pPr>
        <w:pStyle w:val="3"/>
      </w:pPr>
      <w:r>
        <w:t>二、卸料车结构组成及部件功能</w:t>
      </w:r>
    </w:p>
    <w:p w14:paraId="215B0DC7">
      <w:pPr>
        <w:pStyle w:val="4"/>
      </w:pPr>
      <w:r>
        <w:t>2.1 机械结构核心组件</w:t>
      </w:r>
    </w:p>
    <w:p w14:paraId="355AAEA0">
      <w:r>
        <w:t>卸料车机械结构由卸料漏斗组件、运动组件、驱动组件三大核心部分构成，各组件通过精密配合实现铁芯的稳定承接与方向切换。</w:t>
      </w:r>
    </w:p>
    <w:p w14:paraId="4A18FAC2">
      <w:r>
        <w:rPr>
          <w:b/>
        </w:rPr>
        <w:t>卸料漏斗组件</w:t>
      </w:r>
      <w:r>
        <w:t>为物料引导的核心载体，整体呈立式结构，安装于输送带末端正下方。其上部为敞口式进料口（即上端卸料口），与输送带出料端对接；下半部分对称分布第一卸料口（左侧）与第二卸料口（右侧），形成“人”字型分叉通道布局，通道内壁采用304不锈钢材质，表面经抛光处理（粗糙度Ra≤1.6μm）以减少物料摩擦阻力。漏斗内部倾斜设置挡条组件，由第一挡条与第二挡条焊接而成，两者呈45°角交叉分布，形成对称的第一斜面（左倾45°）与第二斜面（右倾45°），斜面宽度与卸料口尺寸匹配（约800mm），用于将铁芯物料导向指定卸料口。</w:t>
      </w:r>
    </w:p>
    <w:p w14:paraId="3FE4DD90">
      <w:r>
        <w:rPr>
          <w:b/>
        </w:rPr>
        <w:t>运动组件</w:t>
      </w:r>
      <w:r>
        <w:t>是实现卸料方向切换的关键执行机构，主要由挡料板、旋转轴及定位部件构成。挡料板为矩形钢板（厚度12mm），两侧分别加工第三斜面（左倾45°）与第四斜面（右倾45°），斜面角度与挡条组件的第一、第二斜面完全匹配，确保切换时与挡条组件紧密贴合（间隙≤0.2mm），避免物料残留。旋转轴采用45#钢调质处理（硬度HB220-250），直径50mm，通过深沟球轴承（型号6210）固定于漏斗组件两侧立板，轴两端加工键槽（宽10mm、深5mm）与挡料板刚性连接，配合止动键（材质40Cr）实现周向定位，防止挡料板旋转时打滑。轴端还设有挡片（厚度8mm），通过螺栓固定于轴承外圈，实现旋转轴的轴向限位（轴向窜动量≤0.1mm）。</w:t>
      </w:r>
    </w:p>
    <w:p w14:paraId="1446327F">
      <w:r>
        <w:rPr>
          <w:b/>
        </w:rPr>
        <w:t>驱动组件</w:t>
      </w:r>
      <w:r>
        <w:t>为运动组件提供动力输出，由伺服电机、轴连接器及固定座组成。伺服电机选用西门子1FL6系列（型号1FL6064-1AC61-2AA1），额定功率1.5KW，额定转速3000r/min，通过绝对值编码器实现位置闭环控制（分辨率131072p/r），确保挡料板旋转角度精度±0.5°。轴连接器采用弹性柱销式（型号HL3），两端分别与电机输出轴（直径28mm）和旋转轴（直径50mm）通过键连接，具备一定的缓冲减震能力（许用补偿量：径向0.1mm，角向1°）。固定座为焊接钢结构（材质Q235），通过4颗M16螺栓固定于漏斗组件侧面，与电机法兰连接，确保驱动系统运行稳定性。</w:t>
      </w:r>
    </w:p>
    <w:p w14:paraId="4C4512D6">
      <w:pPr>
        <w:pStyle w:val="4"/>
      </w:pPr>
      <w:r>
        <w:t>2.2 辅助功能系统</w:t>
      </w:r>
    </w:p>
    <w:p w14:paraId="6B7D5105">
      <w:r>
        <w:t>卸料车的稳定运行依赖于定位导向、安全防护及润滑等辅助系统的协同作用，各系统通过硬件配置与软件控制实现功能互补。</w:t>
      </w:r>
    </w:p>
    <w:p w14:paraId="5D49E45C">
      <w:r>
        <w:rPr>
          <w:b/>
        </w:rPr>
        <w:t>定位导向系统</w:t>
      </w:r>
      <w:r>
        <w:t>用于实现卸料车在轨道上的精准行走定位及卸料口与目标工位的对接，主要由编码器、激光测距仪及反光板组成。编码器（型号EB38A6-L5AR-1024）安装于行走电机输出轴，通过采集电机旋转圈数计算车体位移（每转对应行走距离0.314m，分辨率0.001m）；激光测距仪（型号ODS60L）固定于厂房墙体，与卸料车顶部的反光板（尺寸200mm×200mm）配合，通过测量光信号往返时间计算实时位置（公式D = c×t/(2n)，其中c为光速299792458m/s，n为大气折射系数1.00028），定位精度±5mm，用于校准编码器累计误差。</w:t>
      </w:r>
    </w:p>
    <w:p w14:paraId="7D79BB24">
      <w:r>
        <w:rPr>
          <w:b/>
        </w:rPr>
        <w:t>安全防护系统</w:t>
      </w:r>
      <w:r>
        <w:t>涵盖机械限位、过载保护及紧急制动功能。轨道两端安装电感式接近开关（型号HL-M30-N15PC）作为极限限位，当卸料车行至距轨道端点1.5m处时触发信号，PLC控制电机减速；车身上还设有急停按钮（型号XB2-BS542C），按下后切断主电路电源，同时电磁制动装置（型号DZS3-08）动作，通过刹车片（材质铜基粉末冶金）与车轮制动盘摩擦实现停车（制动时间≤0.5秒，制动距离≤100mm）。驱动电机回路配置热继电器（型号JR36-20/3D），整定电流7.2A，当电机过载时自动切断电源，防止电机烧毁。</w:t>
      </w:r>
    </w:p>
    <w:p w14:paraId="4C83E3DC">
      <w:r>
        <w:rPr>
          <w:b/>
        </w:rPr>
        <w:t>润滑系统</w:t>
      </w:r>
      <w:r>
        <w:t>针对关键传动部件进行定期润滑，保障机械运动顺畅。旋转轴轴承采用油脂润滑，通过油杯（型号M10×1）注入锂基润滑脂（型号ZL-3），润滑周期200小时/次，每次注油量0.5ml；行走轮轴承（型号NU214）采用油浴润滑，润滑油选用L-TSA46号汽轮机油，油位保持在轴承中心线上方10mm，换油周期1000小时/次；齿轮减速器（型号RV50-10）采用飞溅润滑，润滑油型号N220极压齿轮油，加油量至油位镜1/2-2/3处，换油周期2000小时/次。</w:t>
      </w:r>
    </w:p>
    <w:p w14:paraId="4F37A70B">
      <w:pPr>
        <w:pStyle w:val="3"/>
      </w:pPr>
      <w:r>
        <w:t>三、机械传动原理及工作流程</w:t>
      </w:r>
    </w:p>
    <w:p w14:paraId="3DD5DB9B">
      <w:pPr>
        <w:pStyle w:val="4"/>
      </w:pPr>
      <w:r>
        <w:t>3.1 传动方式与动力传递路径</w:t>
      </w:r>
    </w:p>
    <w:p w14:paraId="0C6A5A1A">
      <w:r>
        <w:t>卸料车采用复合传动方式，通过机械结构与动力元件的协同作用，实现卸料方向切换与车体行走的精准控制，其核心传动路径可分为卸料切换传动与行走传动两大系统。</w:t>
      </w:r>
    </w:p>
    <w:p w14:paraId="18C2136F">
      <w:r>
        <w:rPr>
          <w:b/>
        </w:rPr>
        <w:t>卸料切换传动系统</w:t>
      </w:r>
      <w:r>
        <w:t>采用“电机-轴连接器-旋转轴-挡料板”的刚性传动链，动力传递路径为：伺服电机输出扭矩经轴连接器（弹性柱销式）传递至旋转轴，旋转轴通过键连接带动挡料板同步旋转，利用挡料板斜面与挡条组件斜面的配合实现卸料口遮挡与开放。该系统的关键在于传动精度保障：旋转轴与挡料板的键连接采用过盈配合（配合公差H7/k6），配合面粗糙度Ra1.6μm，确保扭矩传递无间隙；深沟球轴承（6210）内圈与旋转轴过盈配合（公差H7/js6），外圈与漏斗立板孔过渡配合（公差H7/h6），径向游隙控制在0.012-0.025mm，既保证旋转灵活性，又限制径向跳动（≤0.05mm）；挡料板的第三、第四斜面与挡条组件的第一、第二斜面采用配磨工艺，贴合面接触率≥95%，切换时通过斜面导向实现无冲击对接，避免物料卡滞。</w:t>
      </w:r>
    </w:p>
    <w:p w14:paraId="03AA9BD4">
      <w:r>
        <w:rPr>
          <w:b/>
        </w:rPr>
        <w:t>行走传动系统</w:t>
      </w:r>
      <w:r>
        <w:t>采用“变频电机-减速器-车轮”的减速传动链，驱动卸料车沿轨道移动。动力传递路径为：三相异步变频电机（型号Y132S-4，5.5KW）输出动力经联轴器（型号GIICL1）传递至齿轮减速器（型号ZQ350-20-1），减速器输出轴通过链传动（链条型号16A-1）带动主动车轮旋转，进而驱动车体行走。为确保行走平稳性，系统配置电磁制动装置（安装于电机轴端），制动时通过电磁力推动刹车片与制动盘接触，产生摩擦力矩（额定制动力矩150N·m），实现快速停车；车轮与轨道接触采用双轮缘结构（轮缘高度25mm），轮径300mm，踏面硬度HB300-350，与轨道（材质U71Mn）的摩擦系数0.35-0.45，保证启动与制动时无打滑现象。</w:t>
      </w:r>
    </w:p>
    <w:p w14:paraId="24EA108A">
      <w:r>
        <w:rPr>
          <w:b/>
        </w:rPr>
        <w:t>传动效率保障措施</w:t>
      </w:r>
      <w:r>
        <w:t>贯穿于整个传动系统设计：一是关键传动部件选用高精度元件，如伺服电机定位精度±0.01°，减速器传动效率96%，链条传动效率98%；二是采用轻量化设计，挡料板采用Q345B钢板（密度7.85g/cm³），通过有限元分析优化结构（减重15%），降低驱动负载；三是设置润滑与密封装置，轴承座采用骨架油封（型号TC50×70×12）防止油脂泄漏，链条加装防护罩（材质铝板）避免粉尘进入，减少磨损。经实测，卸料切换传动系统整体效率≥98%，行走传动系统效率≥95%，满足长时间连续运行需求。</w:t>
      </w:r>
    </w:p>
    <w:p w14:paraId="3BAF8621">
      <w:pPr>
        <w:pStyle w:val="4"/>
      </w:pPr>
      <w:r>
        <w:t>3.2 典型工作流程分析</w:t>
      </w:r>
    </w:p>
    <w:p w14:paraId="1C96F26B">
      <w:r>
        <w:t>铁芯集送线卸料车的工作流程遵循“承接-判断-切换-卸料-复位”的循环逻辑，根据下游工位需求自动完成铁芯转运，具体可分为待机、切换、卸料、复位四个阶段。</w:t>
      </w:r>
    </w:p>
    <w:p w14:paraId="7E7F23F2">
      <w:r>
        <w:rPr>
          <w:b/>
        </w:rPr>
        <w:t>待机阶段</w:t>
      </w:r>
      <w:r>
        <w:t>为初始状态，此时卸料车停靠于输送带末端下方（初始位置通过激光测距仪校准，坐标设为0点），挡料板默认旋转至遮挡第二卸料口（右卸料口）位置，第三斜面与挡条组件的第一斜面贴合（左倾45°），形成完整的左侧卸料通道。上游输送带将叠片完成的铁芯（重量约800kg，尺寸1200mm×800mm×300mm）输送至卸料车漏斗组件的上端卸料口，铁芯沿挡条组件的第一斜面滑落，经第一卸料口卸至左侧暂存区接料装置（托盘或辊道），此时光电传感器（型号E3JK-LX5M）检测接料装置是否为空位，若为空位则持续卸料，否则触发待机信号。</w:t>
      </w:r>
    </w:p>
    <w:p w14:paraId="317D4B7F">
      <w:r>
        <w:rPr>
          <w:b/>
        </w:rPr>
        <w:t>切换阶段</w:t>
      </w:r>
      <w:r>
        <w:t>启动于下游工位需求变化（如左侧暂存区满料，需切换至右侧卸料），由PLC控制系统接收调度信号（通过Profinet网络传输，响应时间≤100ms）后执行切换动作。具体流程为：PLC向伺服电机驱动器发送旋转指令（脉冲信号，频率500kHz），电机带动旋转轴顺时针旋转90°（转速15r/min，旋转时间1.5秒），挡料板同步旋转，第四斜面（右倾45°）逐渐与挡条组件的第二斜面贴合，同时第三斜面与第一斜面分离；当旋转角度达到90°时，旋转轴端的接近开关（型号Bi5-M18-AP6X）触发到位信号，PLC控制电机停止，此时挡料板完全遮挡第一卸料口，开放第二卸料口，完成方向切换。切换过程中，系统通过编码器实时监测旋转角度，若出现角度偏差（超过±1°），PLC立即发出修正指令，电机微调至目标位置。</w:t>
      </w:r>
    </w:p>
    <w:p w14:paraId="1BA84DB1">
      <w:r>
        <w:rPr>
          <w:b/>
        </w:rPr>
        <w:t>卸料阶段</w:t>
      </w:r>
      <w:r>
        <w:t>在切换完成后自动启动，铁芯沿挡条组件的第二斜面滑落，经第二卸料口卸至右侧接料装置。为防止铁芯堆叠堵塞，漏斗组件内部的挡条组件设计栅条间隙（宽度50-80mm，根据铁芯厚度调整），栅条采用圆钢（直径16mm）焊接而成，间距均匀分布，可将堆叠的铁芯分散成单层滑落；卸料口下方安装漫反射光电传感器（型号E3Z-D61），检测铁芯是否完全卸出，若传感器持续3秒未检测到物料（遮光时间≤50ms），判定卸料完成，向PLC发送信号。</w:t>
      </w:r>
    </w:p>
    <w:p w14:paraId="628BD14D">
      <w:r>
        <w:rPr>
          <w:b/>
        </w:rPr>
        <w:t>复位阶段</w:t>
      </w:r>
      <w:r>
        <w:t>在接料装置满载后启动，由接料装置的称重传感器（型号YZC-320）发送满载信号（重量≥1.0T），PLC接收后控制卸料车执行复位动作：首先，行走电机启动，驱动车体沿轨道移动至初始位置（激光测距仪检测坐标0点，定位精度±5mm）；随后，伺服电机反转，带动挡料板逆时针旋转90°，恢复至遮挡第二卸料口的初始状态；最后，电磁制动装置动作，车体锁死，系统返回待机阶段，等待下一次卸料循环。整个工作流程周期约20秒（含行走定位时间8秒、切换时间2秒、卸料时间5秒、复位时间5秒），可通过人机界面（HMI）设置为自动循环或手动单步模式。</w:t>
      </w:r>
    </w:p>
    <w:p w14:paraId="26FBF7B3">
      <w:pPr>
        <w:pStyle w:val="3"/>
      </w:pPr>
      <w:r>
        <w:t>四、电气控制系统及自动化控制原理</w:t>
      </w:r>
    </w:p>
    <w:p w14:paraId="2B3A46C5">
      <w:pPr>
        <w:pStyle w:val="4"/>
      </w:pPr>
      <w:r>
        <w:t>4.1 电气系统硬件架构</w:t>
      </w:r>
    </w:p>
    <w:p w14:paraId="3F2AA476">
      <w:r>
        <w:t>卸料车电气控制系统采用“PLC+分布式I/O+传感器+执行器”的分层架构，以可编程逻辑控制器为核心，实现设备的自动化运行与状态监控，系统硬件组成及信号流向如下：</w:t>
      </w:r>
    </w:p>
    <w:p w14:paraId="28ED90F7">
      <w:r>
        <w:rPr>
          <w:b/>
        </w:rPr>
        <w:t>核心控制层</w:t>
      </w:r>
      <w:r>
        <w:t>以西门子S7-1200 PLC（型号1214C DC/DC/DC）为控制中枢，配置14点数字量输入（DI）、10点数字量输出（DO）、4点模拟量输入（AI）及2点模拟量输出（AO），支持Profinet通讯（通讯速率100Mbps），通过以太网与车间MES系统对接，上传设备运行数据（如卸料次数、故障代码）并接收生产调度指令。PLC电源模块选用PS 1207-2BD00（输入AC 120-230V，输出DC 24V/5A），为自身及外围传感器供电，电源纹波系数≤1%，确保控制电路稳定。</w:t>
      </w:r>
    </w:p>
    <w:p w14:paraId="00C80774">
      <w:r>
        <w:rPr>
          <w:b/>
        </w:rPr>
        <w:t>检测传感层</w:t>
      </w:r>
      <w:r>
        <w:t>由位置、物料、安全三类传感器组成，为PLC提供实时状态反馈。位置检测包括激光测距仪（ODS60L，模拟量输出4-20mA，对应距离0-50m）、编码器（EB38A6，脉冲输出A/B相，分辨率1024p/r）及限位开关（HL-M30-N15PC，NPN常开输出）；物料检测包括漫反射光电传感器（E3Z-D61，检测距离50-300mm，NPN输出）与称重传感器（YZC-320，模拟量输出0-10V，对应重量0-1.5T）；安全检测包括急停按钮（XB2-BS542C，常闭触点）、热继电器（JR36-20/3D，常闭触点）及过载保护开关（型号DZ47-63/3P，额定电流20A）。传感器信号通过屏蔽电缆（型号RVVP-4×0.75）传输至PLC，电缆敷设时与动力电缆间距≥300mm，避免电磁干扰。</w:t>
      </w:r>
    </w:p>
    <w:p w14:paraId="036273ED">
      <w:r>
        <w:rPr>
          <w:b/>
        </w:rPr>
        <w:t>执行驱动层</w:t>
      </w:r>
      <w:r>
        <w:t>包括电机驱动器、接触器及电磁阀等执行元件，接收PLC指令并驱动机械动作。伺服电机驱动器选用西门子V90系列（型号6SL3210-5FE15-0UA0），通过Profinet与PLC通讯，接收位置控制指令（脉冲+方向信号），驱动挡料板旋转；变频驱动器选用西门子G120系列（型号6SL3210-1KE17-5AP1），控制行走电机转速（0-1500r/min），支持矢量控制模式（调速范围1:100）；主电路接触器选用CJX2-1210型（额定电流12A，线圈电压DC24V），控制电机电源通断；电磁制动电磁阀（型号4V210-08）接收PLC数字量输出信号，控制制动装置的吸合与释放。</w:t>
      </w:r>
    </w:p>
    <w:p w14:paraId="0F3AE1DB">
      <w:r>
        <w:rPr>
          <w:b/>
        </w:rPr>
        <w:t>人机交互层</w:t>
      </w:r>
      <w:r>
        <w:t>配置10寸触摸屏（型号TP170B，西门子），通过MPI通讯与PLC连接，实现设备状态显示（如当前位置、卸料口状态、电机电流）、参数设置（如运行速度、定位坐标）及故障报警（声光报警+故障代码显示）功能。触摸屏界面采用模块化设计，包含主监控界面、参数设置界面、故障诊断界面及I/O监控界面，操作权限分为操作员（可启动/停止设备）与管理员（可修改参数）两级，通过密码（操作员密码1234，管理员密码5678）区分。</w:t>
      </w:r>
    </w:p>
    <w:p w14:paraId="602ADC80">
      <w:pPr>
        <w:pStyle w:val="4"/>
      </w:pPr>
      <w:r>
        <w:t>4.2 PLC控制逻辑设计</w:t>
      </w:r>
    </w:p>
    <w:p w14:paraId="6A709ED2">
      <w:r>
        <w:t>卸料车的PLC控制程序采用模块化结构设计，包含初始化模块、手动控制模块、自动控制模块及故障处理模块，通过梯形图语言编写，实现设备的逻辑控制与安全保护。</w:t>
      </w:r>
    </w:p>
    <w:p w14:paraId="4590D190">
      <w:r>
        <w:rPr>
          <w:b/>
        </w:rPr>
        <w:t>初始化模块</w:t>
      </w:r>
      <w:r>
        <w:t>在设备上电时执行，完成系统参数复位与初始状态设置：首先，PLC对所有输出点进行清零（Q0.0-Q1.1置0），关闭电机驱动器使能；然后，读取编码器与激光测距仪的初始位置信号，计算当前坐标（若与上次停机坐标偏差超过50mm，执行回零操作）；最后，初始化内部变量（如卸料次数计数器清零、故障代码复位），设置挡料板初始位置（默认遮挡第二卸料口，变量M0.0置1），完成初始化后进入待机状态（指示灯H1.0亮绿灯）。</w:t>
      </w:r>
    </w:p>
    <w:p w14:paraId="5CEC5D46">
      <w:r>
        <w:rPr>
          <w:b/>
        </w:rPr>
        <w:t>手动控制模块</w:t>
      </w:r>
      <w:r>
        <w:t>支持操作员通过触摸屏或现场按钮控制设备单步动作，主要包括：挡料板手动旋转（按钮SB1正转、SB2反转，点动控制，旋转角度通过编码器实时显示）、车体手动行走（按钮SB3前进、SB4后退，点动控制，速度固定为0.3m/s）、卸料口手动切换（按钮SB5切换左卸料口、SB6切换右卸料口，触发后执行完整切换流程）。手动模式下，系统仍具备安全联锁保护，如行走时触发限位开关立即停车，挡料板旋转角度超过95°自动切断电机电源。</w:t>
      </w:r>
    </w:p>
    <w:p w14:paraId="14C6D848">
      <w:r>
        <w:rPr>
          <w:b/>
        </w:rPr>
        <w:t>自动控制模块</w:t>
      </w:r>
      <w:r>
        <w:t>是PLC程序的核心，实现卸料车的全自动运行，其控制逻辑基于“位置赋值-定位确认-动作执行-状态反馈”的循环流程。位置赋值模块将产线划分为1-5号仓位（对应左侧暂存区1-3号、右侧暂存区1-2号）及左右极限位置（变量M10.0=-999为左极限，M10.1=999为右极限），通过触摸屏或MES系统下达目标仓位指令（如写入变量MW10=3，表示左侧3号仓位）。定位确认模块通过组内位置信号的与或运算判断当前位置有效性，公式为confirm(x)=Place(xb-b+1)∧¬Place(xb-b+2)∨Place(xb-b+3)，其中xb为目标仓位编号，b为仓位间隔参数（设为1），当confirm(x)=1时判定定位有效。</w:t>
      </w:r>
    </w:p>
    <w:p w14:paraId="3B0CBAB8">
      <w:r>
        <w:rPr>
          <w:b/>
        </w:rPr>
        <w:t>自动模式下的运动控制逻辑</w:t>
      </w:r>
      <w:r>
        <w:t>采用分级条件判断，以车体行走至目标仓位为例：首先，PLC比较当前坐标（VW20）与目标坐标（VW30），若目标坐标&gt;当前坐标（VW30&gt;VW20），判定需向右行走（变量M2.0置1），否则向左行走（变量M2.1置1）；然后，检查行走条件是否满足：enable_A=¬LeftLimit∧¬RightLimit∧¬MotorOverload∧AutoMode（左极限未触发、右极限未触发、电机未过载、自动模式有效），若enable_A=1，PLC向变频驱动器发送启动指令（Q0.0置1），并通过模拟量输出（AQW0）给定速度指令（对应0-10V电压，0-1.0m/s速度）；最后，当激光测距仪检测到当前坐标与目标坐标偏差≤5mm时，PLC发送减速指令（速度降至0.2m/s），偏差≤1mm时发送停车指令（Q0.0置0），完成定位。</w:t>
      </w:r>
    </w:p>
    <w:p w14:paraId="3FBDBC53">
      <w:r>
        <w:rPr>
          <w:b/>
        </w:rPr>
        <w:t>安全联锁逻辑</w:t>
      </w:r>
      <w:r>
        <w:t>贯穿于控制程序始终，主要包括：电机正反转互锁（如行走电机正转接触器KM1与反转接触器KM2的常闭触点互串，防止同时吸合）、动作顺序联锁（如挡料板未复位时禁止车体行走，变量M3.0=1时Q0.0-Q0.3均被封锁）、极限保护联锁（触发极限限位时，立即切断对应方向的电机驱动信号，并输出报警信号）。例如，当挡料板旋转角度超过90°+5°时，编码器信号触发超程报警（变量M5.0置1），PLC立即切断伺服电机使能（Q0.5置0），并在触摸屏显示故障代码“E02：挡料板超程”。</w:t>
      </w:r>
    </w:p>
    <w:p w14:paraId="7EBDE363">
      <w:pPr>
        <w:pStyle w:val="4"/>
      </w:pPr>
      <w:r>
        <w:t>4.3 传感器与执行器协同控制</w:t>
      </w:r>
    </w:p>
    <w:p w14:paraId="6B0B7904">
      <w:r>
        <w:t>卸料车的自动化运行依赖于传感器对设备状态的实时监测与执行器的精准动作响应，通过PLC的逻辑处理实现两者的协同控制，核心协同机制如下：</w:t>
      </w:r>
    </w:p>
    <w:p w14:paraId="57CFA243">
      <w:r>
        <w:rPr>
          <w:b/>
        </w:rPr>
        <w:t>位置闭环控制</w:t>
      </w:r>
      <w:r>
        <w:t>通过激光测距仪与编码器的信号融合实现车体行走定位：激光测距仪提供绝对位置信号（4-20mA对应0-50m，分辨率0.001m），作为定位基准；编码器提供相对位置信号（每转输出1024个脉冲，对应车轮行走距离0.942m），用于实时速度计算（v=Δ脉冲数×0.942/(1024×Δt)）。PLC采用卡尔曼滤波算法对两路信号进行融合，当激光测距仪信号稳定（连续500ms波动≤1mm）时，以其为基准校准编码器累计误差（若偏差超过3mm，执行编码器值修正）；当激光信号受粉尘干扰（波动&gt;5mm）时，自动切换为编码器单独定位（短时间内误差≤0.5mm），确保定位连续性。</w:t>
      </w:r>
    </w:p>
    <w:p w14:paraId="7F64860A">
      <w:r>
        <w:rPr>
          <w:b/>
        </w:rPr>
        <w:t>物料状态监测与执行器联动</w:t>
      </w:r>
      <w:r>
        <w:t>通过光电传感器与挡料板动作的协同实现：当铁芯经输送带进入漏斗组件时，漫反射光电传感器（安装于上端卸料口下方100mm处）检测到物料（遮光时间&gt;100ms），向PLC发送信号（I0.2置1）；PLC接收到信号后，启动挡料板位置确认程序（读取编码器角度信号，若当前位置与目标卸料口偏差&gt;1°，执行微调），待挡料板到位后（M0.5置1），允许物料通过。卸料过程中，若传感器持续3秒未检测到物料（I0.2置0），判定卸料完成，PLC控制挡料板复位（若自动模式下需切换卸料口，则执行切换程序）。</w:t>
      </w:r>
    </w:p>
    <w:p w14:paraId="5DBA084F">
      <w:r>
        <w:rPr>
          <w:b/>
        </w:rPr>
        <w:t>力反馈控制</w:t>
      </w:r>
      <w:r>
        <w:t>用于保障卸料平台的平稳动作：当铁芯放置于卸料平台时，旁压式测力传感器（安装于平台底部4个支撑点）将重量信号转换为4-20mA电流信号（0-1.5T），经PLC模拟量输入模块（AIW0）转换为数字量（0-27648）；PLC根据重量值自动调整液压推杆的伸出速度（若重量&lt;0.5T，速度10mm/s；0.5-1.0T，速度5mm/s；&gt;1.0T，速度3mm/s），通过模拟量输出（AQW2）控制液压比例阀（型号4WREE6E16-2X/G24K31/A1V）的开口度，实现平台倾斜角度的无级调节（0-60°），避免重载时速度过快导致铁芯滑落。</w:t>
      </w:r>
    </w:p>
    <w:p w14:paraId="6323C6F7">
      <w:r>
        <w:rPr>
          <w:b/>
        </w:rPr>
        <w:t>安全保护控制</w:t>
      </w:r>
      <w:r>
        <w:t>通过多传感器信号的逻辑判断实现紧急停机：当任意急停按钮被按下（I1.0-I1.3中任一置0）、热继电器动作（I2.0-I2.2中任一置0）或极限限位开关触发（I3.0或I3.1置1）时，PLC立即执行安全停机程序：所有电机驱动器使能信号切断（Q0.5-Q0.6置0），主电路接触器断开（Q1.0-Q1.2置0），电磁制动装置动作（Q2.0置1），同时触摸屏显示故障代码（如“E01：左极限触发”），并驱动声光报警器（H1.1亮红灯，蜂鸣器HBJ-1发声），直至故障排除并按下复位按钮（SB10）后，系统方可重新启动。</w:t>
      </w:r>
    </w:p>
    <w:p w14:paraId="6FB132DE">
      <w:pPr>
        <w:pStyle w:val="3"/>
      </w:pPr>
      <w:r>
        <w:t>五、常见故障类型及成因分析</w:t>
      </w:r>
    </w:p>
    <w:p w14:paraId="35F4191C">
      <w:pPr>
        <w:pStyle w:val="4"/>
      </w:pPr>
      <w:r>
        <w:t>5.1 机械系统故障</w:t>
      </w:r>
    </w:p>
    <w:p w14:paraId="4A3C4F71">
      <w:r>
        <w:t>卸料车的机械故障主要集中于传动机构、卸料组件及行走系统，表现为动作卡滞、定位偏差或物料堵塞，具体类型及成因如下：</w:t>
      </w:r>
    </w:p>
    <w:p w14:paraId="603E777F">
      <w:r>
        <w:rPr>
          <w:b/>
        </w:rPr>
        <w:t>传动机构卡滞</w:t>
      </w:r>
      <w:r>
        <w:t>是最常见的机械故障，表现为挡料板旋转时异响（频率约500Hz）、旋转角度不足或电机过载报警（热继电器动作）。主要成因包括：一是轴承润滑不良，当润滑脂加注量不足（&lt;0.3ml/次）或周期过长（&gt;300小时），深沟球轴承（6210）滚道与钢球间形成干摩擦，导致旋转阻力增大（正常阻力矩≤0.5N·m，故障时可达2N·m以上）；二是旋转轴键槽磨损，长期运行后键槽侧面产生塑性变形（磨损量&gt;0.2mm），键连接间隙增大，导致挡料板旋转时打滑（角度偏差&gt;3°）；三是挡料板斜面磨损，与挡条组件的配合间隙超过0.5mm，切换时物料嵌入间隙，阻碍旋转（常见于铁芯表面有毛刺的工况）。</w:t>
      </w:r>
    </w:p>
    <w:p w14:paraId="15FF7754">
      <w:r>
        <w:rPr>
          <w:b/>
        </w:rPr>
        <w:t>卸料口堵塞</w:t>
      </w:r>
      <w:r>
        <w:t>表现为铁芯在漏斗组件内堆积（高度超过300mm），无法通过卸料口滑落，触发光电传感器持续遮光报警（I0.2常闭）。成因主要有：一是栅条间隙过小，当铁芯厚度超过栅条间隙（如设计间隙50mm，铁芯厚度60mm），导致单个铁芯卡滞，后续铁芯堆叠堵塞；二是漏斗内壁粘料，车间环境湿度&gt;85%时，铁芯表面的绝缘漆与不锈钢漏斗壁产生吸附力（实测粘着力&gt;5N），导致物料下滑速度减缓（正常下滑速度0.5m/s，粘料时降至0.2m/s以下）；三是挡料板切换不到位，斜面贴合间隙&gt;0.5mm，物料从间隙漏出并堆积于漏斗底部（形成“搭桥”现象）。</w:t>
      </w:r>
    </w:p>
    <w:p w14:paraId="6C849B1D">
      <w:r>
        <w:rPr>
          <w:b/>
        </w:rPr>
        <w:t>行走系统定位偏差</w:t>
      </w:r>
      <w:r>
        <w:t>表现为车体停靠位置与目标工位偏差超过±10mm，无法精准对接接料装置。主要成因包括：一是车轮轮缘磨损，轮缘高度&lt;15mm时，车体在弯道行走时发生侧向偏移（偏移量可达20mm）；二是轨道接头错位，长期热胀冷缩导致轨道接缝处高低差&gt;0.5mm，车体通过时产生冲击振动，编码器计数出错（单次冲击可导致脉冲丢失2-3个）；三是激光测距仪镜头积尘，粉尘覆盖导致光信号衰减（接收光强&lt;5000lux，正常&gt;10000lux），测量误差增大（可达±10mm）。</w:t>
      </w:r>
    </w:p>
    <w:p w14:paraId="6703071C">
      <w:pPr>
        <w:pStyle w:val="4"/>
      </w:pPr>
      <w:r>
        <w:t>5.2 电气控制系统故障</w:t>
      </w:r>
    </w:p>
    <w:p w14:paraId="0A146546">
      <w:r>
        <w:t>电气控制系统故障主要涉及PLC通讯、传感器信号异常及电机驱动系统，表现为设备无响应、动作紊乱或误报警，具体类型及成因如下：</w:t>
      </w:r>
    </w:p>
    <w:p w14:paraId="3DBD4EE4">
      <w:r>
        <w:rPr>
          <w:b/>
        </w:rPr>
        <w:t>PLC通讯中断</w:t>
      </w:r>
      <w:r>
        <w:t>表现为触摸屏与PLC失去连接（显示“通讯超时”）、MES系统无法接收设备数据或控制指令无法下发。主要成因包括：一是Profinet网络干扰，车间内电焊机、变频器等设备产生的电磁辐射（频率10-300MHz）耦合至通讯电缆，导致信号传输误码率升高（正常误码率&lt;10⁻⁶，故障时可达10⁻³）；二是接地不良，PLC接地电阻&gt;4Ω（标准要求≤1Ω），或与动力接地共网（接地电位差&gt;10V），形成地环流干扰通讯信号；三是网线接头松动，RJ45接头的8芯针脚氧化（接触电阻&gt;1Ω）或水晶头与交换机端口接触不良，导致通讯中断（中断时间&gt;100ms触发报警）。</w:t>
      </w:r>
    </w:p>
    <w:p w14:paraId="55FCD271">
      <w:r>
        <w:rPr>
          <w:b/>
        </w:rPr>
        <w:t>传感器误报</w:t>
      </w:r>
      <w:r>
        <w:t>表现为传感器输出信号与实际状态不符，如接近开关无物体时误发信号（I0.1常亮）、光电传感器无物料时持续遮光（I0.2常闭）。主要成因有：一是电感式接近开关电源电压波动，当DC24V电源纹波系数&gt;10%时，开关内部振荡电路失稳，导致输出信号抖动（频率50Hz）；二是激光测距仪反光板角度偏移，安装倾斜角度&gt;5°时，反射光偏离接收镜头（接收光强&lt;3000lux），测量值跳变（波动范围±20mm）；三是编码器电缆屏蔽层断裂，无法有效抑制电磁干扰，输出脉冲信号中混入噪声（峰峰值&gt;5V），导致PLC计数错误（角度偏差&gt;2°）。</w:t>
      </w:r>
    </w:p>
    <w:p w14:paraId="67D3638C">
      <w:r>
        <w:rPr>
          <w:b/>
        </w:rPr>
        <w:t>电机过载与不启动</w:t>
      </w:r>
      <w:r>
        <w:t>表现为电机无法启动（接触器不吸合）或启动后立即触发热继电器动作（JR36-20/3D动作，I2.0置0）。主要成因包括：一是电机电源缺相，三相电源中某一相熔断器熔断（如FU1熔断），导致电机单相运行（电流升至额定值的2-3倍）；二是驱动器参数设置错误，伺服电机驱动器的“位置环增益”参数（P29003）设置过高（&gt;2000），导致启动时电流峰值超过额定值（5.5KW电机额定电流11.6A，峰值可达30A）；三是机械负载过大，如挡料板卡滞导致伺服电机堵转（堵转电流&gt;5倍额定电流），或行走轮轴承卡涩导致行走电机负载扭矩超过额定值（5.5KW电机额定扭矩35N·m，卡涩时可达80N·m）。</w:t>
      </w:r>
    </w:p>
    <w:p w14:paraId="3AC962F7">
      <w:pPr>
        <w:pStyle w:val="4"/>
      </w:pPr>
      <w:r>
        <w:t>5.3 液压系统故障（配置液压推杆时）</w:t>
      </w:r>
    </w:p>
    <w:p w14:paraId="7DEFAD84">
      <w:r>
        <w:t>当卸料车采用液压推杆驱动卸料平台翻转时，液压系统可能出现动力不足、动作迟缓或泄漏等故障，具体类型及成因如下：</w:t>
      </w:r>
    </w:p>
    <w:p w14:paraId="18D6F2A9">
      <w:r>
        <w:rPr>
          <w:b/>
        </w:rPr>
        <w:t>液压推杆推力不足</w:t>
      </w:r>
      <w:r>
        <w:t>表现为平台倾斜角度无法达到设定值（如目标60°，实际仅30°），或重载时推杆活塞杆缩回。主要成因包括：一是液压泵供油不足，齿轮泵（型号CB-B25）因磨损导致内泄漏（容积效率&lt;80%，正常&gt;95%），输出流量从25L/min降至15L/min以下；二是液压锁失灵，单向阀阀芯被污染物（如铁屑、密封件碎屑）卡住，无法完全关闭，导致油缸保压能力下降（保压10分钟压力降&gt;2MPa，正常≤0.5MPa）；三是溢流阀设定压力过低，工作压力从12MPa降至8MPa以下，无法推动重载（1.0T铁芯需推力≥15KN，对应压力10MPa）。</w:t>
      </w:r>
    </w:p>
    <w:p w14:paraId="5101AB30">
      <w:r>
        <w:rPr>
          <w:b/>
        </w:rPr>
        <w:t>推杆动作迟缓</w:t>
      </w:r>
      <w:r>
        <w:t>表现为活塞杆伸缩速度低于0.5mm/s（正常1-2mm/s），导致卸料周期延长（超过30秒）。主要成因有：一是油温过高，系统长期连续运行导致油温超过60℃（正常30-50℃），液压油粘度从46mm²/s降至20mm²/s以下，流经节流阀的流量减小（流量Q=K×ΔP×v，v降低导致Q减小）；二是换向阀卡滞，电磁换向阀（型号4WE6D）阀芯与阀孔配合间隙磨损至0.03mm以上（正常0.01-0.02mm），内泄漏增大，有效流量减少；三是活塞杆弯曲，长期重载下活塞杆产生塑性变形（弯曲量&gt;0.5mm/m），与油缸内壁摩擦阻力增大（正常摩擦阻力≤50N，弯曲后可达200N）。</w:t>
      </w:r>
    </w:p>
    <w:p w14:paraId="6B707810">
      <w:r>
        <w:rPr>
          <w:b/>
        </w:rPr>
        <w:t>液压管路泄漏</w:t>
      </w:r>
      <w:r>
        <w:t>表现为接头处渗油（滴油频率&gt;1滴/min）或软管破裂喷油，导致液压油液位下降（低于液位计1/3处）。主要成因包括：一是接头密封件老化，O型圈（材质丁腈橡胶）使用超过8000小时后，弹性下降（硬度从70 Shore A升至85 Shore A），压缩量不足（&lt;15%），无法密封；二是软管疲劳破裂，高压胶管（工作压力25MPa）长期弯曲（弯曲半径&lt;3倍管径）导致内层钢丝编织层断裂（断丝数&gt;5根/25mm），耐压能力下降；三是管接头拧紧扭矩不当，锥面密封接头扭矩&lt;30N·m时，密封面接触压力不足（正常需≥50MPa），导致渗漏；扭矩&gt;45N·m时，接头螺纹变形（牙型损伤），同样引发泄漏。</w:t>
      </w:r>
    </w:p>
    <w:p w14:paraId="5BB5CB32">
      <w:pPr>
        <w:pStyle w:val="3"/>
      </w:pPr>
      <w:r>
        <w:t>六、故障诊断方法与维修对策</w:t>
      </w:r>
    </w:p>
    <w:p w14:paraId="344EF927">
      <w:pPr>
        <w:pStyle w:val="4"/>
      </w:pPr>
      <w:r>
        <w:t>6.1 机械故障诊断与维修</w:t>
      </w:r>
    </w:p>
    <w:p w14:paraId="7C5F98C7">
      <w:r>
        <w:t>针对卸料车的机械故障，需结合故障现象、设备结构及运行数据进行系统诊断，采取针对性维修措施恢复设备功能。</w:t>
      </w:r>
    </w:p>
    <w:p w14:paraId="1FC91B51">
      <w:r>
        <w:rPr>
          <w:b/>
        </w:rPr>
        <w:t>传动机构卡滞的诊断与维修</w:t>
      </w:r>
      <w:r>
        <w:t>：首先通过外观检查判断故障点，若挡料板旋转时有异响（频率500Hz左右），用听诊器触诊轴承座，若声音清脆（正常为均匀“嗡嗡”声），判定为轴承故障；拆检轴承（6210），若滚道有麻点或钢球磨损（直径偏差&gt;0.01mm），需更换同型号轴承（更换时加热轴承至80℃，采用热套法安装，避免硬敲）。若轴承状态良好，测量旋转轴键槽宽度（标准10mm），若磨损量&gt;0.2mm，采用补焊修复（焊条型号J422，焊接后铣削至标准尺寸，表面粗糙度Ra3.2μm），并更换止动键（材质40Cr，淬火硬度HRC40-45）。若挡料板斜面磨损，使用平面磨床（型号M7130）对斜面进行修磨（磨削量≤0.5mm），确保与挡条组件斜面贴合间隙≤0.2mm，修磨后涂抹二硫化钼润滑脂（型号MoS₂）减少摩擦。</w:t>
      </w:r>
    </w:p>
    <w:p w14:paraId="279553B5">
      <w:r>
        <w:rPr>
          <w:b/>
        </w:rPr>
        <w:t>卸料口堵塞的处理</w:t>
      </w:r>
      <w:r>
        <w:t>：首先停机清理漏斗内堆积物料（使用木锤轻敲漏斗外壁辅助下料，禁止使用铁器避免损伤内壁）；然后测量栅条间隙，若与铁芯厚度不匹配（如铁芯厚度60mm，间隙50mm），更换挡条组件（重新加工栅条，间隙调整为65mm，公差+0.5mm）。若内壁粘料，用120目砂纸打磨漏斗内壁（方向沿物料下滑方向，形成单向纹理），并喷涂聚四氟乙烯涂层（厚度50μm，摩擦系数降至0.15以下）。若挡料板切换不到位，重新校准旋转轴零位（通过伺服电机驱动器的“JOG”模式微调角度，使挡料板斜面与挡条组件贴合面接触率≥95%），并紧固挡片螺栓（扭矩25N·m，防松标记使用乐泰243螺纹胶）。</w:t>
      </w:r>
    </w:p>
    <w:p w14:paraId="7889F01A">
      <w:r>
        <w:rPr>
          <w:b/>
        </w:rPr>
        <w:t>行走系统定位偏差的校正</w:t>
      </w:r>
      <w:r>
        <w:t>：使用激光对中仪（型号XT660）检测车轮轮缘高度，若&lt;15mm，更换车轮（新轮缘高度25mm，踏面硬度HB300-350）；调整轨道接头，使用水平仪（精度0.02mm/m）测量接缝处高低差，通过垫片（厚度0.5mm/片）找平（高低差≤0.3mm），并调整轨道平行度（偏差≤0.5mm/m）。清洁激光测距仪镜头（使用无水乙醇擦拭，镜头朝向45°倾斜避免粉尘堆积），重新校准零点（将车体停靠于基准位置，通过触摸屏“校准”功能将当前激光值设为0点），校准后连续运行5个循环，验证定位精度（偏差≤±3mm）。</w:t>
      </w:r>
    </w:p>
    <w:p w14:paraId="030BBFC3">
      <w:pPr>
        <w:pStyle w:val="4"/>
      </w:pPr>
      <w:r>
        <w:t>6.2 电气故障排查与处理</w:t>
      </w:r>
    </w:p>
    <w:p w14:paraId="4986ED36">
      <w:r>
        <w:t>电气故障的诊断需借助仪器仪表检测信号状态，定位故障元件后进行更换或参数调整，恢复系统正常运行。</w:t>
      </w:r>
    </w:p>
    <w:p w14:paraId="70E51E58">
      <w:r>
        <w:rPr>
          <w:b/>
        </w:rPr>
        <w:t>PLC通讯故障的排查</w:t>
      </w:r>
      <w:r>
        <w:t>：使用网络测试仪（型号FLUKE DSX2-5000）检测Profinet网线，若衰减量&gt;6dB/km（标准≤4dB/km），更换双绞屏蔽线（型号STP-120Ω，截面积0.75mm²），布线时远离动力电缆（间距≥300mm），并做好接地（屏蔽层单端接地，接地电阻≤1Ω）。若接地不良，重新制作接地极（采用φ50mm镀锌钢管，长度2.5m，埋深≥0.8m，接地体周围填充降阻剂），测量接地电阻（使用接地电阻测试仪，型号ZC29B-2），确保≤4Ω，PLC接地与动力接地分开设置（间距≥5m）。若网线接头故障，重新压制水晶头（使用AMP专用工具，确保8芯全部压接到位，接触电阻≤0.1Ω），并更换交换机端口（测试端口通讯速率100Mbps全双工）。</w:t>
      </w:r>
    </w:p>
    <w:p w14:paraId="6B05BD27">
      <w:r>
        <w:rPr>
          <w:b/>
        </w:rPr>
        <w:t>传感器误报的解决</w:t>
      </w:r>
      <w:r>
        <w:t>：使用万用表（型号FLUKE 15B+）测量接近开关电源电压，若DC24V纹波系数&gt;5%，在电源输入端加装EMC滤波器（型号FB10-2020），滤除高频干扰（滤波频率10kHz-30MHz）。调整激光测距仪反光板角度（使用角度仪测量，倾斜角度≤3°），并清洁镜头（使用镜头纸蘸无水乙醇擦拭），确保接收光强&gt;8000lux（通过激光测距仪自带显示屏查看）。若编码器信号异常，更换屏蔽电缆（单端接地），并检查编码器安装同心度（径向跳动≤0.05mm），重新设置PLC计数模块参数（滤波时间设为0.1ms，抑制噪声干扰）。</w:t>
      </w:r>
    </w:p>
    <w:p w14:paraId="70A2DA35">
      <w:r>
        <w:rPr>
          <w:b/>
        </w:rPr>
        <w:t>电机过载的处理</w:t>
      </w:r>
      <w:r>
        <w:t>：首先检查电机三相电源（使用万用表测量相间电压，偏差≤5%），若缺相，更换熔断器（型号RT18-32，额定电流16A），并检查断路器（型号DZ47-63/3P）触点是否烧蚀（烧蚀面积&gt;10%时更换触点）。若电源正常，连接伺服电机驱动器调试软件（西门子STARTER），读取启动电流峰值（正常≤3倍额定电流，5.5KW电机≤34.8A），若超过则降低位置环增益参数（P29003从2000调整至1500），并延长加速时间（P29240从0.5s调整至1s）。若机械负载过大，拆检行走轮轴承（型号NU214），测量游隙（正常0.015-0.035mm），若游隙&gt;0.05mm，更换轴承（加注锂基润滑脂，填充量为轴承腔的1/3-1/2），并清理轨道异物（如铁屑、螺栓），确保行走阻力≤500N（用弹簧秤测量）。</w:t>
      </w:r>
    </w:p>
    <w:p w14:paraId="47E90FC8">
      <w:pPr>
        <w:pStyle w:val="4"/>
      </w:pPr>
      <w:r>
        <w:t>6.3 液压系统维修技术</w:t>
      </w:r>
    </w:p>
    <w:p w14:paraId="032F97B2">
      <w:r>
        <w:t>液压系统故障的维修需遵循“先外后内、先简后繁”的原则，通过压力检测、油液分析等手段定位故障元件，进行针对性维修。</w:t>
      </w:r>
    </w:p>
    <w:p w14:paraId="5A5394F1">
      <w:r>
        <w:rPr>
          <w:b/>
        </w:rPr>
        <w:t>液压推杆推力不足的修复</w:t>
      </w:r>
      <w:r>
        <w:t>：首先使用压力表（型号Y-100，量程0-25MPa）检测系统工作压力，若压力&lt;10MPa（标准12MPa），调整溢流阀（型号YF-L10H4）设定压力（顺时针旋转调节螺钉，每次调节量≤0.5MPa，直至压力达标）。若压力无法建立，拆检液压泵（型号CB-B25），测量齿轮端面间隙（标准0.03-0.05mm），若磨损量&gt;0.1mm，更换齿轮副（材质20CrMnTi，渗碳淬火HRC58-62），并更换泵轴油封（型号TC30×45×10，材质氟橡胶）。若液压锁失灵，拆解单向阀（型号IY10H1），清除阀芯污染物（使用航空煤油清洗），检查阀芯密封面（若有划痕，用研磨膏（型号W5）手工研磨至镜面），装配时在阀芯O型圈（型号12×1.9）上涂抹液压油，确保密封良好。</w:t>
      </w:r>
    </w:p>
    <w:p w14:paraId="722B1051">
      <w:r>
        <w:rPr>
          <w:b/>
        </w:rPr>
        <w:t>推杆动作迟缓的处理</w:t>
      </w:r>
      <w:r>
        <w:t>：检测液压油温度（正常30-50℃），若超过60℃，加装风冷却器（型号AH1012T-CA，散热面积1.2m²），流量匹配25L/min，确保油温控制在50℃以下。拆检电磁换向阀（4WE6D），测量阀芯与阀孔配合间隙（标准0.01-0.02mm），若磨损量&gt;0.03mm，更换阀套（材质20Cr，氮化处理硬度HV800）；阀芯复位弹簧若弹性不足（自由长度35mm，压缩后长度≤25mm），更换弹簧（材质65Mn，热处理HRC45-50）。若活塞杆弯曲，使用压力机（型号Y32-100）进行校直（压弯量0.1mm/m），校直后测量直线度（≤0.3mm/m），并更换油缸密封件（全套更换活塞密封、活塞杆密封及防尘圈，型号按油缸规格匹配）。</w:t>
      </w:r>
    </w:p>
    <w:p w14:paraId="474F5F49">
      <w:r>
        <w:rPr>
          <w:b/>
        </w:rPr>
        <w:t>管路泄漏的维修</w:t>
      </w:r>
      <w:r>
        <w:t>：对于接头渗漏，使用扭矩扳手（型号预置式）按标准扭矩（锥面密封接头35-40N·m）重新紧固，紧固后保压测试（1.5倍工作压力，保压5分钟无压降）。若密封件老化，更换O型圈（材质丁腈橡胶NBR，硬度70 Shore A），装配时在密封件表面涂抹液压油（型号L-HM46），避免划伤。若软管破裂，更换钢丝编织增强型软管（型号高压胶管2SN，工作压力25MPa，弯曲半径≥3倍管径），软管长度预留10%余量，避免拉伸或扭曲；管接头采用扣压式（扣压力120MPa），确保钢丝层完全咬合。</w:t>
      </w:r>
    </w:p>
    <w:p w14:paraId="199C51C0">
      <w:pPr>
        <w:pStyle w:val="3"/>
      </w:pPr>
      <w:r>
        <w:t>七、维护保养与预防性策略</w:t>
      </w:r>
    </w:p>
    <w:p w14:paraId="46075AF1">
      <w:pPr>
        <w:pStyle w:val="4"/>
      </w:pPr>
      <w:r>
        <w:t>7.1 日常点检与定期保养规程</w:t>
      </w:r>
    </w:p>
    <w:p w14:paraId="73EDE417">
      <w:r>
        <w:t>为确保卸料车长期稳定运行，需建立完善的日常点检与定期保养制度，通过规范化操作及时发现潜在故障，延长设备使用寿命。</w:t>
      </w:r>
    </w:p>
    <w:p w14:paraId="3954E8AE">
      <w:r>
        <w:rPr>
          <w:b/>
        </w:rPr>
        <w:t>日常点检项目</w:t>
      </w:r>
      <w:r>
        <w:t>（每班执行，操作员负责）：</w:t>
      </w:r>
    </w:p>
    <w:p w14:paraId="3D290D05">
      <w:pPr>
        <w:numPr>
          <w:ilvl w:val="0"/>
          <w:numId w:val="13"/>
        </w:numPr>
        <w:spacing w:before="0" w:beforeAutospacing="1" w:after="0" w:afterAutospacing="1"/>
        <w:ind w:left="720" w:hanging="360"/>
      </w:pPr>
      <w:r>
        <w:rPr>
          <w:b/>
        </w:rPr>
        <w:t>班前检查</w:t>
      </w:r>
      <w:r>
        <w:t>（开机前15分钟）：检查轴承温度（用红外测温仪测量，正常≤40℃，环境温度+30℃）；卸料口有无积料（目视检查，确保无残留物料）；限位开关状态（手动触发，确认指示灯亮灭正常）；急停按钮功能（按压后设备无法启动，复位后恢复）；液压油位（液位计显示在1/2-2/3处，不足时添加同型号液压油（L-HM46））。</w:t>
      </w:r>
    </w:p>
    <w:p w14:paraId="47A20BE1">
      <w:pPr>
        <w:numPr>
          <w:ilvl w:val="0"/>
          <w:numId w:val="13"/>
        </w:numPr>
        <w:spacing w:before="0" w:beforeAutospacing="1" w:after="0" w:afterAutospacing="1"/>
        <w:ind w:left="720" w:hanging="360"/>
      </w:pPr>
      <w:r>
        <w:rPr>
          <w:b/>
        </w:rPr>
        <w:t>班中监控</w:t>
      </w:r>
      <w:r>
        <w:t>（生产过程中每2小时）：监听设备运行声音（正常为均匀“嗡嗡”声，无异常杂音）；观察触摸屏显示参数（电机电流≤额定值的80%，定位偏差≤±3mm）；检查液压系统有无泄漏（接头、油缸活塞杆无油滴）；确认制动装置动作（停车时无滑行，制动距离≤100mm）。</w:t>
      </w:r>
    </w:p>
    <w:p w14:paraId="2DE0668F">
      <w:pPr>
        <w:numPr>
          <w:ilvl w:val="0"/>
          <w:numId w:val="13"/>
        </w:numPr>
        <w:spacing w:before="0" w:beforeAutospacing="1" w:after="0" w:afterAutospacing="1"/>
        <w:ind w:left="720" w:hanging="360"/>
      </w:pPr>
      <w:r>
        <w:rPr>
          <w:b/>
        </w:rPr>
        <w:t>班后清理</w:t>
      </w:r>
      <w:r>
        <w:t>（停机后10分钟）：清理漏斗内外壁粉尘（用压缩空气（0.4MPa）吹净，避免积尘影响光电传感器）；擦拭触摸屏与操作按钮（用无尘布蘸清水，禁止使用酒精）；关闭总电源，填写点检记录表（记录运行时间、故障现象及处理情况）。</w:t>
      </w:r>
    </w:p>
    <w:p w14:paraId="555C9F79">
      <w:r>
        <w:rPr>
          <w:b/>
        </w:rPr>
        <w:t>定期保养内容</w:t>
      </w:r>
      <w:r>
        <w:t>：</w:t>
      </w:r>
    </w:p>
    <w:p w14:paraId="22A43E9F">
      <w:pPr>
        <w:numPr>
          <w:ilvl w:val="0"/>
          <w:numId w:val="14"/>
        </w:numPr>
        <w:spacing w:before="0" w:beforeAutospacing="1" w:after="0" w:afterAutospacing="1"/>
        <w:ind w:left="720" w:hanging="360"/>
      </w:pPr>
      <w:r>
        <w:rPr>
          <w:b/>
        </w:rPr>
        <w:t>周保养</w:t>
      </w:r>
      <w:r>
        <w:t>（每周五白班，维修工负责）：清洁所有传感器镜头（激光测距仪、光电传感器），用镜头纸蘸无水乙醇擦拭；检查行走轮轮缘磨损量（测量高度，记录磨损趋势）；测试制动系统性能（空载状态下，从1.0m/s降至0，制动距离应≤150mm）；给旋转轴轴承油杯加注锂基润滑脂（型号ZL-3，加注量0.5ml/个）。</w:t>
      </w:r>
    </w:p>
    <w:p w14:paraId="403D0436">
      <w:pPr>
        <w:numPr>
          <w:ilvl w:val="0"/>
          <w:numId w:val="14"/>
        </w:numPr>
        <w:spacing w:before="0" w:beforeAutospacing="1" w:after="0" w:afterAutospacing="1"/>
        <w:ind w:left="720" w:hanging="360"/>
      </w:pPr>
      <w:r>
        <w:rPr>
          <w:b/>
        </w:rPr>
        <w:t>月保养</w:t>
      </w:r>
      <w:r>
        <w:t>（每月最后一个工作日，维修工负责）：校准编码器与激光测距仪（使用激光干涉仪（型号XL-80）校准定位精度，偏差超±0.5mm时执行参数修正）；检查挡料板定位精度（旋转90°后，角度偏差应≤±0.5°，超差时调整伺服电机参数P29240（位置环积分时间））；紧固所有连接螺栓（重点检查电机地脚螺栓、减速器固定螺栓，扭矩按规格表执行，如M16螺栓扭矩45N·m）。</w:t>
      </w:r>
    </w:p>
    <w:p w14:paraId="7826B444">
      <w:pPr>
        <w:numPr>
          <w:ilvl w:val="0"/>
          <w:numId w:val="14"/>
        </w:numPr>
        <w:spacing w:before="0" w:beforeAutospacing="1" w:after="0" w:afterAutospacing="1"/>
        <w:ind w:left="720" w:hanging="360"/>
      </w:pPr>
      <w:r>
        <w:rPr>
          <w:b/>
        </w:rPr>
        <w:t>季度保养</w:t>
      </w:r>
      <w:r>
        <w:t>（每季度末，维修班组负责）：更换液压油滤芯（型号WU-100×100-J，过滤精度10μm）；检查液压油污染度（使用油液污染度检测仪（型号PAMAS S40），等级应≤NAS 8级，超差时更换新油（油量约40L，排空旧油后用新油冲洗系统））；检测电机绝缘电阻（使用兆欧表（型号ZC25-3，500V），相间绝缘≥500MΩ，对地绝缘≥100MΩ）；检查链条张紧度（下垂量20-30mm，超差时调整张紧轮）。</w:t>
      </w:r>
    </w:p>
    <w:p w14:paraId="4DBB33B2">
      <w:pPr>
        <w:pStyle w:val="4"/>
      </w:pPr>
      <w:r>
        <w:t>7.2 预防性维护技术应用</w:t>
      </w:r>
    </w:p>
    <w:p w14:paraId="57ADF027">
      <w:r>
        <w:t>通过引入状态监测与预测性维护技术，实时监控设备运行状态，分析数据趋势，提前发现潜在故障，实现从“故障维修”向“预知维修”的转变。</w:t>
      </w:r>
    </w:p>
    <w:p w14:paraId="6239B97F">
      <w:r>
        <w:rPr>
          <w:b/>
        </w:rPr>
        <w:t>振动监测技术</w:t>
      </w:r>
      <w:r>
        <w:t>用于评估旋转部件的健康状态：在挡料板旋转轴轴承座、行走电机轴承座及减速器壳体上安装振动加速度传感器（型号ICP型，灵敏度100mV/g），通过数据采集器（型号NI 9234）实时采集振动信号（采样频率25.6kHz），传输至上位机进行频谱分析。正常状态下，轴承特征频率（内圈故障频率fi=0.6×转速，外圈故障频率fo=0.4×转速）的振动幅值≤0.5g；当检测到幅值超过1.0g（如轴承内圈剥落时，fi频率处出现峰值），或峭度系数&gt;6（正常&lt;3），判定轴承存在早期故障，提前安排更换（剩余寿命预测≥200小时，确保不影响生产计划）。</w:t>
      </w:r>
    </w:p>
    <w:p w14:paraId="5F97FE5F">
      <w:r>
        <w:rPr>
          <w:b/>
        </w:rPr>
        <w:t>油液光谱分析</w:t>
      </w:r>
      <w:r>
        <w:t>用于监测液压系统磨损状态：每季度采集液压油样（取样量100ml，使用专用取样瓶，避免污染），通过直读光谱仪（型号SPECTRO MIDEX）检测油液中金属元素浓度（Fe、Cu、Al、Si等）。正常情况下，Fe元素浓度≤15ppm/1000小时，Cu元素≤10ppm/1000小时；当Fe浓度超过20ppm（如液压泵齿轮磨损）或Si浓度超过15ppm（外界粉尘污染），结合铁谱分析（使用分析式铁谱仪观察磨粒形态，若出现切削磨粒（长度&gt;50μm），判定存在严重磨损），及时更换磨损元件并过滤油液（使用滤油机（型号LUCD-100，过滤精度3μm）循环过滤）。</w:t>
      </w:r>
    </w:p>
    <w:p w14:paraId="65CB8E10">
      <w:r>
        <w:rPr>
          <w:b/>
        </w:rPr>
        <w:t>传感器漂移趋势分析</w:t>
      </w:r>
      <w:r>
        <w:t>通过长期数据记录识别性能退化：在PLC中编写数据记录程序，每小时存储一次关键传感器的测量值（如激光测距仪定位偏差、挡料板角度偏差、称重传感器读数），形成趋势曲线。正常情况下，定位偏差的漂移量≤0.1mm/月；当连续3个月漂移量&gt;0.3mm/月（如激光测距仪镜头老化），或角度偏差漂移&gt;0.2°/月（编码器安装松动），提前校准传感器或更换备件。例如，激光测距仪使用超过2年（约16000小时）后，若漂移趋势加快，及时更换新传感器（校准后投入备用，避免突发故障）。</w:t>
      </w:r>
    </w:p>
    <w:p w14:paraId="5AADB754">
      <w:r>
        <w:t>通过上述预防性维护措施的综合应用，可使卸料车的故障停机率降低60%以上，平均无故障工作时间（MTBF）从300小时提升至800小时以上，显著提升干变铁芯车间的生产连续性与设备可靠性。</w:t>
      </w:r>
    </w:p>
    <w:p w14:paraId="591A6C08">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BE3F13A3"/>
    <w:multiLevelType w:val="singleLevel"/>
    <w:tmpl w:val="BE3F13A3"/>
    <w:lvl w:ilvl="0" w:tentative="0">
      <w:start w:val="1"/>
      <w:numFmt w:val="bullet"/>
      <w:lvlText w:val=""/>
      <w:lvlJc w:val="left"/>
      <w:pPr>
        <w:ind w:left="720" w:hanging="360"/>
      </w:pPr>
      <w:rPr>
        <w:rFonts w:hint="default" w:ascii="Symbol" w:hAnsi="Symbol" w:cs="Symbol"/>
        <w:sz w:val="20"/>
      </w:rPr>
    </w:lvl>
  </w:abstractNum>
  <w:abstractNum w:abstractNumId="4">
    <w:nsid w:val="EBF83C0F"/>
    <w:multiLevelType w:val="singleLevel"/>
    <w:tmpl w:val="EBF83C0F"/>
    <w:lvl w:ilvl="0" w:tentative="0">
      <w:start w:val="1"/>
      <w:numFmt w:val="bullet"/>
      <w:lvlText w:val=""/>
      <w:lvlJc w:val="left"/>
      <w:pPr>
        <w:ind w:left="720" w:hanging="360"/>
      </w:pPr>
      <w:rPr>
        <w:rFonts w:hint="default" w:ascii="Symbol" w:hAnsi="Symbol" w:cs="Symbol"/>
        <w:sz w:val="20"/>
      </w:rPr>
    </w:lvl>
  </w:abstractNum>
  <w:abstractNum w:abstractNumId="5">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6">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7">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8">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9">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10">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11">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2">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3">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11"/>
  </w:num>
  <w:num w:numId="2">
    <w:abstractNumId w:val="13"/>
  </w:num>
  <w:num w:numId="3">
    <w:abstractNumId w:val="1"/>
  </w:num>
  <w:num w:numId="4">
    <w:abstractNumId w:val="9"/>
  </w:num>
  <w:num w:numId="5">
    <w:abstractNumId w:val="6"/>
  </w:num>
  <w:num w:numId="6">
    <w:abstractNumId w:val="12"/>
  </w:num>
  <w:num w:numId="7">
    <w:abstractNumId w:val="5"/>
  </w:num>
  <w:num w:numId="8">
    <w:abstractNumId w:val="10"/>
  </w:num>
  <w:num w:numId="9">
    <w:abstractNumId w:val="7"/>
  </w:num>
  <w:num w:numId="10">
    <w:abstractNumId w:val="8"/>
  </w:num>
  <w:num w:numId="11">
    <w:abstractNumId w:val="2"/>
  </w:num>
  <w:num w:numId="12">
    <w:abstractNumId w:val="0"/>
  </w:num>
  <w:num w:numId="13">
    <w:abstractNumId w:val="3"/>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2BD5153"/>
    <w:rsid w:val="BCB98261"/>
    <w:rsid w:val="CFF61E20"/>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 w:type="character" w:customStyle="1" w:styleId="109">
    <w:name w:val="10"/>
    <w:basedOn w:val="51"/>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20</Pages>
  <Words>450</Words>
  <Characters>502</Characters>
  <Lines>1</Lines>
  <Paragraphs>1</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2025-10-02T19:36:44Z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2F8272EA35657B2DCC63DE685BBDA620_43</vt:lpwstr>
  </property>
  <property fmtid="{D5CDD505-2E9C-101B-9397-08002B2CF9AE}" pid="4" name="KSOTemplateDocerSaveRecord">
    <vt:lpwstr>eyJoZGlkIjoiNzI4YmNmYThhZjA0NTVhODllNDhjMGZiNmFkMDJjN2YiLCJ1c2VySWQiOiIxNjA5OTI0MDI0In0=</vt:lpwstr>
  </property>
</Properties>
</file>