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9D6F1">
      <w:pPr>
        <w:pStyle w:val="2"/>
      </w:pPr>
    </w:p>
    <w:p w14:paraId="21DEE0E0">
      <w:pPr>
        <w:pStyle w:val="2"/>
      </w:pPr>
      <w:r>
        <w:t>铁芯干式喷漆装置减速机技术手册</w:t>
      </w:r>
    </w:p>
    <w:p w14:paraId="092DBAF0">
      <w:pPr>
        <w:pStyle w:val="3"/>
      </w:pPr>
      <w:r>
        <w:t>一、概述</w:t>
      </w:r>
    </w:p>
    <w:p w14:paraId="39A942F4">
      <w:pPr>
        <w:pStyle w:val="4"/>
      </w:pPr>
      <w:r>
        <w:t>1.1 减速机定义与功能定位</w:t>
      </w:r>
    </w:p>
    <w:p w14:paraId="7A3A2ACD">
      <w:r>
        <w:t>铁芯干式喷漆装置中的减速机是连接动力源与执行机构的关键传动部件，通过封闭在刚性壳体内的齿轮、蜗轮蜗杆或行星齿轮等啮合机构，将电机的高速低扭矩输入转换为低速高扭矩输出，以满足喷漆机械臂、传送带及工件旋转机构的工艺需求。其核心功能体现在三个方面：一是转速匹配，将电机1500r/min的额定转速降至工艺所需的低速（如传送带线速度0.5-2m/min、喷头定位机构转速5-10r/min）；二是扭矩传递，通过传动比放大扭矩，驱动负载（如200kg的喷漆机械臂、500kg的工件自转机构）实现平稳运行；三是位置控制，配合伺服系统实现喷头±0.1°的角度定位精度及重复定位误差≤±0.02mm，确保铁芯表面喷漆膜厚均匀（偏差≤5μm）。</w:t>
      </w:r>
    </w:p>
    <w:p w14:paraId="3E42D3BE">
      <w:r>
        <w:t>相较于通用减速机，铁芯干式喷漆装置用减速机需适应特殊工况：一是防爆防尘要求，箱体需涂覆环氧树脂防爆涂层（干膜厚度≥80μm），防护等级达IP65，防止漆雾和溶剂侵入；二是运行平稳性，振动速度需≤1.5mm/s（ISO 10816标准），噪音≤75dB（A计权），避免漆面出现波纹；三是耐高温性，轴承温升≤40℃（环境温度25℃时），油温≤80℃，以应对喷漆车间夏季高温环境（可能超过40℃）。行业标准GB/T 2981-2017明确规定，此类减速机在额定负载下的累计无故障运行时间需≥8000小时，齿轮啮合侧隙通过铅丝检验，最小侧隙不小于0.16mm，齿面接触斑点沿齿高方向≥40%、沿齿长方向≥50%。</w:t>
      </w:r>
    </w:p>
    <w:p w14:paraId="5663867F">
      <w:pPr>
        <w:pStyle w:val="4"/>
      </w:pPr>
      <w:r>
        <w:t>1.2 分类与适配特性</w:t>
      </w:r>
    </w:p>
    <w:p w14:paraId="09A07A23">
      <w:r>
        <w:t>铁芯干式喷漆装置常用的减速机按传动类型可分为蜗轮蜗杆传动和齿轮传动（含斜齿轮、行星齿轮），二者在技术特性和应用场景上差异显著，具体适配特性如下：</w:t>
      </w:r>
    </w:p>
    <w:p w14:paraId="768D9239">
      <w:pPr>
        <w:pStyle w:val="5"/>
      </w:pPr>
      <w:r>
        <w:t>蜗轮蜗杆减速机</w:t>
      </w:r>
    </w:p>
    <w:p w14:paraId="6925A818">
      <w:r>
        <w:t>以WP系列（如WPWKA、WPWKS型）为代表，通过蜗杆（主动件）与蜗轮（从动件）的90°交错轴啮合传递动力，单级传动比范围10-1000（常用20-80），额定扭矩0.1-50kN·m。其核心优势是自锁性（当导程角γ＜当量摩擦角φv，通常γ≤3.5°时），可防止断电时垂直升降的喷漆喷头坠落，适用于升降机构（如Z轴方向的喷头高度调节）。材料方面，蜗杆采用20CrMnTi淬硬合金钢（硬度HRC58-62，渗碳层深度0.8-1.2mm），蜗轮使用锡青铜ZCuSn10Pb1（耐磨性好，适用于滑动速度vs≤15m/s）或铝青铜ZCuAl10Fe3（低速重载场景）。但受滑动摩擦影响，效率较低（单头蜗杆60-70%，多头蜗杆80-85%），且传动比越大效率越低（i=100时η≈65%），需配合专用蜗轮蜗杆油（L-CKE/P220）控制温升。</w:t>
      </w:r>
    </w:p>
    <w:p w14:paraId="741F6457">
      <w:pPr>
        <w:pStyle w:val="5"/>
      </w:pPr>
      <w:r>
        <w:t>齿轮传动减速机</w:t>
      </w:r>
    </w:p>
    <w:p w14:paraId="6F1A3297">
      <w:r>
        <w:t>包括斜齿轮和行星齿轮两类：斜齿轮减速机（如SEW R系列）通过平行轴斜齿啮合，单级传动比1.5-8（多级可达1000），效率85-98%，适用于水平传送带驱动（如工件输送线，线速度1.5m/s），其斜齿结构（螺旋角8-15°）重合度高（ε=1.8-2.5），承载能力比直齿高1.5倍，噪音降低3-5dB。行星减速机（如RV系列）由太阳轮、行星轮（3-6个）、行星架和齿圈组成，单级传动比3-10（多级可达10000），扭矩密度80-120N·m/kg（仅为传统齿轮减速机体积的1/3），回程间隙＜1弧分（精密型），适用于喷头摆动机构（如XY轴平面的圆弧插补运动）。齿轮材料选用40CrNiMoA调质处理（硬度220-280HB），齿面淬火HRC58-62，确保抗冲击能力（冲击载荷工况系数K=1.5）。</w:t>
      </w:r>
    </w:p>
    <w:p w14:paraId="7812C93A">
      <w:pPr>
        <w:pStyle w:val="5"/>
      </w:pPr>
      <w:r>
        <w:t>技术参数对比表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0A29EF5">
        <w:tblPrEx>
          <w:tblCellMar>
            <w:top w:w="0" w:type="dxa"/>
            <w:left w:w="0" w:type="dxa"/>
            <w:bottom w:w="0" w:type="dxa"/>
            <w:right w:w="0" w:type="dxa"/>
          </w:tblCellMar>
        </w:tblPrEx>
        <w:tc>
          <w:tcPr>
            <w:tcW w:w="0" w:type="auto"/>
            <w:vAlign w:val="center"/>
          </w:tcPr>
          <w:p w14:paraId="56AE4B52">
            <w:pPr>
              <w:jc w:val="center"/>
              <w:rPr>
                <w:b/>
              </w:rPr>
            </w:pPr>
            <w:r>
              <w:rPr>
                <w:b/>
              </w:rPr>
              <w:t>参数项</w:t>
            </w:r>
          </w:p>
        </w:tc>
        <w:tc>
          <w:tcPr>
            <w:tcW w:w="0" w:type="auto"/>
            <w:vAlign w:val="center"/>
          </w:tcPr>
          <w:p w14:paraId="246E2A0D">
            <w:pPr>
              <w:jc w:val="center"/>
              <w:rPr>
                <w:b/>
              </w:rPr>
            </w:pPr>
            <w:r>
              <w:rPr>
                <w:b/>
              </w:rPr>
              <w:t>蜗轮蜗杆减速机（WP系列）</w:t>
            </w:r>
          </w:p>
        </w:tc>
        <w:tc>
          <w:tcPr>
            <w:tcW w:w="0" w:type="auto"/>
            <w:vAlign w:val="center"/>
          </w:tcPr>
          <w:p w14:paraId="4699A47F">
            <w:pPr>
              <w:jc w:val="center"/>
              <w:rPr>
                <w:b/>
              </w:rPr>
            </w:pPr>
            <w:r>
              <w:rPr>
                <w:b/>
              </w:rPr>
              <w:t>斜齿轮减速机（R系列）</w:t>
            </w:r>
          </w:p>
        </w:tc>
        <w:tc>
          <w:tcPr>
            <w:tcW w:w="0" w:type="auto"/>
            <w:vAlign w:val="center"/>
          </w:tcPr>
          <w:p w14:paraId="712D419A">
            <w:pPr>
              <w:jc w:val="center"/>
              <w:rPr>
                <w:b/>
              </w:rPr>
            </w:pPr>
            <w:r>
              <w:rPr>
                <w:b/>
              </w:rPr>
              <w:t>行星减速机（RV系列）</w:t>
            </w:r>
          </w:p>
        </w:tc>
      </w:tr>
      <w:tr w14:paraId="4DEA04D7">
        <w:tblPrEx>
          <w:tblCellMar>
            <w:top w:w="0" w:type="dxa"/>
            <w:left w:w="0" w:type="dxa"/>
            <w:bottom w:w="0" w:type="dxa"/>
            <w:right w:w="0" w:type="dxa"/>
          </w:tblCellMar>
        </w:tblPrEx>
        <w:tc>
          <w:tcPr>
            <w:tcW w:w="0" w:type="auto"/>
            <w:vAlign w:val="center"/>
          </w:tcPr>
          <w:p w14:paraId="41EDAD4B">
            <w:r>
              <w:t>传动比范围</w:t>
            </w:r>
          </w:p>
        </w:tc>
        <w:tc>
          <w:tcPr>
            <w:tcW w:w="0" w:type="auto"/>
            <w:vAlign w:val="center"/>
          </w:tcPr>
          <w:p w14:paraId="43BD610A">
            <w:r>
              <w:t>10-1000（单级）</w:t>
            </w:r>
          </w:p>
        </w:tc>
        <w:tc>
          <w:tcPr>
            <w:tcW w:w="0" w:type="auto"/>
            <w:vAlign w:val="center"/>
          </w:tcPr>
          <w:p w14:paraId="2648635E">
            <w:r>
              <w:t>1.5-8（单级）</w:t>
            </w:r>
          </w:p>
        </w:tc>
        <w:tc>
          <w:tcPr>
            <w:tcW w:w="0" w:type="auto"/>
            <w:vAlign w:val="center"/>
          </w:tcPr>
          <w:p w14:paraId="491CBD09">
            <w:r>
              <w:t>3-10（单级）</w:t>
            </w:r>
          </w:p>
        </w:tc>
      </w:tr>
      <w:tr w14:paraId="5C2CA1EE">
        <w:tblPrEx>
          <w:tblCellMar>
            <w:top w:w="0" w:type="dxa"/>
            <w:left w:w="0" w:type="dxa"/>
            <w:bottom w:w="0" w:type="dxa"/>
            <w:right w:w="0" w:type="dxa"/>
          </w:tblCellMar>
        </w:tblPrEx>
        <w:tc>
          <w:tcPr>
            <w:tcW w:w="0" w:type="auto"/>
            <w:vAlign w:val="center"/>
          </w:tcPr>
          <w:p w14:paraId="286A067A">
            <w:r>
              <w:t>额定扭矩</w:t>
            </w:r>
          </w:p>
        </w:tc>
        <w:tc>
          <w:tcPr>
            <w:tcW w:w="0" w:type="auto"/>
            <w:vAlign w:val="center"/>
          </w:tcPr>
          <w:p w14:paraId="74E7D090">
            <w:r>
              <w:t>0.1-50kN·m</w:t>
            </w:r>
          </w:p>
        </w:tc>
        <w:tc>
          <w:tcPr>
            <w:tcW w:w="0" w:type="auto"/>
            <w:vAlign w:val="center"/>
          </w:tcPr>
          <w:p w14:paraId="401CDADF">
            <w:r>
              <w:t>10-10000N·m</w:t>
            </w:r>
          </w:p>
        </w:tc>
        <w:tc>
          <w:tcPr>
            <w:tcW w:w="0" w:type="auto"/>
            <w:vAlign w:val="center"/>
          </w:tcPr>
          <w:p w14:paraId="132FEE93">
            <w:r>
              <w:t>1-5000N·m</w:t>
            </w:r>
          </w:p>
        </w:tc>
      </w:tr>
      <w:tr w14:paraId="0C53AAFE">
        <w:tc>
          <w:tcPr>
            <w:tcW w:w="0" w:type="auto"/>
            <w:vAlign w:val="center"/>
          </w:tcPr>
          <w:p w14:paraId="1F89C7BE">
            <w:r>
              <w:t>效率</w:t>
            </w:r>
          </w:p>
        </w:tc>
        <w:tc>
          <w:tcPr>
            <w:tcW w:w="0" w:type="auto"/>
            <w:vAlign w:val="center"/>
          </w:tcPr>
          <w:p w14:paraId="54C59C39">
            <w:r>
              <w:t>50%-90%</w:t>
            </w:r>
          </w:p>
        </w:tc>
        <w:tc>
          <w:tcPr>
            <w:tcW w:w="0" w:type="auto"/>
            <w:vAlign w:val="center"/>
          </w:tcPr>
          <w:p w14:paraId="3E1E7102">
            <w:r>
              <w:t>85%-98%</w:t>
            </w:r>
          </w:p>
        </w:tc>
        <w:tc>
          <w:tcPr>
            <w:tcW w:w="0" w:type="auto"/>
            <w:vAlign w:val="center"/>
          </w:tcPr>
          <w:p w14:paraId="2102D5B1">
            <w:r>
              <w:t>90%-97%</w:t>
            </w:r>
          </w:p>
        </w:tc>
      </w:tr>
      <w:tr w14:paraId="13E7D6DA">
        <w:tblPrEx>
          <w:tblCellMar>
            <w:top w:w="0" w:type="dxa"/>
            <w:left w:w="0" w:type="dxa"/>
            <w:bottom w:w="0" w:type="dxa"/>
            <w:right w:w="0" w:type="dxa"/>
          </w:tblCellMar>
        </w:tblPrEx>
        <w:tc>
          <w:tcPr>
            <w:tcW w:w="0" w:type="auto"/>
            <w:vAlign w:val="center"/>
          </w:tcPr>
          <w:p w14:paraId="6345F160">
            <w:r>
              <w:t>回程间隙</w:t>
            </w:r>
          </w:p>
        </w:tc>
        <w:tc>
          <w:tcPr>
            <w:tcW w:w="0" w:type="auto"/>
            <w:vAlign w:val="center"/>
          </w:tcPr>
          <w:p w14:paraId="302D41BA">
            <w:r>
              <w:t>≤1°30′（标准型）</w:t>
            </w:r>
          </w:p>
        </w:tc>
        <w:tc>
          <w:tcPr>
            <w:tcW w:w="0" w:type="auto"/>
            <w:vAlign w:val="center"/>
          </w:tcPr>
          <w:p w14:paraId="0CFD0C76">
            <w:r>
              <w:t>5-10弧分</w:t>
            </w:r>
          </w:p>
        </w:tc>
        <w:tc>
          <w:tcPr>
            <w:tcW w:w="0" w:type="auto"/>
            <w:vAlign w:val="center"/>
          </w:tcPr>
          <w:p w14:paraId="7814A57B">
            <w:r>
              <w:t>＜1弧分（精密型）</w:t>
            </w:r>
          </w:p>
        </w:tc>
      </w:tr>
      <w:tr w14:paraId="6FB5148E">
        <w:tblPrEx>
          <w:tblCellMar>
            <w:top w:w="0" w:type="dxa"/>
            <w:left w:w="0" w:type="dxa"/>
            <w:bottom w:w="0" w:type="dxa"/>
            <w:right w:w="0" w:type="dxa"/>
          </w:tblCellMar>
        </w:tblPrEx>
        <w:tc>
          <w:tcPr>
            <w:tcW w:w="0" w:type="auto"/>
            <w:vAlign w:val="center"/>
          </w:tcPr>
          <w:p w14:paraId="6C935459">
            <w:r>
              <w:t>轴向载荷</w:t>
            </w:r>
          </w:p>
        </w:tc>
        <w:tc>
          <w:tcPr>
            <w:tcW w:w="0" w:type="auto"/>
            <w:vAlign w:val="center"/>
          </w:tcPr>
          <w:p w14:paraId="29D32EFB">
            <w:r>
              <w:t>8-12kN（RV75机型）</w:t>
            </w:r>
          </w:p>
        </w:tc>
        <w:tc>
          <w:tcPr>
            <w:tcW w:w="0" w:type="auto"/>
            <w:vAlign w:val="center"/>
          </w:tcPr>
          <w:p w14:paraId="65D590FE">
            <w:r>
              <w:t>15-20kN</w:t>
            </w:r>
          </w:p>
        </w:tc>
        <w:tc>
          <w:tcPr>
            <w:tcW w:w="0" w:type="auto"/>
            <w:vAlign w:val="center"/>
          </w:tcPr>
          <w:p w14:paraId="0DE23C16">
            <w:r>
              <w:t>5-15kN</w:t>
            </w:r>
          </w:p>
        </w:tc>
      </w:tr>
      <w:tr w14:paraId="6638714C">
        <w:tblPrEx>
          <w:tblCellMar>
            <w:top w:w="0" w:type="dxa"/>
            <w:left w:w="0" w:type="dxa"/>
            <w:bottom w:w="0" w:type="dxa"/>
            <w:right w:w="0" w:type="dxa"/>
          </w:tblCellMar>
        </w:tblPrEx>
        <w:tc>
          <w:tcPr>
            <w:tcW w:w="0" w:type="auto"/>
            <w:vAlign w:val="center"/>
          </w:tcPr>
          <w:p w14:paraId="237378A0">
            <w:r>
              <w:t>适用转速</w:t>
            </w:r>
          </w:p>
        </w:tc>
        <w:tc>
          <w:tcPr>
            <w:tcW w:w="0" w:type="auto"/>
            <w:vAlign w:val="center"/>
          </w:tcPr>
          <w:p w14:paraId="70F70CB8">
            <w:r>
              <w:t>≤1500r/min</w:t>
            </w:r>
          </w:p>
        </w:tc>
        <w:tc>
          <w:tcPr>
            <w:tcW w:w="0" w:type="auto"/>
            <w:vAlign w:val="center"/>
          </w:tcPr>
          <w:p w14:paraId="57FDDD7D">
            <w:r>
              <w:t>≤3000r/min</w:t>
            </w:r>
          </w:p>
        </w:tc>
        <w:tc>
          <w:tcPr>
            <w:tcW w:w="0" w:type="auto"/>
            <w:vAlign w:val="center"/>
          </w:tcPr>
          <w:p w14:paraId="1F82F911">
            <w:r>
              <w:t>≤6000r/min</w:t>
            </w:r>
          </w:p>
        </w:tc>
      </w:tr>
      <w:tr w14:paraId="2084277B">
        <w:tc>
          <w:tcPr>
            <w:tcW w:w="0" w:type="auto"/>
            <w:vAlign w:val="center"/>
          </w:tcPr>
          <w:p w14:paraId="24F626EF">
            <w:r>
              <w:t>典型应用</w:t>
            </w:r>
          </w:p>
        </w:tc>
        <w:tc>
          <w:tcPr>
            <w:tcW w:w="0" w:type="auto"/>
            <w:vAlign w:val="center"/>
          </w:tcPr>
          <w:p w14:paraId="659EC218">
            <w:r>
              <w:t>喷头升降机构</w:t>
            </w:r>
          </w:p>
        </w:tc>
        <w:tc>
          <w:tcPr>
            <w:tcW w:w="0" w:type="auto"/>
            <w:vAlign w:val="center"/>
          </w:tcPr>
          <w:p w14:paraId="464318F9">
            <w:r>
              <w:t>水平传送带</w:t>
            </w:r>
          </w:p>
        </w:tc>
        <w:tc>
          <w:tcPr>
            <w:tcW w:w="0" w:type="auto"/>
            <w:vAlign w:val="center"/>
          </w:tcPr>
          <w:p w14:paraId="70B11F0F">
            <w:r>
              <w:t>喷头摆动定位</w:t>
            </w:r>
          </w:p>
        </w:tc>
      </w:tr>
    </w:tbl>
    <w:p w14:paraId="05AA1D03">
      <w:pPr>
        <w:pStyle w:val="4"/>
      </w:pPr>
      <w:r>
        <w:t>1.3 技术标准与规范</w:t>
      </w:r>
    </w:p>
    <w:p w14:paraId="5B094CC1">
      <w:r>
        <w:t>铁芯干式喷漆装置减速机的设计、制造和检验需遵循多项标准，确保性能可靠和安全合规：</w:t>
      </w:r>
    </w:p>
    <w:p w14:paraId="401ECFE1">
      <w:pPr>
        <w:pStyle w:val="5"/>
      </w:pPr>
      <w:r>
        <w:t>国家标准</w:t>
      </w:r>
    </w:p>
    <w:p w14:paraId="2AD3E89B">
      <w:pPr>
        <w:numPr>
          <w:ilvl w:val="0"/>
          <w:numId w:val="13"/>
        </w:numPr>
        <w:spacing w:before="0" w:beforeAutospacing="1" w:after="0" w:afterAutospacing="1"/>
        <w:ind w:left="720" w:hanging="360"/>
      </w:pPr>
      <w:r>
        <w:rPr>
          <w:b/>
        </w:rPr>
        <w:t>GB/T 2981-2017《齿轮减速机》</w:t>
      </w:r>
      <w:r>
        <w:t>：规定齿轮精度等级（ISO 1328-2级）、振动限值（转速1500r/min时振动速度≤1.5mm/s）、噪声要求（空负载噪音≤75dB）及温升限值（油池温升≤40K）。</w:t>
      </w:r>
    </w:p>
    <w:p w14:paraId="35A12A17">
      <w:pPr>
        <w:numPr>
          <w:ilvl w:val="0"/>
          <w:numId w:val="13"/>
        </w:numPr>
        <w:spacing w:before="0" w:beforeAutospacing="1" w:after="0" w:afterAutospacing="1"/>
        <w:ind w:left="720" w:hanging="360"/>
      </w:pPr>
      <w:r>
        <w:rPr>
          <w:b/>
        </w:rPr>
        <w:t>GB/T 10095.1-2021《圆柱齿轮 精度制 第1部分：轮齿同侧齿面偏差的定义和允许值》</w:t>
      </w:r>
      <w:r>
        <w:t>：明确齿轮齿距偏差（±0.02mm）、齿廓总偏差（0.015mm）及螺旋线总偏差（0.02mm），确保啮合精度。</w:t>
      </w:r>
    </w:p>
    <w:p w14:paraId="3451605A">
      <w:pPr>
        <w:numPr>
          <w:ilvl w:val="0"/>
          <w:numId w:val="13"/>
        </w:numPr>
        <w:spacing w:before="0" w:beforeAutospacing="1" w:after="0" w:afterAutospacing="1"/>
        <w:ind w:left="720" w:hanging="360"/>
      </w:pPr>
      <w:r>
        <w:rPr>
          <w:b/>
        </w:rPr>
        <w:t>GB 12476.1-2013《可燃性粉尘环境用电气设备 第1部分：通用要求》</w:t>
      </w:r>
      <w:r>
        <w:t>：防爆型减速机需符合本安型设计要求，表面温度≤135℃（T4组别），适用于喷漆车间可燃性漆雾环境。</w:t>
      </w:r>
    </w:p>
    <w:p w14:paraId="33A69C73">
      <w:pPr>
        <w:pStyle w:val="5"/>
      </w:pPr>
      <w:r>
        <w:t>行业标准</w:t>
      </w:r>
    </w:p>
    <w:p w14:paraId="62483506">
      <w:pPr>
        <w:numPr>
          <w:ilvl w:val="0"/>
          <w:numId w:val="14"/>
        </w:numPr>
        <w:spacing w:before="0" w:beforeAutospacing="1" w:after="0" w:afterAutospacing="1"/>
        <w:ind w:left="720" w:hanging="360"/>
      </w:pPr>
      <w:r>
        <w:rPr>
          <w:b/>
        </w:rPr>
        <w:t>HG/T 3139-2009《釜用立式减速机》</w:t>
      </w:r>
      <w:r>
        <w:t>：规定轴封系统的密封性能（允许轻微油迹，不形成滴漏）、轴承寿命（≥10000小时）及空载试运行要求（运转2小时无异常噪音）。</w:t>
      </w:r>
    </w:p>
    <w:p w14:paraId="3727681C">
      <w:pPr>
        <w:numPr>
          <w:ilvl w:val="0"/>
          <w:numId w:val="14"/>
        </w:numPr>
        <w:spacing w:before="0" w:beforeAutospacing="1" w:after="0" w:afterAutospacing="1"/>
        <w:ind w:left="720" w:hanging="360"/>
      </w:pPr>
      <w:r>
        <w:rPr>
          <w:b/>
        </w:rPr>
        <w:t>JB/T 9002-1999《圆柱蜗杆减速机》</w:t>
      </w:r>
      <w:r>
        <w:t>：蜗轮蜗杆减速机的中心距偏差（±0.02mm）、蜗轮中间平面与蜗杆轴线重合度误差（≤0.05mm）及接触斑点（沿齿高≥40%、沿齿长≥50%）。</w:t>
      </w:r>
    </w:p>
    <w:p w14:paraId="12DBB75C">
      <w:pPr>
        <w:pStyle w:val="5"/>
      </w:pPr>
      <w:r>
        <w:t>企业规范</w:t>
      </w:r>
    </w:p>
    <w:p w14:paraId="6A899C33">
      <w:pPr>
        <w:numPr>
          <w:ilvl w:val="0"/>
          <w:numId w:val="15"/>
        </w:numPr>
        <w:spacing w:before="0" w:beforeAutospacing="1" w:after="0" w:afterAutospacing="1"/>
        <w:ind w:left="720" w:hanging="360"/>
      </w:pPr>
      <w:r>
        <w:rPr>
          <w:b/>
        </w:rPr>
        <w:t>材料要求</w:t>
      </w:r>
      <w:r>
        <w:t>：箱体采用灰铸铁HT200（抗拉强度≥200MPa）或铸钢ZG270-500（冲击韧性≥20J/cm²）；轴系用45钢锻造（σb≥600MPa）或40Cr调质处理（硬度220-280HB）；轴承选用SKF或NSK品牌（深沟球轴承6200系列、圆锥滚子轴承3000系列）。</w:t>
      </w:r>
    </w:p>
    <w:p w14:paraId="2AFADD3F">
      <w:pPr>
        <w:numPr>
          <w:ilvl w:val="0"/>
          <w:numId w:val="15"/>
        </w:numPr>
        <w:spacing w:before="0" w:beforeAutospacing="1" w:after="0" w:afterAutospacing="1"/>
        <w:ind w:left="720" w:hanging="360"/>
      </w:pPr>
      <w:r>
        <w:rPr>
          <w:b/>
        </w:rPr>
        <w:t>检验项目</w:t>
      </w:r>
      <w:r>
        <w:t>：出厂前需进行空载试验（1小时，温升≤30℃）、负载试验（额定负载120%运行30分钟，无异常振动）及密封试验（浸油24小时，结合面无渗漏）。</w:t>
      </w:r>
    </w:p>
    <w:p w14:paraId="38B13DE3">
      <w:pPr>
        <w:pStyle w:val="3"/>
      </w:pPr>
      <w:r>
        <w:t>二、结构组成与关键部件</w:t>
      </w:r>
    </w:p>
    <w:p w14:paraId="5C999C7E">
      <w:pPr>
        <w:pStyle w:val="4"/>
      </w:pPr>
      <w:r>
        <w:t>2.1 箱体系统</w:t>
      </w:r>
    </w:p>
    <w:p w14:paraId="47969008">
      <w:r>
        <w:t>箱体是减速机的基础结构，起支撑内部部件、容纳润滑油和防护作用，其设计需满足刚性、密封性和防爆要求。</w:t>
      </w:r>
    </w:p>
    <w:p w14:paraId="0BF815A2">
      <w:pPr>
        <w:pStyle w:val="5"/>
      </w:pPr>
      <w:r>
        <w:t>材料与结构形式</w:t>
      </w:r>
    </w:p>
    <w:p w14:paraId="4BF0785E">
      <w:r>
        <w:t>箱体材料根据负载特性选择：常规工况用灰铸铁HT200（成本低，减振性好，占比70%），通过砂型铸造（铸造圆角R5-10mm）成型，时效处理消除内应力；重载或冲击工况（如工件翻转机构）用铸钢ZG270-500（抗拉强度≥500MPa），焊接箱体（Q235B钢板焊接后退火处理）适用于单件小批量生产。结构形式分为整体式（小型减速机，如RV75以下机型）和剖分式（中大型减速机，箱盖与箱座通过螺栓连接），剖分面需设置定位销（2个圆锥销，直径8-12mm，长度为直径的1.5-2倍），确保拆卸后重新装配的对中性（中心距偏差≤±0.02mm）。</w:t>
      </w:r>
    </w:p>
    <w:p w14:paraId="55F5DB90">
      <w:pPr>
        <w:pStyle w:val="5"/>
      </w:pPr>
      <w:r>
        <w:t>刚性设计与防爆处理</w:t>
      </w:r>
    </w:p>
    <w:p w14:paraId="1062DDEF">
      <w:r>
        <w:t>箱体壁厚根据传递功率确定：功率≤5kW时壁厚8-12mm，5-15kW时12-16mm，＞15kW时16-20mm，关键部位（轴承座）需设置加强筋（厚度为箱体壁厚的0.8-1.2倍），通过有限元分析验证刚度（最大变形量≤0.05mm），避免齿轮啮合不良。防爆处理包括：内表面涂防锈底漆（环氧富锌底漆，干膜厚度≥60μm），外表面涂聚氨酯面漆（干膜厚度≥80μm，耐盐雾≥1000小时）；通气器加装200目防尘滤网（每月清洗），防止漆雾颗粒进入；观察孔采用钢化玻璃（厚度≥5mm），周边用丁腈橡胶O型圈密封。</w:t>
      </w:r>
    </w:p>
    <w:p w14:paraId="04F3CFB3">
      <w:pPr>
        <w:pStyle w:val="5"/>
      </w:pPr>
      <w:r>
        <w:t>安装与连接</w:t>
      </w:r>
    </w:p>
    <w:p w14:paraId="6080D620">
      <w:r>
        <w:t>箱体底部设置地脚螺栓孔（数量4-8个，直径M12-M24），孔距公差±0.5mm，与地基通过调整垫片（钢垫片，厚度0.5-2mm）找平，水平度误差≤0.1mm/m。输入/输出轴端法兰采用止口定位（止口直径公差H7，深度10-15mm），法兰面平面度≤0.05mm/m，确保与电机/负载的刚性连接（无 backlash）。</w:t>
      </w:r>
    </w:p>
    <w:p w14:paraId="50112C8C">
      <w:pPr>
        <w:pStyle w:val="4"/>
      </w:pPr>
      <w:r>
        <w:t>2.2 传动部件</w:t>
      </w:r>
    </w:p>
    <w:p w14:paraId="5765C8C0">
      <w:r>
        <w:t>传动部件是实现减速增扭的核心，不同传动类型的部件结构和材料特性差异显著。</w:t>
      </w:r>
    </w:p>
    <w:p w14:paraId="47247DA1">
      <w:pPr>
        <w:pStyle w:val="5"/>
      </w:pPr>
      <w:r>
        <w:t>蜗轮蜗杆传动部件</w:t>
      </w:r>
    </w:p>
    <w:p w14:paraId="6E1FBEEA">
      <w:r>
        <w:t>蜗杆为阿基米德蜗杆（加工简单，适用于中小功率）或渐开线蜗杆（承载能力高，适用于大功率），螺纹升角γ=3-15°（单头蜗杆γ小，自锁性好；多头蜗杆γ大，效率高）。材料选用20CrMnTi（渗碳淬火，渗碳层深度0.8-1.2mm，表面硬度HRC58-62，心部硬度HRC30-35），蜗杆轴颈表面粗糙度Ra0.8μm，以减少磨损。蜗轮采用离心铸造锡青铜ZCuSn10Pb1（含锡10%、铅1%），硬度HB90-110，耐磨性好（滑动速度vs≤15m/s），或铝青铜ZCuAl10Fe3（硬度HB110-130，适用于vs≤8m/s的低速重载），蜗轮齿圈与铸铁轮芯过盈配合（过盈量0.05-0.1mm），传递大扭矩时需加装骑缝螺钉（M8-M12，数量4-6个）。</w:t>
      </w:r>
    </w:p>
    <w:p w14:paraId="26234C7B">
      <w:pPr>
        <w:pStyle w:val="5"/>
      </w:pPr>
      <w:r>
        <w:t>齿轮传动部件</w:t>
      </w:r>
    </w:p>
    <w:p w14:paraId="41D05447">
      <w:r>
        <w:t>斜齿轮采用模数2-5mm（根据扭矩计算确定），螺旋角β=8-15°（左旋或右旋，需成对使用），齿形为渐开线（压力角20°），齿顶高系数ha*=1，顶隙系数c*=0.25。材料40CrNiMoA调质后齿面淬火（HRC58-62），齿根圆角R=0.38m（m为模数），避免应力集中。行星齿轮组中，太阳轮与输入轴一体化设计（减少零件数量），行星轮通过滚针轴承安装在行星架上（行星架材料ZG310-570，调质硬度HB200-250），齿圈固定时内齿模数与行星轮相同，采用42CrMo淬火处理（HRC55-58），齿面磨削Ra0.8μm。</w:t>
      </w:r>
    </w:p>
    <w:p w14:paraId="52E4EA16">
      <w:pPr>
        <w:pStyle w:val="5"/>
      </w:pPr>
      <w:r>
        <w:t>啮合参数设计</w:t>
      </w:r>
    </w:p>
    <w:p w14:paraId="21F24E22">
      <w:r>
        <w:t>蜗轮蜗杆啮合需保证中心距a=（d1+d2）/2（d1为蜗杆分度圆直径，d2为蜗轮分度圆直径），中心距偏差≤±0.02mm；齿侧间隙通过蜗杆轴向位移调整（垫片厚度0.01-0.05mm），标准侧隙0.15-0.25mm（模数2mm时）。齿轮啮合侧隙通过压铅法测量（铅丝直径为侧隙的1.5-2倍，啮合后铅丝厚度即为侧隙），斜齿轮接触区需位于齿宽中部（接触面积≥70%），通过调整轴的平行度（偏差≤0.05mm/m）实现。</w:t>
      </w:r>
    </w:p>
    <w:p w14:paraId="02823080">
      <w:pPr>
        <w:pStyle w:val="4"/>
      </w:pPr>
      <w:r>
        <w:t>2.3 轴系与支撑部件</w:t>
      </w:r>
    </w:p>
    <w:p w14:paraId="7D26C3D6">
      <w:r>
        <w:t>轴系包括输入轴、输出轴和中间轴（多级传动时），支撑部件为轴承，二者共同传递扭矩并保证旋转精度。</w:t>
      </w:r>
    </w:p>
    <w:p w14:paraId="4F50FBA9">
      <w:pPr>
        <w:pStyle w:val="5"/>
      </w:pPr>
      <w:r>
        <w:t>轴系结构与材料</w:t>
      </w:r>
    </w:p>
    <w:p w14:paraId="18B776E4">
      <w:r>
        <w:t>输入轴与电机通过联轴器连接（胀紧套或键连接），轴颈直径根据电机轴径确定（公差m6，表面粗糙度Ra0.8μm），轴肩高度3-5mm（用于轴承定位），键槽采用A型平键（宽度按轴径查表，如轴径30-38mm对应键宽8mm），长度为轮毂长度的0.8-1倍，传递大扭矩时采用渐开线花键（定心精度高，压力角30°）。输出轴承受径向和轴向载荷，需进行强度校核：扭转切应力τ=T/(0.2d³)≤[τ]（45钢调质[τ]=40-50MPa），弯曲应力σ=M/W≤[σ]（[σ]=120-150MPa）。材料选用45钢（σb=600MPa）或40Cr（调质硬度220-280HB），锻造后进行退火处理（消除网状碳化物）。</w:t>
      </w:r>
    </w:p>
    <w:p w14:paraId="15B8778C">
      <w:pPr>
        <w:pStyle w:val="5"/>
      </w:pPr>
      <w:r>
        <w:t>轴承选型与安装</w:t>
      </w:r>
    </w:p>
    <w:p w14:paraId="55C371C6">
      <w:r>
        <w:t>轴承根据载荷类型选择：深沟球轴承（6200系列）可同时承受径向和轴向载荷，适用于转速高、轴向力小的输入轴（转速≤3000r/min）；圆锥滚子轴承（3000系列）能承受较大径向和单向轴向载荷，用于输出轴（需成对安装，面对面或背靠背排列，抵消轴向力）；调心滚子轴承（2000系列）具有调心功能（允许轴偏斜≤2°），适用于对中性要求不高的重载场景（如矿山设备）。轴承与轴的配合为过盈配合（轴颈公差m6），与轴承座的配合为过渡配合（孔公差H7），过盈量控制在0.01-0.03mm（直径100mm以下轴），避免过盈过大导致轴承游隙减小（游隙减小1μm，温度升高约2℃）。</w:t>
      </w:r>
    </w:p>
    <w:p w14:paraId="49FDD2AF">
      <w:pPr>
        <w:pStyle w:val="5"/>
      </w:pPr>
      <w:r>
        <w:t>轴系定位与密封</w:t>
      </w:r>
    </w:p>
    <w:p w14:paraId="7671FCA6">
      <w:r>
        <w:t>轴系通过轴肩、挡圈和轴承盖实现轴向定位，轴向窜动量≤0.1mm（深沟球轴承）或≤0.05mm（圆锥滚子轴承）。轴端密封采用骨架油封（TC型双唇口，内唇封油，外唇防尘），材料为丁腈橡胶（耐油温度-40-120℃）或氟橡胶（耐温-20-200℃，适用于高温环境），安装时唇口需涂抹锂基润滑脂（NLGI 2级），弹簧圈确保唇口与轴的接触压力（0.3-0.5MPa）。轴颈表面需硬化处理（硬度≥HRC45），粗糙度Ra0.8-1.6μm，避免划伤油封唇口。</w:t>
      </w:r>
    </w:p>
    <w:p w14:paraId="7DE6DD6C">
      <w:pPr>
        <w:pStyle w:val="4"/>
      </w:pPr>
      <w:r>
        <w:t>2.4 润滑与密封系统</w:t>
      </w:r>
    </w:p>
    <w:p w14:paraId="64548F4F">
      <w:r>
        <w:t>润滑系统减少摩擦磨损、散热和防锈，密封系统防止润滑油泄漏和外部污染物侵入，二者共同保障减速机寿命。</w:t>
      </w:r>
    </w:p>
    <w:p w14:paraId="17E2169F">
      <w:pPr>
        <w:pStyle w:val="5"/>
      </w:pPr>
      <w:r>
        <w:t>润滑系统</w:t>
      </w:r>
    </w:p>
    <w:p w14:paraId="6997BE6C">
      <w:r>
        <w:t>润滑方式分为溅油润滑（适用于转速≥500r/min的齿轮减速机，齿轮浸入油池深度1-2个齿高，通过旋转溅油至轴承和啮合区）和压力润滑（适用于高速重载或大型减速机，如风电齿轮箱，油泵供油压力0.3-0.5MPa，油路直径≥10mm）。润滑油型号：齿轮减速机用L-CKD中负荷工业齿轮油（黏度等级N150/N220，40℃运动黏度150-220mm²/s）；蜗轮蜗杆减速机用L-CKE/P蜗轮蜗杆油（含极压添加剂，黏度指数＞90）；精密行星减速机用合成齿轮油（PAO基础油，耐温-40-120℃）。换油周期：普通工况6个月，喷漆环境3个月（因漆雾污染加速油氧化），首次运行10-15天（磨合期）需换油。</w:t>
      </w:r>
    </w:p>
    <w:p w14:paraId="225645FA">
      <w:pPr>
        <w:pStyle w:val="5"/>
      </w:pPr>
      <w:r>
        <w:t>密封系统</w:t>
      </w:r>
    </w:p>
    <w:p w14:paraId="4221C6D2">
      <w:r>
        <w:t>结合面密封：箱盖与箱座采用硅酮密封胶（涂抹厚度0.2-0.3mm，宽度为结合面宽度的2/3）或O型圈（丁腈橡胶，硬度70 Shore A），法兰面平面度误差≤0.05mm/m，螺栓按对角顺序分2-3次拧紧（M12螺栓力矩40-45N·m）。轴端密封：骨架油封（TC型，内径与轴径过盈0.1-0.3mm）安装时用套筒压入（避免偏斜），与轴的接触线连续无断点；高压场合（压力润滑系统）采用机械密封（动环与静环材质为碳化硅/石墨，泄漏量＜5mL/h）。油窗密封：圆形玻璃油窗（耐热玻璃，厚度≥5mm）通过铜垫片密封，周边螺栓均匀拧紧（力矩2-3N·m），防止玻璃碎裂。</w:t>
      </w:r>
    </w:p>
    <w:p w14:paraId="139D4E29">
      <w:pPr>
        <w:pStyle w:val="5"/>
      </w:pPr>
      <w:r>
        <w:t>辅助装置</w:t>
      </w:r>
    </w:p>
    <w:p w14:paraId="4F86161C">
      <w:r>
        <w:t>通气器（呼吸器）安装在箱盖顶部，平衡箱体内外压力（运行时油温升高导致压力增大，停机后冷却形成负压），通气量需满足Q=V×ΔT/(60×T0)（V为箱体容积L，ΔT为温升℃），多尘环境加装过滤式通气器（滤芯精度25μm）。油面指示器采用油标（刻有上下限刻度，安装在箱体侧面，油位应在上下限之间）或电子式油位传感器（实时监测，输出4-20mA信号）。放油螺塞位于箱座底部最低处（M16-M24外六角螺塞，配合铜垫片），放油孔直径≥15mm，便于杂质排出。</w:t>
      </w:r>
    </w:p>
    <w:p w14:paraId="4E810D82">
      <w:pPr>
        <w:pStyle w:val="3"/>
      </w:pPr>
      <w:r>
        <w:t>三、机械原理与传动机制</w:t>
      </w:r>
    </w:p>
    <w:p w14:paraId="04887CC0">
      <w:pPr>
        <w:pStyle w:val="4"/>
      </w:pPr>
      <w:r>
        <w:t>3.1 基本传动原理</w:t>
      </w:r>
    </w:p>
    <w:p w14:paraId="119DC3A8">
      <w:r>
        <w:t>减速机的核心是通过机械传动实现速度与扭矩的转换，其基本原理基于齿轮啮合的速度关系和功率守恒定律。</w:t>
      </w:r>
    </w:p>
    <w:p w14:paraId="59A5A5F1">
      <w:pPr>
        <w:pStyle w:val="5"/>
      </w:pPr>
      <w:r>
        <w:t>动力传递过程</w:t>
      </w:r>
    </w:p>
    <w:p w14:paraId="0F7171F4">
      <w:r>
        <w:t>以铁芯干式喷漆装置的传送带驱动为例，动力传递路径为：电机输出的高速旋转运动（n1=1500r/min）→输入轴→主动齿轮（或蜗杆）→从动齿轮（或蜗轮）→输出轴→驱动滚筒→传送带。主动件与从动件通过齿廓啮合传递运动，啮合点线速度相等（v=πdn/60，d为分度圆直径mm，n为转速r/min），故转速与分度圆直径成反比（n1/n2=d2/d1），而分度圆直径d=mZ（m为模数，Z为齿数），因此转速与齿数成反比（n1/n2=Z2/Z1），此比值即为传动比i。</w:t>
      </w:r>
    </w:p>
    <w:p w14:paraId="3E9B9D54">
      <w:pPr>
        <w:pStyle w:val="5"/>
      </w:pPr>
      <w:r>
        <w:t>减速比定义与计算</w:t>
      </w:r>
    </w:p>
    <w:p w14:paraId="6F0F1CC4">
      <w:r>
        <w:t>减速比i=输入转速n1/输出转速n2=从动件齿数Z2/主动件齿数Z1（单级传动）。多级传动时，总传动比i=i1×i2×…×in（各级传动比乘积）。例如，传送带驱动滚筒直径D=0.3m，工艺要求线速度v=5m/min，则滚筒转速n2=v/(πD)=5/(3.14×0.3)≈5.3r/min，电机转速n1=1500r/min，所需总传动比i=1500/5.3≈283:1，需采用三级齿轮传动（如i1=3，i2=3，i3=31.4，总i=3×3×31.4≈283）或蜗轮蜗杆+齿轮组合传动（蜗轮蜗杆i1=50，齿轮i2=5.66，总i=50×5.66=283）。</w:t>
      </w:r>
    </w:p>
    <w:p w14:paraId="46008FCE">
      <w:pPr>
        <w:pStyle w:val="5"/>
      </w:pPr>
      <w:r>
        <w:t>功率守恒与扭矩放大</w:t>
      </w:r>
    </w:p>
    <w:p w14:paraId="4378CC5B">
      <w:r>
        <w:t>忽略损耗时，输入功率P1=输出功率P2，即P1=T1n1/9550=P2=T2n2/9550（T为扭矩N·m，n为转速r/min，9550为常数），故T2=T1×i。实际应用中需考虑传动效率η（功率损失），则T2=T1×i×η，同时引入工况系数K（反映负载性质，连续平稳负载K=1.0-1.2，冲击负载K=1.5-2.0），最终输出扭矩T2=9550×P×i×η×K/n1（P为电机功率kW）。例如，3kW电机（n1=1500r/min）驱动减速机（i=50，η=0.9，K=1.2），则T2=9550×3×50×0.9×1.2/1500≈992N·m，可满足驱动500kg负载的需求。</w:t>
      </w:r>
    </w:p>
    <w:p w14:paraId="771A1398">
      <w:pPr>
        <w:pStyle w:val="4"/>
      </w:pPr>
      <w:r>
        <w:t>3.2 蜗轮蜗杆传动机制</w:t>
      </w:r>
    </w:p>
    <w:p w14:paraId="751FF503">
      <w:r>
        <w:t>蜗轮蜗杆传动通过蜗杆（主动件）与蜗轮（从动件）的交错轴啮合（通常90°）实现大传动比，是铁芯干式喷漆装置升降机构的核心传动方式。</w:t>
      </w:r>
    </w:p>
    <w:p w14:paraId="71E43C84">
      <w:pPr>
        <w:pStyle w:val="5"/>
      </w:pPr>
      <w:r>
        <w:t>啮合原理与传动比</w:t>
      </w:r>
    </w:p>
    <w:p w14:paraId="11A357EB">
      <w:r>
        <w:t>蜗杆螺旋线绕在分度圆柱上，形似螺杆；蜗轮齿形为圆弧面，与蜗杆螺旋面啮合。蜗杆头数Z1（螺旋线数量）为1-4（单头自锁性好，多头效率高），蜗轮齿数Z2= i×Z1（i为传动比）。传动比i=Z2/Z1，与蜗杆直径无关（区别于齿轮传动）。例如，WPWKA135型减速机（Z1=1，Z2=40），i=40/1=40，输入转速1500r/min时输出转速n2=1500/40=37.5r/min，可驱动喷头升降速度50mm/s（丝杆导程10mm时，v=n2×导程/60=37.5×10/60=6.25mm/s，需配合多级传动）。</w:t>
      </w:r>
    </w:p>
    <w:p w14:paraId="3094DA94">
      <w:pPr>
        <w:pStyle w:val="5"/>
      </w:pPr>
      <w:r>
        <w:t>自锁条件与滑动速度</w:t>
      </w:r>
    </w:p>
    <w:p w14:paraId="662248D1">
      <w:r>
        <w:t>当蜗杆导程角γ＜当量摩擦角φv时，蜗轮不能带动蜗杆旋转（自锁），γ=arctan(Z1×m/d1)（d1为蜗杆分度圆直径mm），φv=arctan(fv)（fv为当量摩擦系数，润滑良好时0.08-0.12，φv≈5°）。例如，单头蜗杆（Z1=1，m=5mm，d1=50mm），γ=arctan(1×5/50)=5.7°＞φv=5°，不自锁；Z1=1，m=5mm，d1=60mm，γ=arctan(5/60)=4.7°＜φv=5°，自锁。滑动速度vs=v1/cosγ（v1为蜗杆圆周速度m/s），vs越大摩擦发热越严重，需控制vs≤15m/s（vs＞15m/s时采用青铜蜗轮+淬火蜗杆）。</w:t>
      </w:r>
    </w:p>
    <w:p w14:paraId="3EF8017F">
      <w:pPr>
        <w:pStyle w:val="5"/>
      </w:pPr>
      <w:r>
        <w:t>效率与润滑</w:t>
      </w:r>
    </w:p>
    <w:p w14:paraId="7333C038">
      <w:r>
        <w:t>蜗轮蜗杆传动效率η=0.7-0.9（Z1=1时0.7-0.8，Z1=4时0.85-0.9），由啮合效率（占总效率80%）、轴承效率（95-98%）和搅油效率（90-95%）组成。啮合效率η1=tanγ/tan(γ+φv)，γ越小η1越低（i=100时η≈65%）。润滑需采用专用蜗轮蜗杆油（L-CKE/P220），含极压添加剂（硫磷化合物）形成化学反应膜，降低摩擦系数；油膜厚度需≥1μm（通过黏度控制，40℃运动黏度220mm²/s），油温≤80℃（vs=10m/s时），避免胶合失效。</w:t>
      </w:r>
    </w:p>
    <w:p w14:paraId="23C44A4F">
      <w:pPr>
        <w:pStyle w:val="4"/>
      </w:pPr>
      <w:r>
        <w:t>3.3 齿轮传动机制</w:t>
      </w:r>
    </w:p>
    <w:p w14:paraId="6C02640A">
      <w:r>
        <w:t>齿轮传动通过平行轴或相交轴齿轮啮合传递动力，分为斜齿轮和行星齿轮两类，广泛应用于铁芯干式喷漆装置的传送带和喷头定位机构。</w:t>
      </w:r>
    </w:p>
    <w:p w14:paraId="5502366C">
      <w:pPr>
        <w:pStyle w:val="5"/>
      </w:pPr>
      <w:r>
        <w:t>斜齿轮传动</w:t>
      </w:r>
    </w:p>
    <w:p w14:paraId="66982DE0">
      <w:r>
        <w:t>斜齿轮齿向为螺旋线，啮合时齿面接触线为斜线（逐渐进入和退出啮合），重合度ε=εα+εβ（εα为端面重合度，εβ为轴向重合度），比直齿高（ε=1.8-2.5 vs 直齿ε=1-1.4），承载能力高1.5倍，噪音降低3-5dB。传动比i=Z2/Z1（Z1、Z2为主动/从动轮齿数），单级i=1.5-8（避免齿轮过大），多级传动总i=各级i乘积。轴向力Fax=Ft×tanβ（Ft为圆周力，β为螺旋角），需通过轴承抵消（如成对安装角接触球轴承）。材料选用20CrMnTi渗碳淬火（渗碳层深度0.8-1.2mm，表面硬度HRC58-62），齿根圆角R=0.38m（m为模数），避免应力集中导致断齿。</w:t>
      </w:r>
    </w:p>
    <w:p w14:paraId="0DFA3171">
      <w:pPr>
        <w:pStyle w:val="5"/>
      </w:pPr>
      <w:r>
        <w:t>行星齿轮传动</w:t>
      </w:r>
    </w:p>
    <w:p w14:paraId="5978B296">
      <w:r>
        <w:t>2K-H型行星传动（太阳轮K1、齿圈K2、行星架H）是主流结构，固定元件不同传动比不同：固定齿圈时i=1+Z2/Z1（Z2为齿圈齿数，Z1为太阳轮齿数），如Z1=18，Z2=72，i=1+72/18=5；固定太阳轮时i=1/(1-Z2/Z1)（转向相反）；固定行星架时i=-Z2/Z1（负号表示转向相反）。动力分流（多个行星轮同时啮合）使扭矩密度达80-120N·m/kg，是传统齿轮减速机的3-5倍。行星轮均匀分布3-6个（数量越多承载能力越强，但需保证装配空间），通过行星架连接为一体，啮合间隙通过偏心套调整（旋转偏心套0.5-1°，减小侧隙至0.1mm以下）。</w:t>
      </w:r>
    </w:p>
    <w:p w14:paraId="4EF6BF6E">
      <w:pPr>
        <w:pStyle w:val="5"/>
      </w:pPr>
      <w:r>
        <w:t>啮合频率与动态特性</w:t>
      </w:r>
    </w:p>
    <w:p w14:paraId="0BDC6E3D">
      <w:r>
        <w:t>齿轮啮合频率f=Z×n/60（Z为齿数，n为转速r/min），是振动和噪音的主要来源。斜齿轮啮合频率f=Z×n/60，如Z=30，n=1500r/min，f=30×1500/60=750Hz，正常运行时该频率附近振动幅值≤0.5mm/s；若出现边频带（f±k×n1/60，k为整数，n1为输入轴转速），表明齿轮存在不均匀磨损或偏心。行星齿轮传动因行星轮公转产生“行星频率”fp= n1×Z1/(Z1+Z2)，需通过结构对称设计（行星轮均匀分布）抵消该频率振动，确保运行平稳（振动速度≤1.5mm/s）。</w:t>
      </w:r>
    </w:p>
    <w:p w14:paraId="1B6A0A2D">
      <w:pPr>
        <w:pStyle w:val="4"/>
      </w:pPr>
      <w:r>
        <w:t>3.4 减速比计算与扭矩放大</w:t>
      </w:r>
    </w:p>
    <w:p w14:paraId="581091FF">
      <w:r>
        <w:t>减速比和扭矩放大是减速机选型的核心参数，需根据工艺需求和负载特性精确计算。</w:t>
      </w:r>
    </w:p>
    <w:p w14:paraId="74FB2EB2">
      <w:pPr>
        <w:pStyle w:val="5"/>
      </w:pPr>
      <w:r>
        <w:t>减速比确定方法</w:t>
      </w:r>
    </w:p>
    <w:p w14:paraId="0F3B56B6">
      <w:pPr>
        <w:numPr>
          <w:ilvl w:val="0"/>
          <w:numId w:val="16"/>
        </w:numPr>
        <w:spacing w:before="0" w:beforeAutospacing="1" w:after="0" w:afterAutospacing="1"/>
        <w:ind w:left="720" w:hanging="360"/>
      </w:pPr>
      <w:r>
        <w:t>根据执行机构转速需求：i=电机转速n1/执行机构需求转速n2。例如，喷头摆动机构需n2=10r/min，电机n1=1500r/min，i=1500/10=150，需多级传动（如行星+齿轮，i1=10，i2=15，总i=150）。</w:t>
      </w:r>
    </w:p>
    <w:p w14:paraId="463C9540">
      <w:pPr>
        <w:numPr>
          <w:ilvl w:val="0"/>
          <w:numId w:val="16"/>
        </w:numPr>
        <w:spacing w:before="0" w:beforeAutospacing="1" w:after="0" w:afterAutospacing="1"/>
        <w:ind w:left="720" w:hanging="360"/>
      </w:pPr>
      <w:r>
        <w:t>根据线速度需求：n2=v/(πD)（v为线速度m/min，D为滚筒直径m），i= n1/n2。如传送带v=5m/min，D=0.3m，n2=5/(3.14×0.3)≈5.3r/min，i=1500/5.3≈283。</w:t>
      </w:r>
    </w:p>
    <w:p w14:paraId="54304F80">
      <w:pPr>
        <w:numPr>
          <w:ilvl w:val="0"/>
          <w:numId w:val="16"/>
        </w:numPr>
        <w:spacing w:before="0" w:beforeAutospacing="1" w:after="0" w:afterAutospacing="1"/>
        <w:ind w:left="720" w:hanging="360"/>
      </w:pPr>
      <w:r>
        <w:t>多级传动比分配原则：各级i接近相等（使齿轮尺寸接近，避免某级过大），如总i=72，三级分配3:3:8（乘积72）；效率低的传动（蜗轮蜗杆）放高速级（传递功率小，总损失小），效率高的（齿轮）放低速级。</w:t>
      </w:r>
    </w:p>
    <w:p w14:paraId="0855A399">
      <w:pPr>
        <w:pStyle w:val="5"/>
      </w:pPr>
      <w:r>
        <w:t>扭矩放大计算</w:t>
      </w:r>
    </w:p>
    <w:p w14:paraId="4722AB20">
      <w:r>
        <w:t>输出扭矩T2=9550×P×i×η×K/n1（P为电机功率kW，η为传动效率，K为工况系数）。参数选择：</w:t>
      </w:r>
    </w:p>
    <w:p w14:paraId="1F0C220D">
      <w:pPr>
        <w:numPr>
          <w:ilvl w:val="0"/>
          <w:numId w:val="17"/>
        </w:numPr>
        <w:spacing w:before="0" w:beforeAutospacing="1" w:after="0" w:afterAutospacing="1"/>
        <w:ind w:left="720" w:hanging="360"/>
      </w:pPr>
      <w:r>
        <w:t>P：根据执行机构功率需求P= T负载×n2/(9550×η)，如负载扭矩500N·m，n2=10r/min，η=0.9，P=500×10/(9550×0.9)≈0.58kW，选1.1kW电机（留余量）。</w:t>
      </w:r>
    </w:p>
    <w:p w14:paraId="4FBC72F6">
      <w:pPr>
        <w:numPr>
          <w:ilvl w:val="0"/>
          <w:numId w:val="17"/>
        </w:numPr>
        <w:spacing w:before="0" w:beforeAutospacing="1" w:after="0" w:afterAutospacing="1"/>
        <w:ind w:left="720" w:hanging="360"/>
      </w:pPr>
      <w:r>
        <w:t>η：齿轮传动取0.9-0.95，蜗轮蜗杆取0.7-0.85，多级传动η=各级η乘积（如两级齿轮η=0.95×0.95=0.90）。</w:t>
      </w:r>
    </w:p>
    <w:p w14:paraId="367938F7">
      <w:pPr>
        <w:numPr>
          <w:ilvl w:val="0"/>
          <w:numId w:val="17"/>
        </w:numPr>
        <w:spacing w:before="0" w:beforeAutospacing="1" w:after="0" w:afterAutospacing="1"/>
        <w:ind w:left="720" w:hanging="360"/>
      </w:pPr>
      <w:r>
        <w:t>K：连续平稳负载（如传送带）K=1.2，冲击负载（如喷头快速启停）K=1.5，短时过载（10-30s）K=2.0。</w:t>
      </w:r>
    </w:p>
    <w:p w14:paraId="09C1AEA6">
      <w:pPr>
        <w:pStyle w:val="5"/>
      </w:pPr>
      <w:r>
        <w:t>实例计算</w:t>
      </w:r>
    </w:p>
    <w:p w14:paraId="523970EB">
      <w:r>
        <w:t>铁芯喷漆工件自转机构：负载扭矩T负载=500N·m（工件质量500kg，旋转半径0.5m，摩擦系数0.2，T负载=mgμr=500×9.8×0.2×0.5=490N·m），转速n2=5r/min，电机功率P=1.5kW（n1=1500r/min），K=1.5（冲击负载），η=0.9（行星减速机）。</w:t>
      </w:r>
    </w:p>
    <w:p w14:paraId="5F766905">
      <w:r>
        <w:t>减速比i= n1/n2=1500/5=300（需三级行星传动，i1=5，i2=5，i3=12，总i=5×5×12=300）。</w:t>
      </w:r>
    </w:p>
    <w:p w14:paraId="534E8121">
      <w:r>
        <w:t>输出扭矩T2=9550×1.5×300×0.9×1.5/1500=9550×1.5×300×0.9×1.5/1500≈510N·m≥T负载×K=490×1.5=735N·m（需调整电机功率至2.2kW，T2=9550×2.2×300×0.9×1.5/1500≈740N·m，满足要求）。</w:t>
      </w:r>
    </w:p>
    <w:p w14:paraId="0B09F3F8">
      <w:pPr>
        <w:pStyle w:val="4"/>
      </w:pPr>
      <w:r>
        <w:t>3.5 传动效率影响因素</w:t>
      </w:r>
    </w:p>
    <w:p w14:paraId="4C0B11FC">
      <w:r>
        <w:t>传动效率是衡量减速机性能的关键指标，受传动类型、润滑条件、制造精度和安装质量影响，直接关系到能耗和温升。</w:t>
      </w:r>
    </w:p>
    <w:p w14:paraId="5D65933E">
      <w:pPr>
        <w:pStyle w:val="5"/>
      </w:pPr>
      <w:r>
        <w:t>传动类型影响</w:t>
      </w:r>
    </w:p>
    <w:p w14:paraId="10CE465A">
      <w:r>
        <w:t>不同传动类型效率差异显著：行星减速机（90-97%）＞斜齿轮减速机（85-98%）＞蜗轮蜗杆减速机（60-80%）。行星减速机因多齿啮合（3-6个行星轮同时承载），啮合效率高（95-97%）；斜齿轮因重合度高（ε=1.8-2.5），效率比直齿高2-3%；蜗轮蜗杆因滑动摩擦（vs=10m/s时滑动摩擦占总摩擦70%），效率随i增大而降低（i=10时85%，i=100时65%）。</w:t>
      </w:r>
    </w:p>
    <w:p w14:paraId="4F613D7E">
      <w:pPr>
        <w:pStyle w:val="5"/>
      </w:pPr>
      <w:r>
        <w:t>润滑条件影响</w:t>
      </w:r>
    </w:p>
    <w:p w14:paraId="24342A25">
      <w:r>
        <w:t>润滑油黏度：黏度过低（油膜厚度＜1μm）导致金属直接接触，摩擦系数增大（从0.005增至0.1），效率降低5-10%；黏度过高（搅油损失增大），效率降低3-5%。喷漆环境建议黏度：夏季（40℃）用N220齿轮油，冬季（-10℃）用N150齿轮油。润滑方式：压力润滑比溅油润滑效率高2-3%（避免齿轮浸入油池的搅油损失），但成本高（需油泵和油路）。油质：氧化变质油（酸值＞0.3mgKOH/g）摩擦系数增大30%，需定期更换（3个月/次）。</w:t>
      </w:r>
    </w:p>
    <w:p w14:paraId="7608BB85">
      <w:pPr>
        <w:pStyle w:val="5"/>
      </w:pPr>
      <w:r>
        <w:t>制造精度与安装质量</w:t>
      </w:r>
    </w:p>
    <w:p w14:paraId="6A056490">
      <w:r>
        <w:t>齿轮精度：ISO 5级精度比ISO 8级效率高3-5%（齿距偏差小，啮合接触面积大），齿面粗糙度Ra降低1μm（从3.2μm至1.6μm），效率提升0.5-1%。安装对中：联轴器径向偏差＞0.1mm或角向偏差＞0.1°，会导致齿轮啮合不良（接触面积＜70%），效率降低10%以上，需用激光对中仪调整（偏差≤0.05mm）。轴承游隙：游隙过小（＜0.02mm）导致摩擦增大，效率降低2-3%；游隙过大（＞0.2mm）导致振动增大，间接降低效率，需按型号选择标准游隙（如深沟球轴承C3组游隙29-46μm）。</w:t>
      </w:r>
    </w:p>
    <w:p w14:paraId="0799C182">
      <w:pPr>
        <w:pStyle w:val="3"/>
      </w:pPr>
      <w:r>
        <w:t>四、控制原理与自动化集成</w:t>
      </w:r>
    </w:p>
    <w:p w14:paraId="77547A18">
      <w:pPr>
        <w:pStyle w:val="4"/>
      </w:pPr>
      <w:r>
        <w:t>4.1 控制基础与系统构成</w:t>
      </w:r>
    </w:p>
    <w:p w14:paraId="5C46938C">
      <w:r>
        <w:t>铁芯干式喷漆装置减速机的控制系统以实现精确速度、位置和扭矩控制为目标，由动力源、控制器、传感器和执行机构组成闭环系统。</w:t>
      </w:r>
    </w:p>
    <w:p w14:paraId="22628775">
      <w:pPr>
        <w:pStyle w:val="5"/>
      </w:pPr>
      <w:r>
        <w:t>系统组成</w:t>
      </w:r>
    </w:p>
    <w:p w14:paraId="401342AA">
      <w:r>
        <w:t>动力源为电机，根据控制需求选择：异步电机（结构简单、成本低，适用于传送带速度控制，如Y系列电机）、伺服电机（永磁同步电机，带绝对值编码器，位置控制精度高，适用于喷头定位，如松下A6系列伺服电机）或步进电机（开环控制，适用于小型设备，如实验室样机）。电机与减速机需惯量匹配：负载惯量JL= (i²×J负载)+J减速机（J负载为执行机构惯量，如旋转负载J= m×r²，直线负载J= m×(s/2π)²，s为丝杆导程），推荐JL/J电机≤10（伺服系统），避免惯量过大导致响应滞后（超调量＞5%）。</w:t>
      </w:r>
    </w:p>
    <w:p w14:paraId="7BCD8E85">
      <w:r>
        <w:t>控制器采用PLC（如西门子S7-1200）或运动控制器（如倍福CX2020），支持多轴同步控制（最多16轴），通过脉冲+方向信号或总线（PROFINET/EtherCAT）控制电机驱动器。传感器包括编码器（23位绝对值编码器，分辨率8388608脉冲/圈，反馈电机位置）、扭矩传感器（应变片式，精度±0.5%FS，监测输出扭矩）和温度传感器（PT100铂电阻，精度±0.1℃，检测轴承温度）。执行机构为减速机驱动的机械臂、传送带或喷头，通过联轴器（刚性连接，无 backlash）与减速机输出轴连接。</w:t>
      </w:r>
    </w:p>
    <w:p w14:paraId="76790114">
      <w:pPr>
        <w:pStyle w:val="5"/>
      </w:pPr>
      <w:r>
        <w:t>控制流程</w:t>
      </w:r>
    </w:p>
    <w:p w14:paraId="3C0F52A9">
      <w:r>
        <w:t>设定值（如喷头位置500mm）输入控制器→控制器计算偏差（设定值-反馈值）→通过PID算法输出控制信号（脉冲频率/电压）→电机驱动器放大信号→电机旋转→减速机减速增扭→执行机构运动→传感器检测实际位置/速度→反馈至控制器→完成闭环控制。例如，喷头定位控制中，编码器反馈位置与设定值偏差＞0.01mm时，控制器输出脉冲调整电机转速，直至偏差≤0.01mm。</w:t>
      </w:r>
    </w:p>
    <w:p w14:paraId="69DEBA4E">
      <w:pPr>
        <w:pStyle w:val="5"/>
      </w:pPr>
      <w:r>
        <w:t>防爆与抗干扰设计</w:t>
      </w:r>
    </w:p>
    <w:p w14:paraId="0ED8BF19">
      <w:r>
        <w:t>喷漆环境需防爆设计：电机功率＞1.5kW时选用ATEX标准防爆电机（表面温度≤135℃，T4组别），控制器和传感器采用本安型（回路能量＜9.6W·s），线缆穿镀锌钢管密封（接地电阻≤1Ω）。抗干扰措施：控制信号采用双绞屏蔽电缆（编码器电缆阻抗100Ω±20%），长度≤50m（超过时加信号放大器）；电源端配置滤波器（衰减30dB@100kHz）和隔离变压器（变比1:1，容量1kVA）；接地系统采用单点接地（控制系统、动力系统、机壳分开接地，接地电阻≤1Ω）。</w:t>
      </w:r>
    </w:p>
    <w:p w14:paraId="2AF39A4F">
      <w:pPr>
        <w:pStyle w:val="4"/>
      </w:pPr>
      <w:r>
        <w:t>4.2 典型控制方式</w:t>
      </w:r>
    </w:p>
    <w:p w14:paraId="23195077">
      <w:r>
        <w:t>根据铁芯干式喷漆装置的不同应用场景，减速机控制方式分为PLC控制、伺服控制和扭矩控制，各具特点和适用范围。</w:t>
      </w:r>
    </w:p>
    <w:p w14:paraId="2BF5E276">
      <w:pPr>
        <w:pStyle w:val="5"/>
      </w:pPr>
      <w:r>
        <w:t>PLC控制</w:t>
      </w:r>
    </w:p>
    <w:p w14:paraId="45A900C4">
      <w:r>
        <w:t>适用于传送带等速度控制场景，采用西门子S7-1200 PLC，通过PROFINET总线连接变频器（如MM440），实现0-1000r/min无级调速。控制逻辑：PLC通过模拟量输出模块（0-10V）或脉冲输出（100KHz）控制变频器频率，进而调节电机转速，使传送带线速度稳定在0.5-2m/min（速度精度±0.1m/min）。输入信号包括启动/停止按钮、急停信号（X0-X7端口，NPN型接近开关），输出信号控制变频器启停、报警指示灯（Y0-Y10端口，继电器输出）。程序采用结构化编程，包含主程序（初始化、状态管理）、功能块（速度控制FB10、故障处理FB20）和中断程序（编码器信号处理，每10ms中断一次）。</w:t>
      </w:r>
    </w:p>
    <w:p w14:paraId="1B5F7EFC">
      <w:pPr>
        <w:pStyle w:val="5"/>
      </w:pPr>
      <w:r>
        <w:t>伺服控制</w:t>
      </w:r>
    </w:p>
    <w:p w14:paraId="59607069">
      <w:r>
        <w:t>适用于喷头定位等高精度场景，采用松下A6伺服电机（功率0.75-2kW）与行星减速机直连（i=5-10），通过EtherCAT总线实现位置环闭环控制。控制模式：位置模式（脉冲+方向信号，定位精度±3弧秒）、速度模式（模拟量0-10V控制转速，精度±0.1r/min）或扭矩模式（电流信号控制扭矩，精度±1%FS）。喷头摆动控制中，PLC发送圆弧插补指令（G02/G03），伺服驱动器执行轨迹规划，实现XY轴6-2000mm/s的无级调速，同时通过电子齿轮比设置（分子/分母=电机转数/负载转数）匹配减速机速比（如i=5时电子齿轮比=5/1）。动态性能优化：通过驱动器自动惯量辨识（误差＜5%）和增益调整（速度环增益20-50Hz，位置环增益5-20Hz），确保阶跃响应无超调（＜5%）、无震荡（调整时间＜200ms）。</w:t>
      </w:r>
    </w:p>
    <w:p w14:paraId="3E5A883D">
      <w:pPr>
        <w:pStyle w:val="5"/>
      </w:pPr>
      <w:r>
        <w:t>扭矩控制</w:t>
      </w:r>
    </w:p>
    <w:p w14:paraId="06107F78">
      <w:r>
        <w:t>适用于工件夹紧等恒扭矩场景，如铁芯喷漆前的工件定位机构，需保持恒定夹紧力（500-1000N）。采用扭矩传感器（安装在减速机输出轴端）实时监测扭矩，反馈至PLC，通过PID算法调节伺服电机输出扭矩（T=Kp×e+Ki∫edt+Kd×de/dt，e为扭矩偏差）。控制流程：设定目标扭矩→传感器检测实际扭矩→计算偏差→调节电机电流（扭矩与电流成正比）→稳定扭矩输出（波动≤±5%）。为防止过载，设置扭矩上限（额定扭矩120%），超过时触发报警并停止输出。</w:t>
      </w:r>
    </w:p>
    <w:p w14:paraId="4CA139B9">
      <w:pPr>
        <w:pStyle w:val="4"/>
      </w:pPr>
      <w:r>
        <w:t>4.3 信号传输与接口技术</w:t>
      </w:r>
    </w:p>
    <w:p w14:paraId="4B6FA8D5">
      <w:r>
        <w:t>控制信号按类型分为模拟量、数字量和总线信号，接口技术需满足传输速率、抗干扰和可靠性要求，确保控制系统稳定运行。</w:t>
      </w:r>
    </w:p>
    <w:p w14:paraId="10A495E2">
      <w:pPr>
        <w:pStyle w:val="5"/>
      </w:pPr>
      <w:r>
        <w:t>模拟量信号</w:t>
      </w:r>
    </w:p>
    <w:p w14:paraId="7F0BBB7E">
      <w:r>
        <w:t>用于速度或扭矩控制，信号类型为0-10V电压（分辨率12位，对应0-3000r/min）或4-20mA电流（抗干扰能力强，传输距离≤100m）。接线规范：采用屏蔽双绞线（单端接地，接地电阻＜1Ω），电压信号正负极分别接控制器AO+和AO-，电流信号串联250Ω电阻（将电流转换为电压）。干扰抑制：在信号接收端并联RC滤波电路（R=100Ω，C=0.1μF），截止频率fc=1/(2πRC)=15.9kHz，滤除高频噪声；长距离传输（＞50m）采用电流信号（4-20mA），误差＜1%（电压信号误差＞2%）。校准方法：输入4mA（0%）对应0r/min，20mA（100%）对应3000r/min，通过控制器软件调整增益和偏置（误差≤±0.1%FS）。</w:t>
      </w:r>
    </w:p>
    <w:p w14:paraId="3C13F153">
      <w:pPr>
        <w:pStyle w:val="5"/>
      </w:pPr>
      <w:r>
        <w:t>数字量信号</w:t>
      </w:r>
    </w:p>
    <w:p w14:paraId="126D43F8">
      <w:r>
        <w:t>包括脉冲+方向信号（位置控制）和开关量（启停、报警）。脉冲信号采用差分输出（A+、A-、B+、B-，抗干扰强，传输距离≤100m）或单端输出（TTL电平，传输距离≤10m），频率可达2MHz（对应电机转速3000r/min，编码器线数1000线，倍频后4000脉冲/圈，脉冲频率=3000/60×4000=200kHz）。开关量输入采用光电隔离（耐压2500V AC，隔离电阻＞100MΩ），输入信号防抖处理（RC滤波R=10kΩ，C=1μF，延时10ms）；输出信号驱动能力≥50mA（驱动继电器线圈或电磁阀），采用继电器隔离（避免强电干扰）。接线要求：脉冲线与动力线分开敷设（间距≥300mm），差分信号双绞线绞距≤20mm，阻抗100Ω±20%。</w:t>
      </w:r>
    </w:p>
    <w:p w14:paraId="11499FAD">
      <w:pPr>
        <w:pStyle w:val="5"/>
      </w:pPr>
      <w:r>
        <w:t>总线信号</w:t>
      </w:r>
    </w:p>
    <w:p w14:paraId="62B4C083">
      <w:r>
        <w:t>适用于多轴同步控制，主流总线包括PROFINET（西门子，传输速率100Mbps，周期≤1ms，节点数≤126）、EtherCAT（倍福，传输速率100Mbps，周期≤100μs，分布式时钟同步精度±1ns）和Modbus RTU（低成本，异步通信，波特率9600-115200bps）。EtherCAT总线在喷漆机器人中应用广泛，通过“过程数据对象（PDO）”传输实时控制数据（位置、速度、扭矩），“服务数据对象（SDO）”传输非实时参数（驱动器配置、故障代码），周期通信（1ms）确保16轴同步误差≤0.1mm。总线接口需满足工业标准（IP20防护，-40-85℃工作温度），采用带屏蔽的双绞线（STP Cat5e），接地电阻≤1Ω，支持热插拔（更换模块不影响系统运行）。</w:t>
      </w:r>
    </w:p>
    <w:p w14:paraId="02E74E34">
      <w:pPr>
        <w:pStyle w:val="4"/>
      </w:pPr>
      <w:r>
        <w:t>4.4 自动化集成案例</w:t>
      </w:r>
    </w:p>
    <w:p w14:paraId="2805FBF5">
      <w:r>
        <w:t>以六轴自动喷漆机器人和数控喷漆机床为例，说明减速机在铁芯干式喷漆装置中的自动化集成方案及关键技术。</w:t>
      </w:r>
    </w:p>
    <w:p w14:paraId="5C4FB672">
      <w:pPr>
        <w:pStyle w:val="5"/>
      </w:pPr>
      <w:r>
        <w:t>六轴喷漆机器人</w:t>
      </w:r>
    </w:p>
    <w:p w14:paraId="7CD0EC51">
      <w:r>
        <w:t>J1-J3轴（大臂、小臂）采用RV减速机（i=30-100，输出扭矩500-2000N·m），J4-J6轴（手腕）采用谐波减速机（i=50-160，输出扭矩50-200N·m），配合23位绝对值编码器实现±0.02mm定位精度。控制系统为倍福CX2020运动控制器（EtherCAT总线，16轴同步），示教器编程（支持点位、直线、圆弧插补），喷涂程序存储170个面域，96种工件型号快速切换。集成要点：</w:t>
      </w:r>
    </w:p>
    <w:p w14:paraId="18329AB7">
      <w:pPr>
        <w:numPr>
          <w:ilvl w:val="0"/>
          <w:numId w:val="18"/>
        </w:numPr>
        <w:spacing w:before="0" w:beforeAutospacing="1" w:after="0" w:afterAutospacing="1"/>
        <w:ind w:left="720" w:hanging="360"/>
      </w:pPr>
      <w:r>
        <w:t>惯量匹配：J1轴负载惯量JL= (i²×m×r²)+J减速机= (80²×50kg×1m²)+0.5kg·m²=320000+0.5=320000.5kg·m²，伺服电机惯量J电机=320000.5/10=32000kg·m²（选用J电机=40000kg·m²的电机）。</w:t>
      </w:r>
    </w:p>
    <w:p w14:paraId="3E1CA034">
      <w:pPr>
        <w:numPr>
          <w:ilvl w:val="0"/>
          <w:numId w:val="18"/>
        </w:numPr>
        <w:spacing w:before="0" w:beforeAutospacing="1" w:after="0" w:afterAutospacing="1"/>
        <w:ind w:left="720" w:hanging="360"/>
      </w:pPr>
      <w:r>
        <w:t>轨迹规划：采用S型加减速（加速度1g，减速度0.8g），避免冲击导致漆面波纹；喷枪开关延时控制（开出油延时100ms，关雾化延时50ms），消除漆雾堆积。</w:t>
      </w:r>
    </w:p>
    <w:p w14:paraId="6CE54ABE">
      <w:pPr>
        <w:numPr>
          <w:ilvl w:val="0"/>
          <w:numId w:val="18"/>
        </w:numPr>
        <w:spacing w:before="0" w:beforeAutospacing="1" w:after="0" w:afterAutospacing="1"/>
        <w:ind w:left="720" w:hanging="360"/>
      </w:pPr>
      <w:r>
        <w:t>状态监测：通过伺服驱动器采集电流（超过额定值120%报警）、温度（轴承＞85℃报警）和振动（＞2mm/s报警）数据；减速机输出端安装扭矩传感器，实时监测负载变化（异常时停机保护）。</w:t>
      </w:r>
    </w:p>
    <w:p w14:paraId="600C7F7C">
      <w:pPr>
        <w:pStyle w:val="5"/>
      </w:pPr>
      <w:r>
        <w:t>数控喷漆机床</w:t>
      </w:r>
    </w:p>
    <w:p w14:paraId="7DD2FFCA">
      <w:r>
        <w:t>工件自转机构采用行星减速机（i=50，输出转速5r/min）与伺服电机直连，传送带采用斜齿轮减速机（i=283，线速度1.5m/s），PLC（西门子S7-1200）通过PROFINET控制两台伺服驱动器和一台变频器。自动化功能：</w:t>
      </w:r>
    </w:p>
    <w:p w14:paraId="1065804D">
      <w:pPr>
        <w:numPr>
          <w:ilvl w:val="0"/>
          <w:numId w:val="19"/>
        </w:numPr>
        <w:spacing w:before="0" w:beforeAutospacing="1" w:after="0" w:afterAutospacing="1"/>
        <w:ind w:left="720" w:hanging="360"/>
      </w:pPr>
      <w:r>
        <w:t>工件识别：视觉传感器检测铁芯型号，PLC调用对应喷涂程序（调整转速、喷枪高度）。</w:t>
      </w:r>
    </w:p>
    <w:p w14:paraId="1411D0A0">
      <w:pPr>
        <w:numPr>
          <w:ilvl w:val="0"/>
          <w:numId w:val="19"/>
        </w:numPr>
        <w:spacing w:before="0" w:beforeAutospacing="1" w:after="0" w:afterAutospacing="1"/>
        <w:ind w:left="720" w:hanging="360"/>
      </w:pPr>
      <w:r>
        <w:t>同步控制：工件自转速度5r/min时，喷枪移动速度500mm/s；自转速度10r/min时，喷枪速度自动增至1000mm/s（保持单位面积涂料量恒定）。</w:t>
      </w:r>
    </w:p>
    <w:p w14:paraId="0CE6BD28">
      <w:pPr>
        <w:numPr>
          <w:ilvl w:val="0"/>
          <w:numId w:val="19"/>
        </w:numPr>
        <w:spacing w:before="0" w:beforeAutospacing="1" w:after="0" w:afterAutospacing="1"/>
        <w:ind w:left="720" w:hanging="360"/>
      </w:pPr>
      <w:r>
        <w:t>故障诊断：触摸屏显示故障代码（如“X轴伺服报警AL32：过载”），提示排除步骤（检查负载、调整增益）；历史故障记录（存储100条），支持U盘导出分析。</w:t>
      </w:r>
    </w:p>
    <w:p w14:paraId="70B18363">
      <w:pPr>
        <w:pStyle w:val="5"/>
      </w:pPr>
      <w:r>
        <w:t>防爆与安全设计</w:t>
      </w:r>
    </w:p>
    <w:p w14:paraId="4BF0D692">
      <w:r>
        <w:t>喷漆车间为防爆区域（Zone 1/21），系统采用防爆型减速机（ATEX II 2G Ex d IIB T4）、防爆伺服电机（Ex d IIC T4）和隔爆型传感器（接近开关Ex d IIB T6）；安全回路符合EN ISO 13849-1 PLd等级，急停按钮（双通道）触发时，所有轴立即停止（停止时间＜0.5s），驱动器切断电机电源；人机界面设置三级权限（操作员、管理员、维护员），防止误操作（如修改关键参数需管理员密码）。</w:t>
      </w:r>
    </w:p>
    <w:p w14:paraId="3497225E">
      <w:r>
        <w:t>（后续章节继续按照大纲结构和资料内容展开，确保覆盖所有重点，此处因篇幅限制暂展示前四章内容）</w:t>
      </w:r>
    </w:p>
    <w:p w14:paraId="6272A2F2">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F8EEF"/>
    <w:multiLevelType w:val="singleLevel"/>
    <w:tmpl w:val="A4EF8EEF"/>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DFCD6FBA"/>
    <w:multiLevelType w:val="singleLevel"/>
    <w:tmpl w:val="DFCD6FBA"/>
    <w:lvl w:ilvl="0" w:tentative="0">
      <w:start w:val="1"/>
      <w:numFmt w:val="bullet"/>
      <w:lvlText w:val=""/>
      <w:lvlJc w:val="left"/>
      <w:pPr>
        <w:ind w:left="720" w:hanging="360"/>
      </w:pPr>
      <w:rPr>
        <w:rFonts w:hint="default" w:ascii="Symbol" w:hAnsi="Symbol" w:cs="Symbol"/>
        <w:sz w:val="20"/>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7CD0393"/>
    <w:multiLevelType w:val="singleLevel"/>
    <w:tmpl w:val="F7CD0393"/>
    <w:lvl w:ilvl="0" w:tentative="0">
      <w:start w:val="1"/>
      <w:numFmt w:val="bullet"/>
      <w:lvlText w:val=""/>
      <w:lvlJc w:val="left"/>
      <w:pPr>
        <w:ind w:left="720" w:hanging="360"/>
      </w:pPr>
      <w:rPr>
        <w:rFonts w:hint="default" w:ascii="Symbol" w:hAnsi="Symbol" w:cs="Symbol"/>
        <w:sz w:val="20"/>
      </w:rPr>
    </w:lvl>
  </w:abstractNum>
  <w:abstractNum w:abstractNumId="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8">
    <w:nsid w:val="FEDEFD8A"/>
    <w:multiLevelType w:val="singleLevel"/>
    <w:tmpl w:val="FEDEFD8A"/>
    <w:lvl w:ilvl="0" w:tentative="0">
      <w:start w:val="1"/>
      <w:numFmt w:val="bullet"/>
      <w:lvlText w:val=""/>
      <w:lvlJc w:val="left"/>
      <w:pPr>
        <w:ind w:left="720" w:hanging="360"/>
      </w:pPr>
      <w:rPr>
        <w:rFonts w:hint="default" w:ascii="Symbol" w:hAnsi="Symbol" w:cs="Symbol"/>
        <w:sz w:val="20"/>
      </w:rPr>
    </w:lvl>
  </w:abstractNum>
  <w:abstractNum w:abstractNumId="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2">
    <w:nsid w:val="07FCB61B"/>
    <w:multiLevelType w:val="singleLevel"/>
    <w:tmpl w:val="07FCB61B"/>
    <w:lvl w:ilvl="0" w:tentative="0">
      <w:start w:val="1"/>
      <w:numFmt w:val="bullet"/>
      <w:lvlText w:val=""/>
      <w:lvlJc w:val="left"/>
      <w:pPr>
        <w:ind w:left="720" w:hanging="360"/>
      </w:pPr>
      <w:rPr>
        <w:rFonts w:hint="default" w:ascii="Symbol" w:hAnsi="Symbol" w:cs="Symbol"/>
        <w:sz w:val="20"/>
      </w:rPr>
    </w:lvl>
  </w:abstractNum>
  <w:abstractNum w:abstractNumId="1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5">
    <w:nsid w:val="3ECED9B6"/>
    <w:multiLevelType w:val="singleLevel"/>
    <w:tmpl w:val="3ECED9B6"/>
    <w:lvl w:ilvl="0" w:tentative="0">
      <w:start w:val="1"/>
      <w:numFmt w:val="bullet"/>
      <w:lvlText w:val=""/>
      <w:lvlJc w:val="left"/>
      <w:pPr>
        <w:ind w:left="720" w:hanging="360"/>
      </w:pPr>
      <w:rPr>
        <w:rFonts w:hint="default" w:ascii="Symbol" w:hAnsi="Symbol" w:cs="Symbol"/>
        <w:sz w:val="20"/>
      </w:rPr>
    </w:lvl>
  </w:abstractNum>
  <w:abstractNum w:abstractNumId="1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7">
    <w:nsid w:val="7DFED472"/>
    <w:multiLevelType w:val="singleLevel"/>
    <w:tmpl w:val="7DFED472"/>
    <w:lvl w:ilvl="0" w:tentative="0">
      <w:start w:val="1"/>
      <w:numFmt w:val="decimal"/>
      <w:lvlText w:val="%1."/>
      <w:lvlJc w:val="left"/>
      <w:pPr>
        <w:ind w:left="720" w:hanging="360"/>
      </w:pPr>
      <w:rPr>
        <w:sz w:val="24"/>
      </w:rPr>
    </w:lvl>
  </w:abstractNum>
  <w:abstractNum w:abstractNumId="18">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4"/>
  </w:num>
  <w:num w:numId="2">
    <w:abstractNumId w:val="18"/>
  </w:num>
  <w:num w:numId="3">
    <w:abstractNumId w:val="2"/>
  </w:num>
  <w:num w:numId="4">
    <w:abstractNumId w:val="11"/>
  </w:num>
  <w:num w:numId="5">
    <w:abstractNumId w:val="7"/>
  </w:num>
  <w:num w:numId="6">
    <w:abstractNumId w:val="16"/>
  </w:num>
  <w:num w:numId="7">
    <w:abstractNumId w:val="5"/>
  </w:num>
  <w:num w:numId="8">
    <w:abstractNumId w:val="13"/>
  </w:num>
  <w:num w:numId="9">
    <w:abstractNumId w:val="9"/>
  </w:num>
  <w:num w:numId="10">
    <w:abstractNumId w:val="10"/>
  </w:num>
  <w:num w:numId="11">
    <w:abstractNumId w:val="3"/>
  </w:num>
  <w:num w:numId="12">
    <w:abstractNumId w:val="1"/>
  </w:num>
  <w:num w:numId="13">
    <w:abstractNumId w:val="4"/>
  </w:num>
  <w:num w:numId="14">
    <w:abstractNumId w:val="8"/>
  </w:num>
  <w:num w:numId="15">
    <w:abstractNumId w:val="0"/>
  </w:num>
  <w:num w:numId="16">
    <w:abstractNumId w:val="17"/>
  </w:num>
  <w:num w:numId="17">
    <w:abstractNumId w:val="12"/>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D3B002B"/>
    <w:rsid w:val="2F436F36"/>
    <w:rsid w:val="31994BEB"/>
    <w:rsid w:val="3BF32749"/>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2025-10-06T08:50:17Z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6EB270E3EABEE16D4912E3682B0F7BA0_43</vt:lpwstr>
  </property>
  <property fmtid="{D5CDD505-2E9C-101B-9397-08002B2CF9AE}" pid="4" name="KSOTemplateDocerSaveRecord">
    <vt:lpwstr>eyJoZGlkIjoiNzI4YmNmYThhZjA0NTVhODllNDhjMGZiNmFkMDJjN2YiLCJ1c2VySWQiOiIxNjA5OTI0MDI0In0=</vt:lpwstr>
  </property>
</Properties>
</file>