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bookmarkEnd w:id="2"/>
    <w:p w14:paraId="0CF6A736">
      <w:pPr>
        <w:pStyle w:val="2"/>
      </w:pPr>
    </w:p>
    <w:p w14:paraId="5B443F28">
      <w:pPr>
        <w:pStyle w:val="2"/>
      </w:pPr>
      <w:r>
        <w:t>纵剪线开卷机技术手册</w:t>
      </w:r>
    </w:p>
    <w:p w14:paraId="2EAE51F2">
      <w:pPr>
        <w:pStyle w:val="3"/>
      </w:pPr>
      <w:r>
        <w:t>一、设备概述</w:t>
      </w:r>
    </w:p>
    <w:p w14:paraId="1EEA9F72">
      <w:pPr>
        <w:pStyle w:val="4"/>
      </w:pPr>
      <w:r>
        <w:t>1. 设备用途与应用场景</w:t>
      </w:r>
    </w:p>
    <w:p w14:paraId="1FAC64B8">
      <w:r>
        <w:t>纵剪线开卷机是金属卷材精密加工生产线的起始核心设备，主要功能是将成卷的金属带材（如冷轧钢板、不锈钢板、硅钢片、铝板等）平稳展开，通过恒张力控制为后续纵剪、分条、收卷等工序提供连续、平整的带材。其核心价值在于解决卷材展开过程中的张力波动、跑偏、褶皱等问题，确保带材在加工过程中保持稳定的形位精度，是实现高精度分条的关键前提。</w:t>
      </w:r>
    </w:p>
    <w:p w14:paraId="6F2EB95E">
      <w:r>
        <w:t>在生产流程中，开卷机位于纵剪生产线的首端，上游衔接原料仓储系统（通过行车或叉车将卷材放置于上料小车），下游通过直头机、矫直机与纵剪机衔接，形成“上料→开卷→矫直→分条→收卷”的完整工艺链路。典型作业流程为：上料小车将卷材运送至开卷机卷筒中心→胀缩机构夹紧卷材内孔→传动系统驱动卷筒旋转放卷→直头机矫直板头→夹送辊牵引带材至矫直机→开卷机通过制动系统提供反向张力，维持带材张紧状态。</w:t>
      </w:r>
    </w:p>
    <w:p w14:paraId="7EC4F8D4">
      <w:r>
        <w:t>设备适配范围覆盖多种金属材料及规格，可处理卷材重量1-30吨（按机型分为轻型、中型、重型），卷材内径508mm、610mm等标准规格（部分机型支持定制内径），带材厚度0.1-6mm（薄板机型0.1-3mm，厚板机型3-6mm），宽度300-2000mm。在变压器铁芯生产中，开卷机用于硅钢片的精密展开，需配合对中系统确保带材边缘对齐精度±0.1mm/m；在汽车钢板加工中，需实现高速开卷（线速度达60m/min）与恒张力控制（波动≤5%），避免带材拉伸变形；在不锈钢家电面板生产中，则需通过防划伤设计（如橡胶包覆导向辊）保护表面光洁度。</w:t>
      </w:r>
    </w:p>
    <w:p w14:paraId="78A27253">
      <w:r>
        <w:t>设备的技术特性直接影响后续加工质量，例如张力控制精度不足会导致带材分条后出现“宽窄不一”（偏差＞0.1mm），卷径计算误差过大会引发张力突变导致褶皱，而卷筒胀缩不均匀则可能造成卷材内孔变形。因此，开卷机被视为纵剪生产线的“咽喉设备”，其性能稳定性决定了整条生产线的产品合格率和生产效率。</w:t>
      </w:r>
    </w:p>
    <w:p w14:paraId="0A4D49EA">
      <w:pPr>
        <w:pStyle w:val="4"/>
      </w:pPr>
      <w:r>
        <w:t>2. 设备主要技术参数</w:t>
      </w:r>
    </w:p>
    <w:tbl>
      <w:tblPr>
        <w:tblStyle w:val="50"/>
        <w:tblW w:w="0" w:type="auto"/>
        <w:tblInd w:w="0" w:type="dxa"/>
        <w:tblLayout w:type="fixed"/>
        <w:tblCellMar>
          <w:top w:w="0" w:type="dxa"/>
          <w:left w:w="0" w:type="dxa"/>
          <w:bottom w:w="0" w:type="dxa"/>
          <w:right w:w="0" w:type="dxa"/>
        </w:tblCellMar>
      </w:tblPr>
      <w:tblGrid>
        <w:gridCol w:w="2160"/>
        <w:gridCol w:w="2160"/>
        <w:gridCol w:w="2160"/>
        <w:gridCol w:w="2160"/>
      </w:tblGrid>
      <w:tr w14:paraId="3F0B9AFA">
        <w:tblPrEx>
          <w:tblCellMar>
            <w:top w:w="0" w:type="dxa"/>
            <w:left w:w="0" w:type="dxa"/>
            <w:bottom w:w="0" w:type="dxa"/>
            <w:right w:w="0" w:type="dxa"/>
          </w:tblCellMar>
        </w:tblPrEx>
        <w:tc>
          <w:tcPr>
            <w:tcW w:w="0" w:type="auto"/>
            <w:vAlign w:val="center"/>
          </w:tcPr>
          <w:p w14:paraId="2B4E9B83">
            <w:pPr>
              <w:jc w:val="center"/>
              <w:rPr>
                <w:b/>
              </w:rPr>
            </w:pPr>
            <w:r>
              <w:rPr>
                <w:b/>
              </w:rPr>
              <w:t>系统类别</w:t>
            </w:r>
          </w:p>
        </w:tc>
        <w:tc>
          <w:tcPr>
            <w:tcW w:w="0" w:type="auto"/>
            <w:vAlign w:val="center"/>
          </w:tcPr>
          <w:p w14:paraId="24FE5E86">
            <w:pPr>
              <w:jc w:val="center"/>
              <w:rPr>
                <w:b/>
              </w:rPr>
            </w:pPr>
            <w:r>
              <w:rPr>
                <w:b/>
              </w:rPr>
              <w:t>技术参数项</w:t>
            </w:r>
          </w:p>
        </w:tc>
        <w:tc>
          <w:tcPr>
            <w:tcW w:w="0" w:type="auto"/>
            <w:vAlign w:val="center"/>
          </w:tcPr>
          <w:p w14:paraId="1FB5FEEA">
            <w:pPr>
              <w:jc w:val="center"/>
              <w:rPr>
                <w:b/>
              </w:rPr>
            </w:pPr>
            <w:r>
              <w:rPr>
                <w:b/>
              </w:rPr>
              <w:t>标准值/范围</w:t>
            </w:r>
          </w:p>
        </w:tc>
        <w:tc>
          <w:tcPr>
            <w:tcW w:w="0" w:type="auto"/>
            <w:vAlign w:val="center"/>
          </w:tcPr>
          <w:p w14:paraId="1EC4F3AF">
            <w:pPr>
              <w:jc w:val="center"/>
              <w:rPr>
                <w:b/>
              </w:rPr>
            </w:pPr>
            <w:r>
              <w:rPr>
                <w:b/>
              </w:rPr>
              <w:t>备注</w:t>
            </w:r>
          </w:p>
        </w:tc>
      </w:tr>
      <w:tr w14:paraId="784BC427">
        <w:tblPrEx>
          <w:tblCellMar>
            <w:top w:w="0" w:type="dxa"/>
            <w:left w:w="0" w:type="dxa"/>
            <w:bottom w:w="0" w:type="dxa"/>
            <w:right w:w="0" w:type="dxa"/>
          </w:tblCellMar>
        </w:tblPrEx>
        <w:tc>
          <w:tcPr>
            <w:tcW w:w="0" w:type="auto"/>
            <w:vAlign w:val="center"/>
          </w:tcPr>
          <w:p w14:paraId="7927A302">
            <w:r>
              <w:rPr>
                <w:b/>
              </w:rPr>
              <w:t>基本参数</w:t>
            </w:r>
          </w:p>
        </w:tc>
        <w:tc>
          <w:tcPr>
            <w:tcW w:w="0" w:type="auto"/>
            <w:vAlign w:val="center"/>
          </w:tcPr>
          <w:p w14:paraId="0FC4E5B8">
            <w:r>
              <w:t>卷材最大重量</w:t>
            </w:r>
          </w:p>
        </w:tc>
        <w:tc>
          <w:tcPr>
            <w:tcW w:w="0" w:type="auto"/>
            <w:vAlign w:val="center"/>
          </w:tcPr>
          <w:p w14:paraId="4CB70C4D">
            <w:r>
              <w:t>10-30吨</w:t>
            </w:r>
          </w:p>
        </w:tc>
        <w:tc>
          <w:tcPr>
            <w:tcW w:w="0" w:type="auto"/>
            <w:vAlign w:val="center"/>
          </w:tcPr>
          <w:p w14:paraId="51CC7E78">
            <w:r>
              <w:t>轻型10吨，重型30吨</w:t>
            </w:r>
          </w:p>
        </w:tc>
      </w:tr>
      <w:tr w14:paraId="1FFB9741">
        <w:tblPrEx>
          <w:tblCellMar>
            <w:top w:w="0" w:type="dxa"/>
            <w:left w:w="0" w:type="dxa"/>
            <w:bottom w:w="0" w:type="dxa"/>
            <w:right w:w="0" w:type="dxa"/>
          </w:tblCellMar>
        </w:tblPrEx>
        <w:tc>
          <w:tcPr>
            <w:tcW w:w="0" w:type="auto"/>
            <w:vAlign w:val="center"/>
          </w:tcPr>
          <w:p w14:paraId="383BBCD0"/>
        </w:tc>
        <w:tc>
          <w:tcPr>
            <w:tcW w:w="0" w:type="auto"/>
            <w:vAlign w:val="center"/>
          </w:tcPr>
          <w:p w14:paraId="0DA0E9AF">
            <w:r>
              <w:t>卷材最大外径</w:t>
            </w:r>
          </w:p>
        </w:tc>
        <w:tc>
          <w:tcPr>
            <w:tcW w:w="0" w:type="auto"/>
            <w:vAlign w:val="center"/>
          </w:tcPr>
          <w:p w14:paraId="32537B92">
            <w:r>
              <w:t>1600-2200mm</w:t>
            </w:r>
          </w:p>
        </w:tc>
        <w:tc>
          <w:tcPr>
            <w:tcW w:w="0" w:type="auto"/>
            <w:vAlign w:val="center"/>
          </w:tcPr>
          <w:p w14:paraId="1F30406F">
            <w:r>
              <w:t>对应不同机型</w:t>
            </w:r>
          </w:p>
        </w:tc>
      </w:tr>
      <w:tr w14:paraId="5F869ACF">
        <w:tc>
          <w:tcPr>
            <w:tcW w:w="0" w:type="auto"/>
            <w:vAlign w:val="center"/>
          </w:tcPr>
          <w:p w14:paraId="4C1EC915"/>
        </w:tc>
        <w:tc>
          <w:tcPr>
            <w:tcW w:w="0" w:type="auto"/>
            <w:vAlign w:val="center"/>
          </w:tcPr>
          <w:p w14:paraId="58487FBE">
            <w:r>
              <w:t>卷材内径范围</w:t>
            </w:r>
          </w:p>
        </w:tc>
        <w:tc>
          <w:tcPr>
            <w:tcW w:w="0" w:type="auto"/>
            <w:vAlign w:val="center"/>
          </w:tcPr>
          <w:p w14:paraId="2688FF62">
            <w:r>
              <w:t>508/610mm（标准）</w:t>
            </w:r>
          </w:p>
        </w:tc>
        <w:tc>
          <w:tcPr>
            <w:tcW w:w="0" w:type="auto"/>
            <w:vAlign w:val="center"/>
          </w:tcPr>
          <w:p w14:paraId="73A50320">
            <w:r>
              <w:t>三段台阶式胀缩，适配两种内径</w:t>
            </w:r>
          </w:p>
        </w:tc>
      </w:tr>
      <w:tr w14:paraId="751F2330">
        <w:tblPrEx>
          <w:tblCellMar>
            <w:top w:w="0" w:type="dxa"/>
            <w:left w:w="0" w:type="dxa"/>
            <w:bottom w:w="0" w:type="dxa"/>
            <w:right w:w="0" w:type="dxa"/>
          </w:tblCellMar>
        </w:tblPrEx>
        <w:tc>
          <w:tcPr>
            <w:tcW w:w="0" w:type="auto"/>
            <w:vAlign w:val="center"/>
          </w:tcPr>
          <w:p w14:paraId="1253B98E"/>
        </w:tc>
        <w:tc>
          <w:tcPr>
            <w:tcW w:w="0" w:type="auto"/>
            <w:vAlign w:val="center"/>
          </w:tcPr>
          <w:p w14:paraId="113CEB6E">
            <w:r>
              <w:t>带材厚度范围</w:t>
            </w:r>
          </w:p>
        </w:tc>
        <w:tc>
          <w:tcPr>
            <w:tcW w:w="0" w:type="auto"/>
            <w:vAlign w:val="center"/>
          </w:tcPr>
          <w:p w14:paraId="2C8057E5">
            <w:r>
              <w:t>0.1-6mm</w:t>
            </w:r>
          </w:p>
        </w:tc>
        <w:tc>
          <w:tcPr>
            <w:tcW w:w="0" w:type="auto"/>
            <w:vAlign w:val="center"/>
          </w:tcPr>
          <w:p w14:paraId="0E1C915D">
            <w:r>
              <w:t>薄板0.1-3mm，厚板3-6mm</w:t>
            </w:r>
          </w:p>
        </w:tc>
      </w:tr>
      <w:tr w14:paraId="6CDFA336">
        <w:tblPrEx>
          <w:tblCellMar>
            <w:top w:w="0" w:type="dxa"/>
            <w:left w:w="0" w:type="dxa"/>
            <w:bottom w:w="0" w:type="dxa"/>
            <w:right w:w="0" w:type="dxa"/>
          </w:tblCellMar>
        </w:tblPrEx>
        <w:tc>
          <w:tcPr>
            <w:tcW w:w="0" w:type="auto"/>
            <w:vAlign w:val="center"/>
          </w:tcPr>
          <w:p w14:paraId="7B309870"/>
        </w:tc>
        <w:tc>
          <w:tcPr>
            <w:tcW w:w="0" w:type="auto"/>
            <w:vAlign w:val="center"/>
          </w:tcPr>
          <w:p w14:paraId="64E3438D">
            <w:r>
              <w:t>带材宽度范围</w:t>
            </w:r>
          </w:p>
        </w:tc>
        <w:tc>
          <w:tcPr>
            <w:tcW w:w="0" w:type="auto"/>
            <w:vAlign w:val="center"/>
          </w:tcPr>
          <w:p w14:paraId="242FFB41">
            <w:r>
              <w:t>300-2000mm</w:t>
            </w:r>
          </w:p>
        </w:tc>
        <w:tc>
          <w:tcPr>
            <w:tcW w:w="0" w:type="auto"/>
            <w:vAlign w:val="center"/>
          </w:tcPr>
          <w:p w14:paraId="618B3CA2">
            <w:r>
              <w:t>取决于纵剪机分条宽度</w:t>
            </w:r>
          </w:p>
        </w:tc>
      </w:tr>
      <w:tr w14:paraId="7614C6BE">
        <w:tblPrEx>
          <w:tblCellMar>
            <w:top w:w="0" w:type="dxa"/>
            <w:left w:w="0" w:type="dxa"/>
            <w:bottom w:w="0" w:type="dxa"/>
            <w:right w:w="0" w:type="dxa"/>
          </w:tblCellMar>
        </w:tblPrEx>
        <w:tc>
          <w:tcPr>
            <w:tcW w:w="0" w:type="auto"/>
            <w:vAlign w:val="center"/>
          </w:tcPr>
          <w:p w14:paraId="7832A36A">
            <w:r>
              <w:rPr>
                <w:b/>
              </w:rPr>
              <w:t>性能参数</w:t>
            </w:r>
          </w:p>
        </w:tc>
        <w:tc>
          <w:tcPr>
            <w:tcW w:w="0" w:type="auto"/>
            <w:vAlign w:val="center"/>
          </w:tcPr>
          <w:p w14:paraId="2F0032DA">
            <w:r>
              <w:t>最大开卷速度</w:t>
            </w:r>
          </w:p>
        </w:tc>
        <w:tc>
          <w:tcPr>
            <w:tcW w:w="0" w:type="auto"/>
            <w:vAlign w:val="center"/>
          </w:tcPr>
          <w:p w14:paraId="5E21A8A4">
            <w:r>
              <w:t>0-60m/min</w:t>
            </w:r>
          </w:p>
        </w:tc>
        <w:tc>
          <w:tcPr>
            <w:tcW w:w="0" w:type="auto"/>
            <w:vAlign w:val="center"/>
          </w:tcPr>
          <w:p w14:paraId="533E9D3E">
            <w:r>
              <w:t>变频调速，支持点动（0.5m/min）</w:t>
            </w:r>
          </w:p>
        </w:tc>
      </w:tr>
      <w:tr w14:paraId="29D218B2">
        <w:tc>
          <w:tcPr>
            <w:tcW w:w="0" w:type="auto"/>
            <w:vAlign w:val="center"/>
          </w:tcPr>
          <w:p w14:paraId="7B06E7FD"/>
        </w:tc>
        <w:tc>
          <w:tcPr>
            <w:tcW w:w="0" w:type="auto"/>
            <w:vAlign w:val="center"/>
          </w:tcPr>
          <w:p w14:paraId="3E377353">
            <w:r>
              <w:t>最大开卷张力</w:t>
            </w:r>
          </w:p>
        </w:tc>
        <w:tc>
          <w:tcPr>
            <w:tcW w:w="0" w:type="auto"/>
            <w:vAlign w:val="center"/>
          </w:tcPr>
          <w:p w14:paraId="2D75D629">
            <w:r>
              <w:t>5-50kN</w:t>
            </w:r>
          </w:p>
        </w:tc>
        <w:tc>
          <w:tcPr>
            <w:tcW w:w="0" w:type="auto"/>
            <w:vAlign w:val="center"/>
          </w:tcPr>
          <w:p w14:paraId="156893A1">
            <w:r>
              <w:t>按带材厚度调节，精度±5%</w:t>
            </w:r>
          </w:p>
        </w:tc>
      </w:tr>
      <w:tr w14:paraId="0E00F587">
        <w:tblPrEx>
          <w:tblCellMar>
            <w:top w:w="0" w:type="dxa"/>
            <w:left w:w="0" w:type="dxa"/>
            <w:bottom w:w="0" w:type="dxa"/>
            <w:right w:w="0" w:type="dxa"/>
          </w:tblCellMar>
        </w:tblPrEx>
        <w:tc>
          <w:tcPr>
            <w:tcW w:w="0" w:type="auto"/>
            <w:vAlign w:val="center"/>
          </w:tcPr>
          <w:p w14:paraId="48EF66CA"/>
        </w:tc>
        <w:tc>
          <w:tcPr>
            <w:tcW w:w="0" w:type="auto"/>
            <w:vAlign w:val="center"/>
          </w:tcPr>
          <w:p w14:paraId="0D117EFA">
            <w:r>
              <w:t>加速度/减速度</w:t>
            </w:r>
          </w:p>
        </w:tc>
        <w:tc>
          <w:tcPr>
            <w:tcW w:w="0" w:type="auto"/>
            <w:vAlign w:val="center"/>
          </w:tcPr>
          <w:p w14:paraId="044445FB">
            <w:r>
              <w:t>0.5-1m/s²</w:t>
            </w:r>
          </w:p>
        </w:tc>
        <w:tc>
          <w:tcPr>
            <w:tcW w:w="0" w:type="auto"/>
            <w:vAlign w:val="center"/>
          </w:tcPr>
          <w:p w14:paraId="393A2A2C">
            <w:r>
              <w:t>避免张力突变</w:t>
            </w:r>
          </w:p>
        </w:tc>
      </w:tr>
      <w:tr w14:paraId="4411532C">
        <w:tblPrEx>
          <w:tblCellMar>
            <w:top w:w="0" w:type="dxa"/>
            <w:left w:w="0" w:type="dxa"/>
            <w:bottom w:w="0" w:type="dxa"/>
            <w:right w:w="0" w:type="dxa"/>
          </w:tblCellMar>
        </w:tblPrEx>
        <w:tc>
          <w:tcPr>
            <w:tcW w:w="0" w:type="auto"/>
            <w:vAlign w:val="center"/>
          </w:tcPr>
          <w:p w14:paraId="49AB4BA5"/>
        </w:tc>
        <w:tc>
          <w:tcPr>
            <w:tcW w:w="0" w:type="auto"/>
            <w:vAlign w:val="center"/>
          </w:tcPr>
          <w:p w14:paraId="5D2682B5">
            <w:r>
              <w:t>卷径计算误差</w:t>
            </w:r>
          </w:p>
        </w:tc>
        <w:tc>
          <w:tcPr>
            <w:tcW w:w="0" w:type="auto"/>
            <w:vAlign w:val="center"/>
          </w:tcPr>
          <w:p w14:paraId="0CE2F73E">
            <w:r>
              <w:t>≤±2%</w:t>
            </w:r>
          </w:p>
        </w:tc>
        <w:tc>
          <w:tcPr>
            <w:tcW w:w="0" w:type="auto"/>
            <w:vAlign w:val="center"/>
          </w:tcPr>
          <w:p w14:paraId="70086D02">
            <w:r>
              <w:t>基于编码器脉冲与带材厚度</w:t>
            </w:r>
          </w:p>
        </w:tc>
      </w:tr>
      <w:tr w14:paraId="29276FBD">
        <w:tblPrEx>
          <w:tblCellMar>
            <w:top w:w="0" w:type="dxa"/>
            <w:left w:w="0" w:type="dxa"/>
            <w:bottom w:w="0" w:type="dxa"/>
            <w:right w:w="0" w:type="dxa"/>
          </w:tblCellMar>
        </w:tblPrEx>
        <w:tc>
          <w:tcPr>
            <w:tcW w:w="0" w:type="auto"/>
            <w:vAlign w:val="center"/>
          </w:tcPr>
          <w:p w14:paraId="13D7FA7B"/>
        </w:tc>
        <w:tc>
          <w:tcPr>
            <w:tcW w:w="0" w:type="auto"/>
            <w:vAlign w:val="center"/>
          </w:tcPr>
          <w:p w14:paraId="233B2DA1">
            <w:r>
              <w:t>对中精度</w:t>
            </w:r>
          </w:p>
        </w:tc>
        <w:tc>
          <w:tcPr>
            <w:tcW w:w="0" w:type="auto"/>
            <w:vAlign w:val="center"/>
          </w:tcPr>
          <w:p w14:paraId="566BDAAA">
            <w:r>
              <w:t>±0.1mm/m</w:t>
            </w:r>
          </w:p>
        </w:tc>
        <w:tc>
          <w:tcPr>
            <w:tcW w:w="0" w:type="auto"/>
            <w:vAlign w:val="center"/>
          </w:tcPr>
          <w:p w14:paraId="182749CA">
            <w:r>
              <w:t>激光对中系统</w:t>
            </w:r>
          </w:p>
        </w:tc>
      </w:tr>
      <w:tr w14:paraId="1E1C0C7E">
        <w:tc>
          <w:tcPr>
            <w:tcW w:w="0" w:type="auto"/>
            <w:vAlign w:val="center"/>
          </w:tcPr>
          <w:p w14:paraId="38F2E677">
            <w:r>
              <w:rPr>
                <w:b/>
              </w:rPr>
              <w:t>结构参数</w:t>
            </w:r>
          </w:p>
        </w:tc>
        <w:tc>
          <w:tcPr>
            <w:tcW w:w="0" w:type="auto"/>
            <w:vAlign w:val="center"/>
          </w:tcPr>
          <w:p w14:paraId="50A18036">
            <w:r>
              <w:t>卷筒胀缩范围</w:t>
            </w:r>
          </w:p>
        </w:tc>
        <w:tc>
          <w:tcPr>
            <w:tcW w:w="0" w:type="auto"/>
            <w:vAlign w:val="center"/>
          </w:tcPr>
          <w:p w14:paraId="4F13B1F3">
            <w:r>
              <w:t>508-610mm</w:t>
            </w:r>
          </w:p>
        </w:tc>
        <w:tc>
          <w:tcPr>
            <w:tcW w:w="0" w:type="auto"/>
            <w:vAlign w:val="center"/>
          </w:tcPr>
          <w:p w14:paraId="420CADCA">
            <w:r>
              <w:t>四棱锥轴驱动，扇形块行程50mm</w:t>
            </w:r>
          </w:p>
        </w:tc>
      </w:tr>
      <w:tr w14:paraId="53EBAD4F">
        <w:tblPrEx>
          <w:tblCellMar>
            <w:top w:w="0" w:type="dxa"/>
            <w:left w:w="0" w:type="dxa"/>
            <w:bottom w:w="0" w:type="dxa"/>
            <w:right w:w="0" w:type="dxa"/>
          </w:tblCellMar>
        </w:tblPrEx>
        <w:tc>
          <w:tcPr>
            <w:tcW w:w="0" w:type="auto"/>
            <w:vAlign w:val="center"/>
          </w:tcPr>
          <w:p w14:paraId="6F46E84C"/>
        </w:tc>
        <w:tc>
          <w:tcPr>
            <w:tcW w:w="0" w:type="auto"/>
            <w:vAlign w:val="center"/>
          </w:tcPr>
          <w:p w14:paraId="1BDD1484">
            <w:r>
              <w:t>卷筒直径（胀紧后）</w:t>
            </w:r>
          </w:p>
        </w:tc>
        <w:tc>
          <w:tcPr>
            <w:tcW w:w="0" w:type="auto"/>
            <w:vAlign w:val="center"/>
          </w:tcPr>
          <w:p w14:paraId="1A72BE58">
            <w:r>
              <w:t>610mm（标准）</w:t>
            </w:r>
          </w:p>
        </w:tc>
        <w:tc>
          <w:tcPr>
            <w:tcW w:w="0" w:type="auto"/>
            <w:vAlign w:val="center"/>
          </w:tcPr>
          <w:p w14:paraId="635811D0">
            <w:r>
              <w:t>扇形块数量4块（主流）</w:t>
            </w:r>
          </w:p>
        </w:tc>
      </w:tr>
      <w:tr w14:paraId="1CCB73CB">
        <w:tblPrEx>
          <w:tblCellMar>
            <w:top w:w="0" w:type="dxa"/>
            <w:left w:w="0" w:type="dxa"/>
            <w:bottom w:w="0" w:type="dxa"/>
            <w:right w:w="0" w:type="dxa"/>
          </w:tblCellMar>
        </w:tblPrEx>
        <w:tc>
          <w:tcPr>
            <w:tcW w:w="0" w:type="auto"/>
            <w:vAlign w:val="center"/>
          </w:tcPr>
          <w:p w14:paraId="313FDE34"/>
        </w:tc>
        <w:tc>
          <w:tcPr>
            <w:tcW w:w="0" w:type="auto"/>
            <w:vAlign w:val="center"/>
          </w:tcPr>
          <w:p w14:paraId="1327A32D">
            <w:r>
              <w:t>驱动电机功率</w:t>
            </w:r>
          </w:p>
        </w:tc>
        <w:tc>
          <w:tcPr>
            <w:tcW w:w="0" w:type="auto"/>
            <w:vAlign w:val="center"/>
          </w:tcPr>
          <w:p w14:paraId="4B353275">
            <w:r>
              <w:t>5.5-37kW</w:t>
            </w:r>
          </w:p>
        </w:tc>
        <w:tc>
          <w:tcPr>
            <w:tcW w:w="0" w:type="auto"/>
            <w:vAlign w:val="center"/>
          </w:tcPr>
          <w:p w14:paraId="02192FF0">
            <w:r>
              <w:t>变频电机，带编码器反馈</w:t>
            </w:r>
          </w:p>
        </w:tc>
      </w:tr>
      <w:tr w14:paraId="70C2CA68">
        <w:tblPrEx>
          <w:tblCellMar>
            <w:top w:w="0" w:type="dxa"/>
            <w:left w:w="0" w:type="dxa"/>
            <w:bottom w:w="0" w:type="dxa"/>
            <w:right w:w="0" w:type="dxa"/>
          </w:tblCellMar>
        </w:tblPrEx>
        <w:tc>
          <w:tcPr>
            <w:tcW w:w="0" w:type="auto"/>
            <w:vAlign w:val="center"/>
          </w:tcPr>
          <w:p w14:paraId="58D2B86B"/>
        </w:tc>
        <w:tc>
          <w:tcPr>
            <w:tcW w:w="0" w:type="auto"/>
            <w:vAlign w:val="center"/>
          </w:tcPr>
          <w:p w14:paraId="23A60C2A">
            <w:r>
              <w:t>减速器减速比</w:t>
            </w:r>
          </w:p>
        </w:tc>
        <w:tc>
          <w:tcPr>
            <w:tcW w:w="0" w:type="auto"/>
            <w:vAlign w:val="center"/>
          </w:tcPr>
          <w:p w14:paraId="46A29C8D">
            <w:r>
              <w:t>20-100</w:t>
            </w:r>
          </w:p>
        </w:tc>
        <w:tc>
          <w:tcPr>
            <w:tcW w:w="0" w:type="auto"/>
            <w:vAlign w:val="center"/>
          </w:tcPr>
          <w:p w14:paraId="16DEBEFF">
            <w:r>
              <w:t>行星齿轮减速器，效率≥96%</w:t>
            </w:r>
          </w:p>
        </w:tc>
      </w:tr>
      <w:tr w14:paraId="52ED1F49">
        <w:tc>
          <w:tcPr>
            <w:tcW w:w="0" w:type="auto"/>
            <w:vAlign w:val="center"/>
          </w:tcPr>
          <w:p w14:paraId="18AE5077"/>
        </w:tc>
        <w:tc>
          <w:tcPr>
            <w:tcW w:w="0" w:type="auto"/>
            <w:vAlign w:val="center"/>
          </w:tcPr>
          <w:p w14:paraId="0E1B9B05">
            <w:r>
              <w:t>设备外形尺寸（长×宽×高）</w:t>
            </w:r>
          </w:p>
        </w:tc>
        <w:tc>
          <w:tcPr>
            <w:tcW w:w="0" w:type="auto"/>
            <w:vAlign w:val="center"/>
          </w:tcPr>
          <w:p w14:paraId="66F55C65">
            <w:r>
              <w:t>4500×2800×3200mm</w:t>
            </w:r>
          </w:p>
        </w:tc>
        <w:tc>
          <w:tcPr>
            <w:tcW w:w="0" w:type="auto"/>
            <w:vAlign w:val="center"/>
          </w:tcPr>
          <w:p w14:paraId="771699BC">
            <w:r>
              <w:t>含上料小车轨道长度</w:t>
            </w:r>
          </w:p>
        </w:tc>
      </w:tr>
      <w:tr w14:paraId="2133ED58">
        <w:tblPrEx>
          <w:tblCellMar>
            <w:top w:w="0" w:type="dxa"/>
            <w:left w:w="0" w:type="dxa"/>
            <w:bottom w:w="0" w:type="dxa"/>
            <w:right w:w="0" w:type="dxa"/>
          </w:tblCellMar>
        </w:tblPrEx>
        <w:tc>
          <w:tcPr>
            <w:tcW w:w="0" w:type="auto"/>
            <w:vAlign w:val="center"/>
          </w:tcPr>
          <w:p w14:paraId="6FB4EB34">
            <w:r>
              <w:rPr>
                <w:b/>
              </w:rPr>
              <w:t>控制参数</w:t>
            </w:r>
          </w:p>
        </w:tc>
        <w:tc>
          <w:tcPr>
            <w:tcW w:w="0" w:type="auto"/>
            <w:vAlign w:val="center"/>
          </w:tcPr>
          <w:p w14:paraId="47C10657">
            <w:r>
              <w:t>PLC型号</w:t>
            </w:r>
          </w:p>
        </w:tc>
        <w:tc>
          <w:tcPr>
            <w:tcW w:w="0" w:type="auto"/>
            <w:vAlign w:val="center"/>
          </w:tcPr>
          <w:p w14:paraId="3BF0DA90">
            <w:r>
              <w:t>西门子S7-1200/1500</w:t>
            </w:r>
          </w:p>
        </w:tc>
        <w:tc>
          <w:tcPr>
            <w:tcW w:w="0" w:type="auto"/>
            <w:vAlign w:val="center"/>
          </w:tcPr>
          <w:p w14:paraId="1780FBE1">
            <w:r>
              <w:t>支持Profinet通信</w:t>
            </w:r>
          </w:p>
        </w:tc>
      </w:tr>
      <w:tr w14:paraId="24165C39">
        <w:tblPrEx>
          <w:tblCellMar>
            <w:top w:w="0" w:type="dxa"/>
            <w:left w:w="0" w:type="dxa"/>
            <w:bottom w:w="0" w:type="dxa"/>
            <w:right w:w="0" w:type="dxa"/>
          </w:tblCellMar>
        </w:tblPrEx>
        <w:tc>
          <w:tcPr>
            <w:tcW w:w="0" w:type="auto"/>
            <w:vAlign w:val="center"/>
          </w:tcPr>
          <w:p w14:paraId="08FD2FBE"/>
        </w:tc>
        <w:tc>
          <w:tcPr>
            <w:tcW w:w="0" w:type="auto"/>
            <w:vAlign w:val="center"/>
          </w:tcPr>
          <w:p w14:paraId="4EDE8301">
            <w:r>
              <w:t>张力控制方式</w:t>
            </w:r>
          </w:p>
        </w:tc>
        <w:tc>
          <w:tcPr>
            <w:tcW w:w="0" w:type="auto"/>
            <w:vAlign w:val="center"/>
          </w:tcPr>
          <w:p w14:paraId="7571A78A">
            <w:r>
              <w:t>卷径计算+PID调节</w:t>
            </w:r>
          </w:p>
        </w:tc>
        <w:tc>
          <w:tcPr>
            <w:tcW w:w="0" w:type="auto"/>
            <w:vAlign w:val="center"/>
          </w:tcPr>
          <w:p w14:paraId="044171B4">
            <w:r>
              <w:t>动态补偿加速/减速阶段张力</w:t>
            </w:r>
          </w:p>
        </w:tc>
      </w:tr>
      <w:tr w14:paraId="53147475">
        <w:tblPrEx>
          <w:tblCellMar>
            <w:top w:w="0" w:type="dxa"/>
            <w:left w:w="0" w:type="dxa"/>
            <w:bottom w:w="0" w:type="dxa"/>
            <w:right w:w="0" w:type="dxa"/>
          </w:tblCellMar>
        </w:tblPrEx>
        <w:tc>
          <w:tcPr>
            <w:tcW w:w="0" w:type="auto"/>
            <w:vAlign w:val="center"/>
          </w:tcPr>
          <w:p w14:paraId="148DA870"/>
        </w:tc>
        <w:tc>
          <w:tcPr>
            <w:tcW w:w="0" w:type="auto"/>
            <w:vAlign w:val="center"/>
          </w:tcPr>
          <w:p w14:paraId="6DD9C35E">
            <w:r>
              <w:t>操作界面</w:t>
            </w:r>
          </w:p>
        </w:tc>
        <w:tc>
          <w:tcPr>
            <w:tcW w:w="0" w:type="auto"/>
            <w:vAlign w:val="center"/>
          </w:tcPr>
          <w:p w14:paraId="2D6846E2">
            <w:r>
              <w:t>15英寸触摸屏</w:t>
            </w:r>
          </w:p>
        </w:tc>
        <w:tc>
          <w:tcPr>
            <w:tcW w:w="0" w:type="auto"/>
            <w:vAlign w:val="center"/>
          </w:tcPr>
          <w:p w14:paraId="440F367A">
            <w:r>
              <w:t>显示实时参数、报警信息</w:t>
            </w:r>
          </w:p>
        </w:tc>
      </w:tr>
      <w:tr w14:paraId="7B94F0B7">
        <w:tc>
          <w:tcPr>
            <w:tcW w:w="0" w:type="auto"/>
            <w:vAlign w:val="center"/>
          </w:tcPr>
          <w:p w14:paraId="13BB156B">
            <w:r>
              <w:rPr>
                <w:b/>
              </w:rPr>
              <w:t>环境参数</w:t>
            </w:r>
          </w:p>
        </w:tc>
        <w:tc>
          <w:tcPr>
            <w:tcW w:w="0" w:type="auto"/>
            <w:vAlign w:val="center"/>
          </w:tcPr>
          <w:p w14:paraId="4A2C1704">
            <w:r>
              <w:t>工作温度范围</w:t>
            </w:r>
          </w:p>
        </w:tc>
        <w:tc>
          <w:tcPr>
            <w:tcW w:w="0" w:type="auto"/>
            <w:vAlign w:val="center"/>
          </w:tcPr>
          <w:p w14:paraId="485D62B8">
            <w:r>
              <w:t>-10℃-45℃</w:t>
            </w:r>
          </w:p>
        </w:tc>
        <w:tc>
          <w:tcPr>
            <w:tcW w:w="0" w:type="auto"/>
            <w:vAlign w:val="center"/>
          </w:tcPr>
          <w:p w14:paraId="6AB7F228">
            <w:r>
              <w:t>湿度≤90%RH（无冷凝）</w:t>
            </w:r>
          </w:p>
        </w:tc>
      </w:tr>
      <w:tr w14:paraId="09F8E1E3">
        <w:tblPrEx>
          <w:tblCellMar>
            <w:top w:w="0" w:type="dxa"/>
            <w:left w:w="0" w:type="dxa"/>
            <w:bottom w:w="0" w:type="dxa"/>
            <w:right w:w="0" w:type="dxa"/>
          </w:tblCellMar>
        </w:tblPrEx>
        <w:tc>
          <w:tcPr>
            <w:tcW w:w="0" w:type="auto"/>
            <w:vAlign w:val="center"/>
          </w:tcPr>
          <w:p w14:paraId="2D1D4183"/>
        </w:tc>
        <w:tc>
          <w:tcPr>
            <w:tcW w:w="0" w:type="auto"/>
            <w:vAlign w:val="center"/>
          </w:tcPr>
          <w:p w14:paraId="5243BBDE">
            <w:r>
              <w:t>设备噪音</w:t>
            </w:r>
          </w:p>
        </w:tc>
        <w:tc>
          <w:tcPr>
            <w:tcW w:w="0" w:type="auto"/>
            <w:vAlign w:val="center"/>
          </w:tcPr>
          <w:p w14:paraId="08D84BC4">
            <w:r>
              <w:t>≤85dB（距离1m处）</w:t>
            </w:r>
          </w:p>
        </w:tc>
        <w:tc>
          <w:tcPr>
            <w:tcW w:w="0" w:type="auto"/>
            <w:vAlign w:val="center"/>
          </w:tcPr>
          <w:p w14:paraId="55ABBE79">
            <w:r>
              <w:t>传动系统加装隔音罩</w:t>
            </w:r>
          </w:p>
        </w:tc>
      </w:tr>
      <w:tr w14:paraId="1D95321B">
        <w:tblPrEx>
          <w:tblCellMar>
            <w:top w:w="0" w:type="dxa"/>
            <w:left w:w="0" w:type="dxa"/>
            <w:bottom w:w="0" w:type="dxa"/>
            <w:right w:w="0" w:type="dxa"/>
          </w:tblCellMar>
        </w:tblPrEx>
        <w:tc>
          <w:tcPr>
            <w:tcW w:w="0" w:type="auto"/>
            <w:vAlign w:val="center"/>
          </w:tcPr>
          <w:p w14:paraId="71074674"/>
        </w:tc>
        <w:tc>
          <w:tcPr>
            <w:tcW w:w="0" w:type="auto"/>
            <w:vAlign w:val="center"/>
          </w:tcPr>
          <w:p w14:paraId="570BD1B7">
            <w:r>
              <w:t>电源要求</w:t>
            </w:r>
          </w:p>
        </w:tc>
        <w:tc>
          <w:tcPr>
            <w:tcW w:w="0" w:type="auto"/>
            <w:vAlign w:val="center"/>
          </w:tcPr>
          <w:p w14:paraId="2B451C13">
            <w:r>
              <w:t>380V±10%，50Hz</w:t>
            </w:r>
          </w:p>
        </w:tc>
        <w:tc>
          <w:tcPr>
            <w:tcW w:w="0" w:type="auto"/>
            <w:vAlign w:val="center"/>
          </w:tcPr>
          <w:p w14:paraId="6ABFC403">
            <w:r>
              <w:t>总装机容量50-150kVA</w:t>
            </w:r>
          </w:p>
        </w:tc>
      </w:tr>
    </w:tbl>
    <w:p w14:paraId="2BBDA31D">
      <w:pPr>
        <w:pStyle w:val="3"/>
      </w:pPr>
      <w:r>
        <w:t>二、设备结构组成与功能</w:t>
      </w:r>
    </w:p>
    <w:p w14:paraId="478EA5FB">
      <w:pPr>
        <w:pStyle w:val="4"/>
      </w:pPr>
      <w:r>
        <w:t>1. 上料与定位系统</w:t>
      </w:r>
    </w:p>
    <w:p w14:paraId="6C4F46DB">
      <w:r>
        <w:t>上料与定位系统是实现卷材自动化上料、精准对中的关键组成，由上料小车、对中装置及辅助导向部件构成，确保卷材快速、安全地套装于开卷机卷筒。</w:t>
      </w:r>
    </w:p>
    <w:p w14:paraId="0AFB67FB">
      <w:r>
        <w:rPr>
          <w:b/>
        </w:rPr>
        <w:t>上料小车</w:t>
      </w:r>
      <w:r>
        <w:t>采用“液压升降+电动行走”复合驱动结构，主要由V型料架、升降油缸、行走电机及导向轨道组成。V型料架表面覆5mm厚橡胶板（邵氏硬度60 Shore A），防止卷材表面划伤，其开口角度60°，适配不同外径卷材（1600-2200mm）；升降系统由双作用油缸（缸径125mm，行程500mm）驱动，通过四导柱导向（导柱直径80mm，直线度误差≤0.1mm/m），确保升降平稳（速度0.1m/s），最大提升重量30吨；行走系统由变频电机（功率2.2kW）通过齿轮齿条传动，沿2条平行钢轨（型号QU80）移动，行走速度0-3m/min，配备电缆及油管防护拖链（行程5m），部分机型还设有储料台（可预存放2-3卷待加工卷材），减少换卷等待时间。</w:t>
      </w:r>
    </w:p>
    <w:p w14:paraId="6A75BDD5">
      <w:r>
        <w:rPr>
          <w:b/>
        </w:rPr>
        <w:t>对中装置</w:t>
      </w:r>
      <w:r>
        <w:t>实现卷材中心与生产线中心线的精准对齐，分为光电对中与机械对中两种形式。光电对中系统由2组激光传感器（安装于上料小车两侧）和伺服纠偏机构组成，传感器检测卷材边缘位置（检测精度±0.05mm），实时反馈偏差信号至PLC，通过伺服电机驱动上料小车横向移动（调整范围±50mm），使卷材中心与卷筒中心偏差≤±0.1mm/m；机械对中则通过V型料架的定心作用，配合卷筒前端的锥形导向头（锥度1:10），实现粗略对中（偏差≤±1mm），适用于对精度要求较低的厚板加工。</w:t>
      </w:r>
    </w:p>
    <w:p w14:paraId="1DDD3F41">
      <w:r>
        <w:rPr>
          <w:b/>
        </w:rPr>
        <w:t>辅助导向部件</w:t>
      </w:r>
      <w:r>
        <w:t>包括卷材轴向限位板和防侧翻装置。限位板安装于上料小车V型架两侧，可通过手动或电动调节间距（适应不同宽度卷材），防止卷材在升降过程中轴向窜动；防侧翻装置为可伸缩挡板（气动驱动），在卷材重量超过20吨时伸出，与V型架形成三面约束，避免重心偏移导致的侧翻风险。</w:t>
      </w:r>
    </w:p>
    <w:p w14:paraId="174BCCF3">
      <w:r>
        <w:t>上料与定位系统的协同工作流程为：行车将卷材吊装至上料小车V型架→限位板调整固定→对中系统启动，激光传感器检测卷材边缘→上料小车横向移动对中→行走至卷筒轴线位置→升降油缸提升卷材，使卷材内孔对准卷筒→胀缩机构胀紧，上料小车下降复位→对中完成，进入待开卷状态。</w:t>
      </w:r>
    </w:p>
    <w:p w14:paraId="450159F7">
      <w:pPr>
        <w:pStyle w:val="4"/>
      </w:pPr>
      <w:r>
        <w:t>2. 卷筒与胀缩机构</w:t>
      </w:r>
    </w:p>
    <w:p w14:paraId="1986B500">
      <w:r>
        <w:t>卷筒与胀缩机构是开卷机的核心功能部件，直接决定卷材夹持稳定性和胀缩适配能力，由卷筒本体、扇形块、四棱锥轴、胀缩油缸及滑套导向系统组成。</w:t>
      </w:r>
    </w:p>
    <w:p w14:paraId="43B7502C">
      <w:r>
        <w:rPr>
          <w:b/>
        </w:rPr>
        <w:t>卷筒本体</w:t>
      </w:r>
      <w:r>
        <w:t>采用中空轴结构（材质42CrMo锻件，调质处理硬度28-32HRC），轴径根据机型分为180mm（轻型）、250mm（中型）、320mm（重型），内部安装四棱锥轴和胀缩油缸。卷筒表面沿轴向加工4条燕尾槽（精度IT7级），用于安装扇形块，槽底设置润滑脂通道（每200小时加注一次锂基脂），减少扇形块与槽体的摩擦磨损。</w:t>
      </w:r>
    </w:p>
    <w:p w14:paraId="31BFE0A6">
      <w:r>
        <w:rPr>
          <w:b/>
        </w:rPr>
        <w:t>扇形块</w:t>
      </w:r>
      <w:r>
        <w:t>为直接接触卷材内孔的部件，主流设计为4块式结构（部分轻型机为3块式），材质选用42CrMo锻件（抗拉强度≥800MPa），表面经渗碳淬火处理（硬度58-62HRC），耐磨层厚度0.5mm。每块扇形块内侧加工有与四棱锥轴配合的斜面（倾角12°±0.05°），外侧为弧形工作面（曲率半径与卷材内径匹配），相邻扇形块之间采用搭接技术（搭接量2mm），避免胀紧后出现间隙导致卷材内孔局部压扁。扇形块的胀缩范围通常为508-610mm（三段台阶式），即通过更换不同厚度的扇形块工作面，可适配508mm、610mm两种标准内径卷材，更换时间≤30分钟。</w:t>
      </w:r>
    </w:p>
    <w:p w14:paraId="2DE0AAC6">
      <w:r>
        <w:rPr>
          <w:b/>
        </w:rPr>
        <w:t>四棱锥轴与胀缩油缸</w:t>
      </w:r>
      <w:r>
        <w:t>构成胀缩驱动核心，四棱锥轴（材质35CrMo）表面加工4个12°斜面（与扇形块斜面配合），通过胀缩油缸（安装于卷筒轴后端）驱动沿轴向移动。当油缸伸出时，四棱锥轴向前推动扇形块，使其沿燕尾槽径向扩张，实现卷材夹紧；油缸缩回时，扇形块在复位弹簧（安装于扇形块底部）作用下收缩，松开卷材。胀缩油缸为双作用活塞缸（缸径160mm，行程150mm），工作压力12-15MPa（30吨卷材对应压力≥15MPa），配备位移传感器（磁致伸缩式，精度±0.1mm），实时监测胀缩位置，避免过胀或欠胀。</w:t>
      </w:r>
    </w:p>
    <w:p w14:paraId="2A63B626">
      <w:r>
        <w:rPr>
          <w:b/>
        </w:rPr>
        <w:t>滑套导向系统</w:t>
      </w:r>
      <w:r>
        <w:t>确保扇形块同步径向运动，由滑套（材质45号钢，表面淬火HRC45-50）和导向键组成。滑套通过螺栓固定于卷筒本体，内侧加工4条导向槽（与扇形块底部的导向键配合），导向键与槽体配合间隙0.05-0.1mm，保证扇形块运动平稳无卡滞。部分高端机型还设有同步连杆机构（连接相邻扇形块），进一步提升胀缩同步性（同步误差≤0.05mm）。</w:t>
      </w:r>
    </w:p>
    <w:p w14:paraId="2E1305B2">
      <w:r>
        <w:t>胀缩机构的性能直接影响开卷稳定性：当胀紧力不足时，卷材会在开卷过程中打滑，导致带材张力波动；胀紧力过大则可能造成扇形块或卷材内孔变形；扇形块同步性差会引发卷材偏心旋转，产生离心力振动（振幅＞0.15mm）。因此，该机构需定期检查斜面磨损量（允许≤0.1mm）和导向键间隙（超过0.15mm需更换）。</w:t>
      </w:r>
    </w:p>
    <w:p w14:paraId="71005E79">
      <w:pPr>
        <w:pStyle w:val="4"/>
      </w:pPr>
      <w:r>
        <w:t>3. 传动系统</w:t>
      </w:r>
    </w:p>
    <w:p w14:paraId="6F2389DD">
      <w:r>
        <w:t>传动系统为开卷机提供旋转动力和制动张力，实现卷材的平稳放卷与速度匹配，由驱动电机、减速器、齿轮箱、制动器及传动轴系组成。</w:t>
      </w:r>
    </w:p>
    <w:p w14:paraId="0BB0F456">
      <w:r>
        <w:rPr>
          <w:b/>
        </w:rPr>
        <w:t>驱动电机</w:t>
      </w:r>
      <w:r>
        <w:t>采用交流变频调速电机（部分高精度机型为伺服电机），功率根据开卷机吨位配置：轻型机5.5-11kW，中型机15-22kW，重型机30-37kW。电机集成编码器（分辨率1024线），实时反馈转速信号至PLC，构成速度闭环控制；冷却方式为强迫风冷（IP54防护等级），确保在环境温度45℃时连续运行。</w:t>
      </w:r>
    </w:p>
    <w:p w14:paraId="6FDA12DE">
      <w:r>
        <w:rPr>
          <w:b/>
        </w:rPr>
        <w:t>减速器与齿轮箱</w:t>
      </w:r>
      <w:r>
        <w:t>实现减速增扭，减速器通常为行星齿轮结构（如SEW系列），减速比20-50（单级或双级传动），传动效率≥96%，输出轴通过联轴器与齿轮箱输入轴连接；齿轮箱为三轴式硬齿面结构（齿轮材质20CrMnTi，渗碳淬火硬度58-62HRC），内部包含主动齿轮、中间齿轮和输出齿轮，总减速比4-10，与减速器配合后可实现总减速比80-500（如电机转速1450r/min，经减速后卷筒转速2.9-18r/min）。齿轮箱采用强制润滑系统（齿轮泵供油，流量2L/min），润滑油型号N460极压工业齿轮油，油箱装有油位计和油温传感器（超过60℃时报警）。</w:t>
      </w:r>
    </w:p>
    <w:p w14:paraId="38EDEAEE">
      <w:r>
        <w:rPr>
          <w:b/>
        </w:rPr>
        <w:t>制动器</w:t>
      </w:r>
      <w:r>
        <w:t>为开卷张力提供反向制动力矩，主流采用气动盘式制动器（部分重型机为液压制动器），安装于齿轮箱输出轴或卷筒轴端。制动器由制动盘（材质45号钢，厚度15mm）、制动钳（含2组制动片）和气动控制系统组成，制动片材质为无石棉摩擦材料（摩擦系数0.4，允许工作温度≤200℃），制动力矩通过调节气压（0.4-0.6MPa）实现，调节范围500-5000N·m（与开卷张力匹配：张力T=F×D/2，F为带材张力，D为卷径）。制动器响应时间≤0.3秒，确保在紧急情况下快速停车（从60m/min降至0的制动距离≤1m）。</w:t>
      </w:r>
    </w:p>
    <w:p w14:paraId="2003492B">
      <w:r>
        <w:rPr>
          <w:b/>
        </w:rPr>
        <w:t>传动轴系</w:t>
      </w:r>
      <w:r>
        <w:t>包括联轴器、支撑轴承和胀紧套。联轴器采用弹性柱销式（轻型机）或膜片式（中型以上），补偿安装误差（角向偏差≤0.5°，轴向偏差≤1mm）；支撑轴承为双列圆柱滚子轴承（型号NN3024K），承受径向力，轴承游隙控制在0.05-0.08mm，通过端盖预紧；胀紧套（用于齿轮与轴的连接）为无键连接方式，传递扭矩大（可达10000N·m），安装拆卸方便，避免键槽应力集中。</w:t>
      </w:r>
    </w:p>
    <w:p w14:paraId="339BFBB9">
      <w:r>
        <w:t>传动系统的动力传递路径为：电机→减速器→齿轮箱→传动轴→卷筒→卷材旋转放卷。在开卷过程中，PLC根据纵剪机速度信号（通过编码器采集）调节电机转速，使开卷速度与下游设备保持同步（速度偏差≤±2%）；同时，制动器根据张力设定值提供反向制动力，通过PID调节实现恒张力控制（张力波动≤5%）。当带材出现断带时，制动器在0.2秒内紧急制动，防止卷材惯性放卷导致带材堆积。</w:t>
      </w:r>
    </w:p>
    <w:p w14:paraId="2054BF1A">
      <w:pPr>
        <w:pStyle w:val="4"/>
      </w:pPr>
      <w:r>
        <w:t>4. 支撑与导向装置</w:t>
      </w:r>
    </w:p>
    <w:p w14:paraId="38F706F5">
      <w:r>
        <w:t>支撑与导向装置保障开卷机结构稳定性和带材运行路径精度，由机座、外支撑轴承、防折辊、直头机及导向辊组组成。</w:t>
      </w:r>
    </w:p>
    <w:p w14:paraId="253C4ED9">
      <w:r>
        <w:rPr>
          <w:b/>
        </w:rPr>
        <w:t>机座</w:t>
      </w:r>
      <w:r>
        <w:t>为整体焊接结构（材质Q355B钢板，厚度20-30mm），通过焊接H型钢加固，经退火处理消除内应力（焊接后变形量≤2mm/m）。机座上部安装卷筒支撑轴承座和传动系统，下部通过8-12条地脚螺栓（M30×8.8级）固定于混凝土基础（基础深度≥1.5m，承载能力≥200kN/m²），部分重型机还设有辅助支撑腿（与地面之间垫0.5mm厚不锈钢板，确保水平度≤0.1mm/m）。</w:t>
      </w:r>
    </w:p>
    <w:p w14:paraId="61B845F6">
      <w:r>
        <w:rPr>
          <w:b/>
        </w:rPr>
        <w:t>外支撑轴承</w:t>
      </w:r>
      <w:r>
        <w:t>用于承受卷筒前端的径向力，尤其在大直径卷材开卷时，可有效降低卷筒轴的弯曲变形。轴承座安装于机座前端，内部为调心滚子轴承（型号23230CC/W33），轴承座通过油缸驱动可前后移动（行程100mm）：上卷时轴承座后退，避免与卷材干涉；开卷时轴承座前进，支撑卷筒前端（支撑力≥150kN），此时卷筒径向跳动可控制在≤0.1mm。</w:t>
      </w:r>
    </w:p>
    <w:p w14:paraId="1A5C7A2C">
      <w:r>
        <w:rPr>
          <w:b/>
        </w:rPr>
        <w:t>防折辊</w:t>
      </w:r>
      <w:r>
        <w:t>防止带材开卷初期因弹性恢复产生“死折”，安装于卷筒下方（距卷筒表面100-200mm），由辊体（直径150mm，长度略大于最大带材宽度）、升降机构和摆动机构组成。辊体表面包覆橡胶（硬度70 Shore A），升降机构通过气缸驱动（行程200mm），可根据带材厚度调整高度（薄板调低，厚板调高）；摆动机构允许防折辊在±15°范围内旋转，适应带材不同的开卷角度，避免辊体与带材边缘产生摩擦。</w:t>
      </w:r>
    </w:p>
    <w:p w14:paraId="115A646B">
      <w:r>
        <w:rPr>
          <w:b/>
        </w:rPr>
        <w:t>直头机</w:t>
      </w:r>
      <w:r>
        <w:t>用于矫直卷材头部（通常存在“外翘”或“内扣”），确保顺利穿入夹送辊，由压弯辊、铲刀和驱动油缸组成。压弯辊（直径100mm，材质Cr12MoV淬火）安装于卷材前方，通过双油缸驱动下压（压力0-10kN可调），将板头压弯至设定曲率（曲率半径R=500-1000mm，根据带材厚度调整）；铲刀为楔形结构（材质42CrMo），表面镀铬（厚度0.05mm），通过气动系统驱动伸缩（行程300mm）和摆动（角度0-30°），插入板头与卷材之间，引导板头向上弯曲进入压弯辊。直头机的矫直效果直接影响穿带成功率，压弯力过小会导致板头无法矫直（穿带时卡滞），过大则可能造成板头塑性变形（影响后续分条精度）。</w:t>
      </w:r>
    </w:p>
    <w:p w14:paraId="55C1C653">
      <w:r>
        <w:rPr>
          <w:b/>
        </w:rPr>
        <w:t>导向辊组</w:t>
      </w:r>
      <w:r>
        <w:t>引导带材按既定路径运行，包括入口导向辊、出口夹送辊和侧立导辊。入口导向辊（2-3组，上下布置）位于直头机后方，辊体直径80mm，表面光滑（Ra≤0.8μm），防止划伤带材；出口夹送辊（由上、下辊组成）通过气缸加压（压力0-5kN），提供牵引力将带材送入矫直机，下辊为驱动辊（由伺服电机单独驱动），上辊为从动辊（可通过调节气缸压力控制夹持力）；侧立导辊（安装于夹送辊两侧）为立式布置，辊体可横向调节（调整范围±100mm），确保带材边缘对齐，防止跑偏（边缘偏差≤±0.5mm）。</w:t>
      </w:r>
    </w:p>
    <w:p w14:paraId="3C345533">
      <w:pPr>
        <w:pStyle w:val="3"/>
      </w:pPr>
      <w:r>
        <w:t>三、机械原理</w:t>
      </w:r>
    </w:p>
    <w:p w14:paraId="410AAB97">
      <w:pPr>
        <w:pStyle w:val="4"/>
      </w:pPr>
      <w:r>
        <w:t>1. 胀缩机械原理</w:t>
      </w:r>
    </w:p>
    <w:p w14:paraId="3E9D52BE">
      <w:r>
        <w:t>胀缩机构通过四棱锥轴的轴向移动转换为扇形块的径向运动，实现卷筒直径变化以夹紧或释放卷材，其机械原理基于斜面传动和力的分解。</w:t>
      </w:r>
    </w:p>
    <w:p w14:paraId="059371A9">
      <w:r>
        <w:rPr>
          <w:b/>
        </w:rPr>
        <w:t>力学模型</w:t>
      </w:r>
      <w:r>
        <w:t>：四棱锥轴与扇形块的接触面为倾角α（通常12°）的斜面，当胀缩油缸提供轴向推力F_axial时，斜面产生法向力F_n=F_axial/cosα，法向力分解为径向力F_r=F_n×sinα=F_axial×tanα和轴向摩擦力F_f=F_n×μ=F_axial×μ/cosα（μ为摩擦系数，取0.1-0.15）。径向力F_r推动扇形块沿燕尾槽径向扩张，与卷材内孔接触并产生夹紧力F_clamp=F_r - F_f'（F_f'为扇形块与滑道的摩擦力）。以重型开卷机为例，胀缩油缸直径160mm，工作压力15MPa，轴向推力F_axial=π×(0.16/2)²×15×10⁶≈294.5kN，α=12°时，径向力F_r=294.5×tan12°≈62.5kN（4块扇形块总径向力≈250kN），扣除摩擦损失后，实际夹紧力约200kN，可满足30吨卷材的夹紧需求（防滑条件：F_clamp×μ≥卷材重力，μ取0.2时，200×0.2=40kN≥30×9.8=294N，安全系数充足）。</w:t>
      </w:r>
    </w:p>
    <w:p w14:paraId="2F22163B">
      <w:r>
        <w:rPr>
          <w:b/>
        </w:rPr>
        <w:t>胀缩量计算</w:t>
      </w:r>
      <w:r>
        <w:t>：扇形块的径向位移量Δr与四棱锥轴的轴向位移量Δx的关系为Δr=Δx×tanα。例如，α=12°时，轴向移动100mm，径向位移Δr=100×tan12°≈21.3mm，即卷筒直径变化量为2Δr≈42.6mm，可实现从508mm到550.6mm的胀缩（实际设计中，通过控制油缸行程使胀缩范围覆盖508mm和610mm两种标准内径，即Δr=(610-508)/2=51mm，对应油缸行程Δx=51/tan12°≈239mm）。</w:t>
      </w:r>
    </w:p>
    <w:p w14:paraId="7E2A5A2A">
      <w:r>
        <w:rPr>
          <w:b/>
        </w:rPr>
        <w:t>应力分布</w:t>
      </w:r>
      <w:r>
        <w:t>：扇形块在夹紧状态下承受径向力和弯曲力矩，有限元分析显示，扇形块“肩膀”处（与四棱锥轴接触的后端）为应力集中区域，最大应力可达124.6-133.6MPa（42CrMo的许用应力为186-310MPa，安全系数1.4-2.5）。若存在偏载（如卷材内孔不圆），应力会显著增大（可达707.4MPa），易引发裂纹或断裂，因此现代开卷机多采用倒锥式四棱锥轴（斜面方向相反），通过改变力流方向降低尾钩处弯曲应力约30%。</w:t>
      </w:r>
    </w:p>
    <w:p w14:paraId="6AF2E3B8">
      <w:r>
        <w:rPr>
          <w:b/>
        </w:rPr>
        <w:t>动态特性</w:t>
      </w:r>
      <w:r>
        <w:t>：胀缩过程中，扇形块的同步性至关重要。传统结构中，4块扇形块独立运动，易因斜面磨损不均导致同步误差（＞0.1mm），引发卷材偏心旋转（离心力F=mrω²，m为偏心质量，r为偏心距，ω为角速度）。为解决此问题，新型开卷机采用“斜楔+胀缩块”复合结构或同步连杆机构，使扇形块运动误差≤0.05mm，离心力振动控制在0.1mm以内（振幅≤0.05mm）。</w:t>
      </w:r>
    </w:p>
    <w:p w14:paraId="5901BC77">
      <w:pPr>
        <w:pStyle w:val="4"/>
      </w:pPr>
      <w:r>
        <w:t>2. 传动系统原理</w:t>
      </w:r>
    </w:p>
    <w:p w14:paraId="5FBDFF63">
      <w:r>
        <w:t>传动系统通过多级减速将电机高速旋转转换为卷筒的低速大扭矩输出，并配合制动器实现张力控制，其核心是传动比匹配和扭矩传递。</w:t>
      </w:r>
    </w:p>
    <w:p w14:paraId="35516A3F">
      <w:r>
        <w:rPr>
          <w:b/>
        </w:rPr>
        <w:t>传动比与转速计算</w:t>
      </w:r>
      <w:r>
        <w:t>：传动系统总减速比i=i_减×i_箱（i_减为减速器减速比，i_箱为齿轮箱减速比），卷筒输出转速n_drum=n_motor/i（n_motor为电机转速）。例如，电机转速1450r/min，减速器减速比25，齿轮箱减速比4，总减速比i=25×4=100，卷筒转速n_drum=1450/100=14.5r/min，对应带材线速度v=π×D×n_drum/60（D为卷材直径），当卷材直径1600mm时，v=π×1.6×14.5/60≈1.21m/s=4.36m/min，通过调节电机转速（变频调速）可实现0-60m/min的线速度范围。</w:t>
      </w:r>
    </w:p>
    <w:p w14:paraId="50C8C8AF">
      <w:r>
        <w:rPr>
          <w:b/>
        </w:rPr>
        <w:t>扭矩传递计算</w:t>
      </w:r>
      <w:r>
        <w:t>：电机输出扭矩T_motor=9550×P_motor/n_motor（P_motor为电机功率，kW），经减速器和齿轮箱传递后，卷筒输出扭矩T_drum=T_motor×i×η（η为总传动效率，取0.9-0.96）。以15kW电机（n_motor=1450r/min）为例，T_motor=9550×15/1450≈98.7N·m，经i=100、η=0.92传动后，T_drum=98.7×100×0.92≈9080N·m。该扭矩需克服卷材转动惯量（启动阶段）、带材张力产生的制动扭矩（稳定运行阶段）和机械摩擦扭矩。</w:t>
      </w:r>
    </w:p>
    <w:p w14:paraId="457094CF">
      <w:r>
        <w:rPr>
          <w:b/>
        </w:rPr>
        <w:t>制动扭矩与张力关系</w:t>
      </w:r>
      <w:r>
        <w:t>：开卷张力T由制动器提供的反向制动扭矩T_brake平衡，关系为T_brake=T×D/2（D为实时卷径）。例如，带材张力设定5kN，当前卷径1.2m，所需制动扭矩T_brake=5000×1.2/2=3000N·m，PLC通过控制制动器气压（0.4-0.6MPa）调节制动扭矩，实现张力闭环控制。随着卷材展开，卷径D逐渐减小，为维持恒定张力T，制动扭矩需同步减小（T_brake∝D），因此需实时计算卷径（通过编码器测量卷筒转速n_drum和带材线速度v，D=v/(π×n_drum)）。</w:t>
      </w:r>
    </w:p>
    <w:p w14:paraId="436F0514">
      <w:r>
        <w:rPr>
          <w:b/>
        </w:rPr>
        <w:t>动态响应特性</w:t>
      </w:r>
      <w:r>
        <w:t>：传动系统的动态响应直接影响张力稳定性，当下游纵剪机速度变化时（如加速、减速或点动），开卷机需在0.5秒内调整电机转速和制动扭矩，避免带材出现“拉拽”或“堆积”。为提高响应速度，系统采用刚性传动（齿轮啮合间隙≤0.1mm）和高动态响应变频器（矢量控制，响应时间≤10ms），并在电机轴端安装高分辨率编码器（1024线），实时反馈转速偏差（≤±1r/min），通过PID调节实现速度闭环控制（速度波动≤±2%）。</w:t>
      </w:r>
    </w:p>
    <w:p w14:paraId="45DEABB4">
      <w:pPr>
        <w:pStyle w:val="4"/>
      </w:pPr>
      <w:r>
        <w:t>3. 张力控制机械原理</w:t>
      </w:r>
    </w:p>
    <w:p w14:paraId="6ED9BFF6">
      <w:r>
        <w:t>张力控制是开卷机的核心功能，通过调节制动器制动力矩，使带材在开卷过程中保持恒定张力，避免褶皱、拉伸或跑偏，其机械原理基于卷径实时计算和动态扭矩补偿。</w:t>
      </w:r>
    </w:p>
    <w:p w14:paraId="33BEACAB">
      <w:r>
        <w:rPr>
          <w:b/>
        </w:rPr>
        <w:t>卷径计算模型</w:t>
      </w:r>
      <w:r>
        <w:t>：开卷过程中，卷材直径D随带材展开逐渐减小（从最大直径D_max到最小直径D_min），实时卷径通过“速度-转速法”计算：D=v/(π×n_drum)（v为带材线速度，由下游夹送辊编码器测量；n_drum为卷筒转速，由电机编码器测量）。为提高精度，需引入带材厚度补偿：D(k)=D(k-1)-2h×v×T/(π×D(k-1)×ρ)（D(k)为当前卷径，D(k-1)为上一周期卷径，h为带材厚度，T为采样周期，ρ为卷材占积率，取0.95），该补偿可将卷径计算误差控制在±2%以内。</w:t>
      </w:r>
    </w:p>
    <w:p w14:paraId="487C4898">
      <w:r>
        <w:rPr>
          <w:b/>
        </w:rPr>
        <w:t>恒张力控制策略</w:t>
      </w:r>
      <w:r>
        <w:t>：基于卷径计算结果，通过调节制动器扭矩实现张力恒定。张力设定值T_set与制动扭矩T_brake的关系为T_brake=T_set×D/2+T_friction（T_friction为机械摩擦扭矩，约5%-10%T_brake）。PLC根据当前卷径D和张力反馈值T_feedback（由张力传感器测量），通过PID算法调节制动气压：当T_feedback＜T_set时，增大气压（提高制动扭矩）；当T_feedback＞T_set时，减小气压（降低制动扭矩），调节周期10ms，张力控制精度±5%。</w:t>
      </w:r>
    </w:p>
    <w:p w14:paraId="0245FA1B">
      <w:r>
        <w:rPr>
          <w:b/>
        </w:rPr>
        <w:t>动态张力补偿</w:t>
      </w:r>
      <w:r>
        <w:t>：在加减速阶段，带材会因惯性力产生张力波动（加速时张力增大，减速时减小），需进行动态补偿。补偿扭矩T_comp=J×dω/dt（J为系统转动惯量，dω/dt为角加速度），其中J=J_drum+J_coil（J_drum为卷筒转动惯量，J_coil=πρL(D⁴-D_min⁴)/32为卷材转动惯量，ρ为材料密度，L为卷材宽度）。例如，加速时dω/dt＞0，T_comp为正值（需减小制动扭矩，避免张力过大）；减速时dω/dt＜0，T_comp为负值（需增大制动扭矩，避免张力过小）。通过动态补偿，可将加减速阶段的张力波动从±15%降至±5%以内。</w:t>
      </w:r>
    </w:p>
    <w:p w14:paraId="770AF1D4">
      <w:r>
        <w:rPr>
          <w:b/>
        </w:rPr>
        <w:t>张力传感器反馈</w:t>
      </w:r>
      <w:r>
        <w:t>：高精度开卷机配置张力传感器（安装于出口夹送辊与矫直机之间），实时测量实际张力T_feedback（测量精度±0.5%FS），构成闭环控制。传感器通常为拉压力传感器（量程0-100kN），通过检测导向辊的受力反力计算带材张力（T_feedback=F_sensor/(2cosθ)，θ为带材包角，通常180°，此时T_feedback=F_sensor/2）。当张力传感器故障时，系统自动切换至“开环张力控制”（仅通过卷径计算调节扭矩），确保生产不中断。</w:t>
      </w:r>
    </w:p>
    <w:p w14:paraId="657A1B4D">
      <w:pPr>
        <w:pStyle w:val="3"/>
      </w:pPr>
      <w:r>
        <w:t>四、控制系统原理</w:t>
      </w:r>
    </w:p>
    <w:p w14:paraId="4BE1907E">
      <w:pPr>
        <w:pStyle w:val="4"/>
      </w:pPr>
      <w:r>
        <w:t>1. 控制系统硬件组成</w:t>
      </w:r>
    </w:p>
    <w:p w14:paraId="5B4378E9">
      <w:r>
        <w:t>开卷机控制系统以PLC为核心，集成传感器、执行元件和人机界面，构建“感知-决策-执行”闭环控制架构，硬件采用模块化设计，支持扩展和维护。</w:t>
      </w:r>
    </w:p>
    <w:p w14:paraId="19B2E56D">
      <w:r>
        <w:rPr>
          <w:b/>
        </w:rPr>
        <w:t>控制层</w:t>
      </w:r>
      <w:r>
        <w:t>：核心控制器采用西门子S7-1200（小型线）或S7-1500（中大型线）PLC，S7-1500 CPU模块（型号1516-3PN/DP）处理速度0.08μs/指令，程序存储容量2MB，数据存储容量512KB，支持Profinet（传输速率100Mbps）和MPI/DP通信。扩展模块包括：数字量输入模块（SM 1221，16点DC 24V，响应时间≤1ms）采集限位开关、急停按钮等信号；数字量输出模块（SM 1222，16点DC 24V/0.5A）控制电磁阀、继电器；模拟量输入模块（SM 1231，8通道，16位精度）接收张力传感器（4-20mA）、压力传感器（0-10V）信号；模拟量输出模块（SM 1232，4通道）控制变频器频率（4-20mA）和比例阀开度。</w:t>
      </w:r>
    </w:p>
    <w:p w14:paraId="40877DED">
      <w:r>
        <w:rPr>
          <w:b/>
        </w:rPr>
        <w:t>传感层</w:t>
      </w:r>
      <w:r>
        <w:t>：包括位置、速度、张力、压力等传感器。编码器（增量式，1024线）安装于电机轴和夹送辊轴，分别测量卷筒转速和带材线速度；激光对中传感器（检测精度±0.05mm）安装于上料小车两侧，检测卷材边缘位置；张力传感器（拉压力型，量程0-100kN）安装于出口导向辊组，测量带材实际张力；压力传感器（0-25MPa）安装于胀缩油缸和制动气路，监测油压和气压；接近开关（NPN型，检测距离5mm）用于限位检测（如上料小车原位、胀缩到位）。</w:t>
      </w:r>
    </w:p>
    <w:p w14:paraId="622970D4">
      <w:r>
        <w:rPr>
          <w:b/>
        </w:rPr>
        <w:t>执行层</w:t>
      </w:r>
      <w:r>
        <w:t>：包括驱动装置和液压气动元件。变频器（西门子G120系列，功率与电机匹配）采用矢量控制，驱动开卷电机实现速度调节；伺服驱动器（用于对中系统）驱动上料小车横向移动；液压站（油箱容积200L）提供胀缩油缸和夹紧油缸动力，配备齿轮泵（流量20L/min）和溢流阀（设定压力16MPa）；气动系统（含空压机、储气罐、减压阀）为制动器和直头机提供气源（压力0.6-0.8MPa）；电磁阀（两位四通）控制油缸和气缸动作，响应时间≤50ms。</w:t>
      </w:r>
    </w:p>
    <w:p w14:paraId="00879102">
      <w:r>
        <w:rPr>
          <w:b/>
        </w:rPr>
        <w:t>人机交互层</w:t>
      </w:r>
      <w:r>
        <w:t>：15英寸触摸屏（西门子TP1500精智面板）实现参数设置、状态监控和故障报警，界面包含主控页面（显示实时张力、速度、卷径）、参数设置页面（张力设定、速度限制）、报警记录页面（近3个月故障代码）和趋势曲线页面（张力、速度24小时变化曲线），支持中英文切换，操作权限分级（操作员级、工程师级、管理员级）。</w:t>
      </w:r>
    </w:p>
    <w:p w14:paraId="2E830C75">
      <w:r>
        <w:rPr>
          <w:b/>
        </w:rPr>
        <w:t>通信网络</w:t>
      </w:r>
      <w:r>
        <w:t>：采用Profinet总线连接PLC、触摸屏、变频器和远程I/O模块，通信速率100Mbps，更新周期1ms；通过Modbus RTU协议（RS485接口）与车间SCADA系统通信，上传生产数据（开卷长度、运行时间、故障次数），实现远程监控。</w:t>
      </w:r>
    </w:p>
    <w:p w14:paraId="7F068F98">
      <w:pPr>
        <w:pStyle w:val="4"/>
      </w:pPr>
      <w:r>
        <w:t>2. 控制系统软件架构</w:t>
      </w:r>
    </w:p>
    <w:p w14:paraId="608D14CE">
      <w:r>
        <w:t>控制系统软件基于西门子TIA博途平台开发，采用结构化编程思想，模块化设计，包括组织块（OB）、功能块（FB）、功能（FC）和数据块（DB），确保逻辑清晰、维护便捷。</w:t>
      </w:r>
    </w:p>
    <w:p w14:paraId="744E5DDA">
      <w:r>
        <w:rPr>
          <w:b/>
        </w:rPr>
        <w:t>组织块（OB）</w:t>
      </w:r>
      <w:r>
        <w:t>：主程序组织块OB1按100ms周期循环执行，调用各功能模块；定时中断组织块OB35（周期10ms）处理高速任务（如编码器信号采集、张力PID调节）；诊断中断组织块OB82处理模块故障（如传感器断线）；硬件中断组织块OB40处理急停信号（响应时间≤100ms）。</w:t>
      </w:r>
    </w:p>
    <w:p w14:paraId="4CE8F6AB">
      <w:r>
        <w:rPr>
          <w:b/>
        </w:rPr>
        <w:t>功能块（FB）与功能（FC）</w:t>
      </w:r>
      <w:r>
        <w:t>：核心功能块包括：</w:t>
      </w:r>
    </w:p>
    <w:p w14:paraId="03BF7364">
      <w:pPr>
        <w:numPr>
          <w:ilvl w:val="0"/>
          <w:numId w:val="13"/>
        </w:numPr>
        <w:spacing w:before="0" w:beforeAutospacing="1" w:after="0" w:afterAutospacing="1"/>
        <w:ind w:left="720" w:hanging="360"/>
      </w:pPr>
      <w:r>
        <w:rPr>
          <w:b/>
        </w:rPr>
        <w:t>初始化模块（FC100）</w:t>
      </w:r>
      <w:r>
        <w:t>：设备上电时执行，初始化全局变量（如张力设定值5kN、最大速度60m/min）、复位报警标志、检测传感器通信状态（通过读取设备描述块判断是否在线）。</w:t>
      </w:r>
    </w:p>
    <w:p w14:paraId="5FD570D8">
      <w:pPr>
        <w:numPr>
          <w:ilvl w:val="0"/>
          <w:numId w:val="13"/>
        </w:numPr>
        <w:spacing w:before="0" w:beforeAutospacing="1" w:after="0" w:afterAutospacing="1"/>
        <w:ind w:left="720" w:hanging="360"/>
      </w:pPr>
      <w:r>
        <w:rPr>
          <w:b/>
        </w:rPr>
        <w:t>上料控制模块（FB200）</w:t>
      </w:r>
      <w:r>
        <w:t>：实现上料小车的自动运行，包括“上升→对中→前进→下降→复位”动作序列，通过状态机编程（S0：初始，S1：上升，S2：对中...）控制各阶段动作，设置超时保护（如上升超时10秒报警）。</w:t>
      </w:r>
    </w:p>
    <w:p w14:paraId="225703AF">
      <w:pPr>
        <w:numPr>
          <w:ilvl w:val="0"/>
          <w:numId w:val="13"/>
        </w:numPr>
        <w:spacing w:before="0" w:beforeAutospacing="1" w:after="0" w:afterAutospacing="1"/>
        <w:ind w:left="720" w:hanging="360"/>
      </w:pPr>
      <w:r>
        <w:rPr>
          <w:b/>
        </w:rPr>
        <w:t>张力控制模块（FB300）</w:t>
      </w:r>
      <w:r>
        <w:t>：核心控制逻辑，输入为张力设定值（T_set）、实际卷径（D）、带材速度（v），输出为制动扭矩指令（T_brake_cmd）。内部包含卷径计算（调用FC101）、PID调节（调用西门子标准PID功能块FB41）、动态补偿（调用FC102）等子功能。</w:t>
      </w:r>
    </w:p>
    <w:p w14:paraId="4F255658">
      <w:pPr>
        <w:numPr>
          <w:ilvl w:val="0"/>
          <w:numId w:val="13"/>
        </w:numPr>
        <w:spacing w:before="0" w:beforeAutospacing="1" w:after="0" w:afterAutospacing="1"/>
        <w:ind w:left="720" w:hanging="360"/>
      </w:pPr>
      <w:r>
        <w:rPr>
          <w:b/>
        </w:rPr>
        <w:t>安全联锁模块（FC103）</w:t>
      </w:r>
      <w:r>
        <w:t>：监测急停按钮、安全光幕、门限开关等安全信号，当任一信号触发时，置位安全联锁标志（SAFE_FLG=1），切断所有输出（电机、电磁阀），并记录故障代码（如“E01 急停触发”）。</w:t>
      </w:r>
    </w:p>
    <w:p w14:paraId="1D45B33C">
      <w:r>
        <w:rPr>
          <w:b/>
        </w:rPr>
        <w:t>数据块（DB）</w:t>
      </w:r>
      <w:r>
        <w:t>：背景数据块存储功能块的输入/输出参数（如FB300的DB300存储T_set、D、T_brake_cmd）；全局数据块DB1存储设备状态变量（如运行状态、报警标志）；常量数据块DB10存储固定参数（如减速比、带材厚度、PID参数），支持通过触摸屏修改。</w:t>
      </w:r>
    </w:p>
    <w:p w14:paraId="1257F7FD">
      <w:r>
        <w:rPr>
          <w:b/>
        </w:rPr>
        <w:t>张力控制算法实现</w:t>
      </w:r>
      <w:r>
        <w:t>：在FB300中，卷径计算通过FC101实现，采用“速度-转速法”结合厚度补偿；PID调节调用FB41，设定值SP=T_set，过程值PV=T_feedback，输出MV控制制动气压（0-10V对应0-0.6MPa）；动态补偿通过FC102计算加减速扭矩，叠加至PID输出（MV=MV_PID+MV_comp）。算法优化包括：死区控制（张力偏差＜±2%时不调节）、输出限幅（气压0.2-0.6MPa）、积分分离（偏差＞10%时取消积分作用，避免超调）。</w:t>
      </w:r>
    </w:p>
    <w:p w14:paraId="3F8C6FE6">
      <w:r>
        <w:rPr>
          <w:b/>
        </w:rPr>
        <w:t>安全逻辑实现</w:t>
      </w:r>
      <w:r>
        <w:t>：在FC103中，安全信号（急停、光幕、门限）串联接入安全继电器，通过硬件和软件双重保护。软件层面，每个输出控制逻辑前均加入安全联锁标志判断（如“启动允许=运行条件 AND NOT SAFE_FLG”），确保安全信号触发时输出立即切断；硬件层面，安全继电器直接控制接触器线圈电源，与软件逻辑形成冗余保护。</w:t>
      </w:r>
    </w:p>
    <w:p w14:paraId="18638888">
      <w:pPr>
        <w:pStyle w:val="4"/>
      </w:pPr>
      <w:r>
        <w:t>3. 自动化控制流程</w:t>
      </w:r>
    </w:p>
    <w:p w14:paraId="316F5B25">
      <w:r>
        <w:t>开卷机自动化控制流程按生产阶段分为上料定位、穿带准备、自动开卷和换卷停机四个阶段，各阶段通过传感器信号联锁，实现无人值守运行。</w:t>
      </w:r>
    </w:p>
    <w:p w14:paraId="069674FF">
      <w:r>
        <w:rPr>
          <w:b/>
        </w:rPr>
        <w:t>上料定位阶段</w:t>
      </w:r>
      <w:r>
        <w:t>：操作员通过触摸屏选择卷材规格（厚度h=1.5mm，宽度B=1250mm），系统自动调用对应工艺配方（张力T=8kN，速度v=30m/min）；行车将卷材吊装至上料小车V型架，限位板自动调整固定；启动“自动上料”，上料小车横向移动，激光对中传感器检测卷材边缘，PLC控制伺服电机驱动小车移动，使卷材中心与卷筒中心对齐（偏差≤±0.1mm/m）；对中完成后，小车行走至卷筒轴线位置，升降油缸提升卷材（速度0.1m/s），使卷材内孔套入卷筒锥形导向头；胀缩油缸伸出，扇形块径向扩张，夹紧卷材内孔（胀紧压力12MPa）；上料小车下降复位（降至下限位置），外支撑轴承前进支撑卷筒前端，进入待开卷状态。</w:t>
      </w:r>
    </w:p>
    <w:p w14:paraId="063B7985">
      <w:r>
        <w:rPr>
          <w:b/>
        </w:rPr>
        <w:t>穿带准备阶段</w:t>
      </w:r>
      <w:r>
        <w:t>：操作员按下“穿带”按钮，直头机铲刀气缸伸出（插入板头下方），压弯辊气缸下降（压力3kN），点动开卷电机（速度1m/min），使板头向上弯曲；铲刀摆动30°，引导板头进入压弯辊与导向辊之间；压弯辊下压（压力5kN），将板头矫直（平面度≤0.5mm/m）；夹送辊上辊下降（压力2kN），驱动辊启动（速度2m/min），牵引板头通过侧立导辊（调整开口度1250mm）进入矫直机；板头穿过矫直机后，触发下游光电传感器，穿带完成，系统自动切换至“自动开卷”模式。</w:t>
      </w:r>
    </w:p>
    <w:p w14:paraId="4CABF601">
      <w:r>
        <w:rPr>
          <w:b/>
        </w:rPr>
        <w:t>自动开卷阶段</w:t>
      </w:r>
      <w:r>
        <w:t>：纵剪机启动（速度从0升至设定值30m/min），开卷机电机同步加速（通过速度闭环控制，速度偏差≤±2%）；制动器根据张力设定值8kN和实时卷径D（初始D=1600mm），计算制动扭矩T_brake=8000×1.6/2=6400N·m，通过PID调节制动气压（初始0.4MPa），维持张力稳定（波动≤±5%）；随着卷材展开，卷径D逐渐减小，系统每100ms更新一次卷径计算值（D=v/(π×n_drum)），并同步减小制动扭矩（如D=800mm时，T_brake=8000×0.8/2=3200N·m）；当卷径减小至最小直径D_min=508mm时，系统发出“卷材即将用完”预告（提前5米），提示操作员准备换卷。</w:t>
      </w:r>
    </w:p>
    <w:p w14:paraId="4F49F263">
      <w:r>
        <w:rPr>
          <w:b/>
        </w:rPr>
        <w:t>换卷停机阶段</w:t>
      </w:r>
      <w:r>
        <w:t>：最后5米带材运行时，系统自动降低速度至10m/min；带材用完后，触发“卷尾检测”传感器，开卷机电机和制动器停止动作，胀缩油缸缩回，扇形块收缩；外支撑轴承后退，上料小车上升顶起剩余卷材内圈，人工剪断带材尾部；上料小车携带空卷行走至卸料位置，完成换卷；若需连续生产，新卷材上料流程自动启动，实现“一用一备”无缝衔接（双头开卷机型）。</w:t>
      </w:r>
    </w:p>
    <w:p w14:paraId="08B3D536">
      <w:r>
        <w:rPr>
          <w:b/>
        </w:rPr>
        <w:t>异常处理逻辑</w:t>
      </w:r>
      <w:r>
        <w:t>：运行中出现断带时，张力传感器检测到张力骤降（＜20%设定值），系统立即触发急停（0.2秒内制动），HMI显示“断带故障”；出现张力超限（＞120%设定值持续2秒），系统自动降低纵剪机速度（降至50%），同时减小制动扭矩，若3秒内未恢复则停机；编码器信号丢失时，切换至备用编码器（双编码器冗余），无备用时触发“速度反馈故障”报警，系统降速至10m/min运行，等待处理。</w:t>
      </w:r>
    </w:p>
    <w:p w14:paraId="77F4753D">
      <w:pPr>
        <w:pStyle w:val="3"/>
      </w:pPr>
      <w:r>
        <w:t>四、操作与维护规范</w:t>
      </w:r>
    </w:p>
    <w:p w14:paraId="7FD4BA59">
      <w:pPr>
        <w:pStyle w:val="4"/>
      </w:pPr>
      <w:r>
        <w:t>1. 操作流程</w:t>
      </w:r>
    </w:p>
    <w:p w14:paraId="18EEE2FD">
      <w:r>
        <w:t>开卷机操作需严格遵循安全规程和工艺要求，分为开机前准备、开机操作、正常运行监控和停机清理四个步骤，确保设备安全稳定运行。</w:t>
      </w:r>
    </w:p>
    <w:p w14:paraId="32AF8A47">
      <w:r>
        <w:rPr>
          <w:b/>
        </w:rPr>
        <w:t>开机前准备</w:t>
      </w:r>
      <w:r>
        <w:t>：</w:t>
      </w:r>
    </w:p>
    <w:p w14:paraId="4FAD0261">
      <w:pPr>
        <w:numPr>
          <w:ilvl w:val="0"/>
          <w:numId w:val="14"/>
        </w:numPr>
        <w:spacing w:before="0" w:beforeAutospacing="1" w:after="0" w:afterAutospacing="1"/>
        <w:ind w:left="720" w:hanging="360"/>
      </w:pPr>
      <w:r>
        <w:rPr>
          <w:b/>
        </w:rPr>
        <w:t>安全检查</w:t>
      </w:r>
      <w:r>
        <w:t>：确认开卷机周围无障碍物（如工具、卷材废料），安全围栏门关闭，急停按钮复位（蘑菇头弹出），操作人员佩戴防静电服、护目镜和防砸鞋；检查安全光幕无遮挡（指示灯绿色常亮），接地电阻≤10Ω（用接地电阻测试仪测量）。</w:t>
      </w:r>
    </w:p>
    <w:p w14:paraId="6A650E75">
      <w:pPr>
        <w:numPr>
          <w:ilvl w:val="0"/>
          <w:numId w:val="14"/>
        </w:numPr>
        <w:spacing w:before="0" w:beforeAutospacing="1" w:after="0" w:afterAutospacing="1"/>
        <w:ind w:left="720" w:hanging="360"/>
      </w:pPr>
      <w:r>
        <w:rPr>
          <w:b/>
        </w:rPr>
        <w:t>设备检查</w:t>
      </w:r>
      <w:r>
        <w:t>：液压站油位在液位计1/2-2/3之间（油位过低补加N46抗磨液压油），油温20-45℃（低于15℃时启动加热器）；气动系统压力0.6-0.8MPa（减压阀调节），气路无泄漏（肥皂水涂抹接头，无气泡）；传动系统润滑油位正常（齿轮箱油位计中线），轴承座无渗油；传感器探头清洁（用无尘布擦拭激光对中传感器和编码器）。</w:t>
      </w:r>
    </w:p>
    <w:p w14:paraId="4A58C64C">
      <w:pPr>
        <w:numPr>
          <w:ilvl w:val="0"/>
          <w:numId w:val="14"/>
        </w:numPr>
        <w:spacing w:before="0" w:beforeAutospacing="1" w:after="0" w:afterAutospacing="1"/>
        <w:ind w:left="720" w:hanging="360"/>
      </w:pPr>
      <w:r>
        <w:rPr>
          <w:b/>
        </w:rPr>
        <w:t>工艺参数确认</w:t>
      </w:r>
      <w:r>
        <w:t>：根据生产计划调用工艺配方（如“硅钢片分条”对应张力5kN、速度25m/min），检查参数设置：带材厚度1.0mm、宽度1000mm、卷径1500mm，确认无误后保存当前配方。</w:t>
      </w:r>
    </w:p>
    <w:p w14:paraId="47E0B53E">
      <w:pPr>
        <w:numPr>
          <w:ilvl w:val="0"/>
          <w:numId w:val="14"/>
        </w:numPr>
        <w:spacing w:before="0" w:beforeAutospacing="1" w:after="0" w:afterAutospacing="1"/>
        <w:ind w:left="720" w:hanging="360"/>
      </w:pPr>
      <w:r>
        <w:rPr>
          <w:b/>
        </w:rPr>
        <w:t>卷材准备</w:t>
      </w:r>
      <w:r>
        <w:t>：检查待加工卷材标识（材质、规格、重量），确认与工艺要求一致；清理卷材表面油污和杂质（用无尘布蘸酒精擦拭），检查内孔圆度（偏差≤±2mm，避免胀紧时受力不均）。</w:t>
      </w:r>
    </w:p>
    <w:p w14:paraId="35E764A1">
      <w:r>
        <w:rPr>
          <w:b/>
        </w:rPr>
        <w:t>开机操作</w:t>
      </w:r>
      <w:r>
        <w:t>：</w:t>
      </w:r>
    </w:p>
    <w:p w14:paraId="7F02C566">
      <w:pPr>
        <w:numPr>
          <w:ilvl w:val="0"/>
          <w:numId w:val="15"/>
        </w:numPr>
        <w:spacing w:before="0" w:beforeAutospacing="1" w:after="0" w:afterAutospacing="1"/>
        <w:ind w:left="720" w:hanging="360"/>
      </w:pPr>
      <w:r>
        <w:rPr>
          <w:b/>
        </w:rPr>
        <w:t>上料启动</w:t>
      </w:r>
      <w:r>
        <w:t>：在触摸屏“上料控制”页面点击“自动上料”，上料小车按预设程序运行：上升→对中→前进→胀紧→下降复位，过程中监控各传感器状态（对中完成信号、胀紧到位信号），异常时点击“急停”并排查原因。</w:t>
      </w:r>
    </w:p>
    <w:p w14:paraId="08AD4CB7">
      <w:pPr>
        <w:numPr>
          <w:ilvl w:val="0"/>
          <w:numId w:val="15"/>
        </w:numPr>
        <w:spacing w:before="0" w:beforeAutospacing="1" w:after="0" w:afterAutospacing="1"/>
        <w:ind w:left="720" w:hanging="360"/>
      </w:pPr>
      <w:r>
        <w:rPr>
          <w:b/>
        </w:rPr>
        <w:t>穿带操作</w:t>
      </w:r>
      <w:r>
        <w:t>：上料完成后，切换至“手动”模式，点动开卷电机（“点动+”按钮，每次点动运行0.5m），配合直头机操作：铲刀伸出→压弯辊下降→板头矫直→夹送辊牵引，将板头送入矫直机，穿带过程中避免用手直接接触板头（防止划伤），必要时使用专用工具辅助。</w:t>
      </w:r>
    </w:p>
    <w:p w14:paraId="46EDCF9F">
      <w:pPr>
        <w:numPr>
          <w:ilvl w:val="0"/>
          <w:numId w:val="15"/>
        </w:numPr>
        <w:spacing w:before="0" w:beforeAutospacing="1" w:after="0" w:afterAutospacing="1"/>
        <w:ind w:left="720" w:hanging="360"/>
      </w:pPr>
      <w:r>
        <w:rPr>
          <w:b/>
        </w:rPr>
        <w:t>自动运行</w:t>
      </w:r>
      <w:r>
        <w:t>：穿带完成后，切换至“自动”模式，点击“启动开卷”，系统按工艺配方自动加速至设定速度（25m/min），监控HMI显示的实时张力（5±0.25kN）、卷径（1500mm→逐渐减小）、速度（25±0.5m/min），确认无异常后操作人员可离开操作岗位，但需每30分钟巡检一次。</w:t>
      </w:r>
    </w:p>
    <w:p w14:paraId="06979B9A">
      <w:r>
        <w:rPr>
          <w:b/>
        </w:rPr>
        <w:t>正常运行监控</w:t>
      </w:r>
      <w:r>
        <w:t>：</w:t>
      </w:r>
    </w:p>
    <w:p w14:paraId="3D6364E0">
      <w:pPr>
        <w:numPr>
          <w:ilvl w:val="0"/>
          <w:numId w:val="16"/>
        </w:numPr>
        <w:spacing w:before="0" w:beforeAutospacing="1" w:after="0" w:afterAutospacing="1"/>
        <w:ind w:left="720" w:hanging="360"/>
      </w:pPr>
      <w:r>
        <w:rPr>
          <w:b/>
        </w:rPr>
        <w:t>参数监控</w:t>
      </w:r>
      <w:r>
        <w:t>：每小时记录一次关键参数（张力、速度、卷径、轴承温度），张力波动超过±10%或温度超过60℃时，立即停机检查；监听传动系统声音（正常为均匀“嗡嗡”声，异常噪音如“咔哒”声可能为齿轮啮合不良）。</w:t>
      </w:r>
    </w:p>
    <w:p w14:paraId="5968B74C">
      <w:pPr>
        <w:numPr>
          <w:ilvl w:val="0"/>
          <w:numId w:val="16"/>
        </w:numPr>
        <w:spacing w:before="0" w:beforeAutospacing="1" w:after="0" w:afterAutospacing="1"/>
        <w:ind w:left="720" w:hanging="360"/>
      </w:pPr>
      <w:r>
        <w:rPr>
          <w:b/>
        </w:rPr>
        <w:t>卷材监控</w:t>
      </w:r>
      <w:r>
        <w:t>：观察卷材开卷状态，带材表面无褶皱、划伤（边缘毛刺≤0.05mm），跑偏量≤±0.5mm（通过侧立导辊微调）；发现卷材内孔变形或边缘破损时，及时停机处理，避免损坏设备。</w:t>
      </w:r>
    </w:p>
    <w:p w14:paraId="7716724F">
      <w:pPr>
        <w:numPr>
          <w:ilvl w:val="0"/>
          <w:numId w:val="16"/>
        </w:numPr>
        <w:spacing w:before="0" w:beforeAutospacing="1" w:after="0" w:afterAutospacing="1"/>
        <w:ind w:left="720" w:hanging="360"/>
      </w:pPr>
      <w:r>
        <w:rPr>
          <w:b/>
        </w:rPr>
        <w:t>故障处理</w:t>
      </w:r>
      <w:r>
        <w:t>：出现轻微报警（如“油位低预警”），可在不停机状态下处理（补加液压油）；出现严重报警（如“张力超限”“断带”），系统自动停机，查看HMI报警代码（如“E12 张力传感器故障”），按故障处理指南排除后，点击“报警复位”方可重新启动。</w:t>
      </w:r>
    </w:p>
    <w:p w14:paraId="222EDECF">
      <w:r>
        <w:rPr>
          <w:b/>
        </w:rPr>
        <w:t>停机与清理</w:t>
      </w:r>
      <w:r>
        <w:t>：</w:t>
      </w:r>
    </w:p>
    <w:p w14:paraId="0FA7716F">
      <w:pPr>
        <w:numPr>
          <w:ilvl w:val="0"/>
          <w:numId w:val="17"/>
        </w:numPr>
        <w:spacing w:before="0" w:beforeAutospacing="1" w:after="0" w:afterAutospacing="1"/>
        <w:ind w:left="720" w:hanging="360"/>
      </w:pPr>
      <w:r>
        <w:rPr>
          <w:b/>
        </w:rPr>
        <w:t>正常停机</w:t>
      </w:r>
      <w:r>
        <w:t>：当前卷材加工完成后，系统发出“卷尾到达”预告，点击“正常停机”，设备按程序减速至0（制动距离≤1m），胀缩油缸缩回，外支撑轴承后退，上料小车上升取走空卷，运行至卸料位置；清理开卷机周围散落的带材碎屑（用专用工具，禁止用手直接接触）。</w:t>
      </w:r>
    </w:p>
    <w:p w14:paraId="69487E8E">
      <w:pPr>
        <w:numPr>
          <w:ilvl w:val="0"/>
          <w:numId w:val="17"/>
        </w:numPr>
        <w:spacing w:before="0" w:beforeAutospacing="1" w:after="0" w:afterAutospacing="1"/>
        <w:ind w:left="720" w:hanging="360"/>
      </w:pPr>
      <w:r>
        <w:rPr>
          <w:b/>
        </w:rPr>
        <w:t>紧急停机</w:t>
      </w:r>
      <w:r>
        <w:t>：发生断带、设备异响、冒烟等紧急情况时，立即按下就近急停按钮（操作面板或入口处），检查原因并排除故障后，顺时针旋转急停按钮复位，通过HMI“报警复位”解除停机状态。</w:t>
      </w:r>
    </w:p>
    <w:p w14:paraId="440FDF33">
      <w:pPr>
        <w:numPr>
          <w:ilvl w:val="0"/>
          <w:numId w:val="17"/>
        </w:numPr>
        <w:spacing w:before="0" w:beforeAutospacing="1" w:after="0" w:afterAutospacing="1"/>
        <w:ind w:left="720" w:hanging="360"/>
      </w:pPr>
      <w:r>
        <w:rPr>
          <w:b/>
        </w:rPr>
        <w:t>交接班清理</w:t>
      </w:r>
      <w:r>
        <w:t>：清理传感器探头和导向辊表面油污（用无尘布蘸酒精），关闭液压站和气动系统（先卸压再关电源），填写《设备运行记录表》，记录运行时间、加工数量、故障情况及处理结果。</w:t>
      </w:r>
    </w:p>
    <w:p w14:paraId="3ADE419A">
      <w:pPr>
        <w:pStyle w:val="4"/>
      </w:pPr>
      <w:r>
        <w:t>2. 日常维护与保养</w:t>
      </w:r>
    </w:p>
    <w:p w14:paraId="0D0491AA">
      <w:r>
        <w:t>开卷机的日常维护与保养是确保设备长期稳定运行的关键，需按周期执行每班、每周和每月维护项目，及时发现并排除潜在故障。</w:t>
      </w:r>
    </w:p>
    <w:p w14:paraId="120F3BBB">
      <w:r>
        <w:rPr>
          <w:b/>
        </w:rPr>
        <w:t>每班维护项目（15分钟）</w:t>
      </w:r>
      <w:r>
        <w:t>：</w:t>
      </w:r>
    </w:p>
    <w:p w14:paraId="29B0AF4F">
      <w:pPr>
        <w:numPr>
          <w:ilvl w:val="0"/>
          <w:numId w:val="18"/>
        </w:numPr>
        <w:spacing w:before="0" w:beforeAutospacing="1" w:after="0" w:afterAutospacing="1"/>
        <w:ind w:left="720" w:hanging="360"/>
      </w:pPr>
      <w:r>
        <w:rPr>
          <w:b/>
        </w:rPr>
        <w:t>传感器清洁</w:t>
      </w:r>
      <w:r>
        <w:t>：用无尘布蘸无水乙醇（95%浓度）擦拭激光对中传感器镜头、编码器码盘和张力传感器探头，去除油污和灰尘（避免划伤镜头）；检查传感器电缆固定情况（无松动、无拖拽）。</w:t>
      </w:r>
    </w:p>
    <w:p w14:paraId="195775B6">
      <w:pPr>
        <w:numPr>
          <w:ilvl w:val="0"/>
          <w:numId w:val="18"/>
        </w:numPr>
        <w:spacing w:before="0" w:beforeAutospacing="1" w:after="0" w:afterAutospacing="1"/>
        <w:ind w:left="720" w:hanging="360"/>
      </w:pPr>
      <w:r>
        <w:rPr>
          <w:b/>
        </w:rPr>
        <w:t>液压气动系统检查</w:t>
      </w:r>
      <w:r>
        <w:t>：观察液压站压力表（工作压力12-15MPa）和油温（20-45℃），记录数值；检查气动三联件油雾器油位（不足时添加ISOVG32润滑油），排水阀排水（按下顶部按钮，排出冷凝水）。</w:t>
      </w:r>
    </w:p>
    <w:p w14:paraId="26152013">
      <w:pPr>
        <w:numPr>
          <w:ilvl w:val="0"/>
          <w:numId w:val="18"/>
        </w:numPr>
        <w:spacing w:before="0" w:beforeAutospacing="1" w:after="0" w:afterAutospacing="1"/>
        <w:ind w:left="720" w:hanging="360"/>
      </w:pPr>
      <w:r>
        <w:rPr>
          <w:b/>
        </w:rPr>
        <w:t>制动器检查</w:t>
      </w:r>
      <w:r>
        <w:t>：测量制动片厚度（≥3mm，磨损至2mm时更换），检查制动盘表面（无油污、划痕，平面度≤0.1mm/m），手动盘动卷筒，制动应灵活无卡滞。</w:t>
      </w:r>
    </w:p>
    <w:p w14:paraId="3DBE7903">
      <w:pPr>
        <w:numPr>
          <w:ilvl w:val="0"/>
          <w:numId w:val="18"/>
        </w:numPr>
        <w:spacing w:before="0" w:beforeAutospacing="1" w:after="0" w:afterAutospacing="1"/>
        <w:ind w:left="720" w:hanging="360"/>
      </w:pPr>
      <w:r>
        <w:rPr>
          <w:b/>
        </w:rPr>
        <w:t>安全装置检查</w:t>
      </w:r>
      <w:r>
        <w:t>：测试急停按钮（按下后设备立即停机，HMI显示报警），遮挡安全光幕（设备停机，入口指示灯变红），确认安全联锁功能正常。</w:t>
      </w:r>
    </w:p>
    <w:p w14:paraId="6DD121EA">
      <w:r>
        <w:rPr>
          <w:b/>
        </w:rPr>
        <w:t>每周维护项目（60分钟）</w:t>
      </w:r>
      <w:r>
        <w:t>：</w:t>
      </w:r>
    </w:p>
    <w:p w14:paraId="1AE3D30E">
      <w:pPr>
        <w:numPr>
          <w:ilvl w:val="0"/>
          <w:numId w:val="19"/>
        </w:numPr>
        <w:spacing w:before="0" w:beforeAutospacing="1" w:after="0" w:afterAutospacing="1"/>
        <w:ind w:left="720" w:hanging="360"/>
      </w:pPr>
      <w:r>
        <w:rPr>
          <w:b/>
        </w:rPr>
        <w:t>传动系统润滑</w:t>
      </w:r>
      <w:r>
        <w:t>：向卷筒燕尾槽润滑脂嘴注入锂基润滑脂（型号ZL-3，每点注入量5g），向轴承座油杯加注润滑油（N46机械油，旋转油杯1圈）；检查齿轮箱油位（低于油位计1/2时补加N460齿轮油），油样清澈无杂质（若发黑需提前更换）。</w:t>
      </w:r>
    </w:p>
    <w:p w14:paraId="65F351C0">
      <w:pPr>
        <w:numPr>
          <w:ilvl w:val="0"/>
          <w:numId w:val="19"/>
        </w:numPr>
        <w:spacing w:before="0" w:beforeAutospacing="1" w:after="0" w:afterAutospacing="1"/>
        <w:ind w:left="720" w:hanging="360"/>
      </w:pPr>
      <w:r>
        <w:rPr>
          <w:b/>
        </w:rPr>
        <w:t>胀缩机构检查</w:t>
      </w:r>
      <w:r>
        <w:t>：手动操作胀缩油缸（“手动胀紧/收缩”按钮），感觉阻力均匀无卡滞，测量扇形块同步误差（用百分表检测4块扇形块伸出高度，偏差≤0.1mm）；清理导向槽内铁屑（用压缩空气0.3MPa吹净）。</w:t>
      </w:r>
    </w:p>
    <w:p w14:paraId="57931D4B">
      <w:pPr>
        <w:numPr>
          <w:ilvl w:val="0"/>
          <w:numId w:val="19"/>
        </w:numPr>
        <w:spacing w:before="0" w:beforeAutospacing="1" w:after="0" w:afterAutospacing="1"/>
        <w:ind w:left="720" w:hanging="360"/>
      </w:pPr>
      <w:r>
        <w:rPr>
          <w:b/>
        </w:rPr>
        <w:t>电气连接检查</w:t>
      </w:r>
      <w:r>
        <w:t>：打开控制柜柜门，检查PLC模块、变频器、继电器的接线端子（用手轻拉无松动），端子排无氧化（用砂纸打磨氧化层），电缆标识清晰（无脱落）。</w:t>
      </w:r>
    </w:p>
    <w:p w14:paraId="1A9C397D">
      <w:pPr>
        <w:numPr>
          <w:ilvl w:val="0"/>
          <w:numId w:val="19"/>
        </w:numPr>
        <w:spacing w:before="0" w:beforeAutospacing="1" w:after="0" w:afterAutospacing="1"/>
        <w:ind w:left="720" w:hanging="360"/>
      </w:pPr>
      <w:r>
        <w:rPr>
          <w:b/>
        </w:rPr>
        <w:t>对中系统校准</w:t>
      </w:r>
      <w:r>
        <w:t>：用标准卷尺测量上料小车对中精度（卷材中心与卷筒中心偏差≤±0.1mm/m），超差时通过触摸屏“校准”页面调整激光传感器位置（X轴±0.05mm微调）。</w:t>
      </w:r>
    </w:p>
    <w:p w14:paraId="2DA65CB8">
      <w:r>
        <w:rPr>
          <w:b/>
        </w:rPr>
        <w:t>每月维护项目（120分钟）</w:t>
      </w:r>
      <w:r>
        <w:t>：</w:t>
      </w:r>
    </w:p>
    <w:p w14:paraId="1D452F13">
      <w:pPr>
        <w:numPr>
          <w:ilvl w:val="0"/>
          <w:numId w:val="20"/>
        </w:numPr>
        <w:spacing w:before="0" w:beforeAutospacing="1" w:after="0" w:afterAutospacing="1"/>
        <w:ind w:left="720" w:hanging="360"/>
      </w:pPr>
      <w:r>
        <w:rPr>
          <w:b/>
        </w:rPr>
        <w:t>轴承温度检测</w:t>
      </w:r>
      <w:r>
        <w:t>：用红外测温仪测量各轴承座温度（环境温度+40℃为上限），记录数据并与历史值对比（温升异常可能为润滑不良或轴承磨损）；对温度超过55℃的轴承，拆卸检查（测量游隙，超过0.1mm时更换）。</w:t>
      </w:r>
    </w:p>
    <w:p w14:paraId="5C6135B1">
      <w:pPr>
        <w:numPr>
          <w:ilvl w:val="0"/>
          <w:numId w:val="20"/>
        </w:numPr>
        <w:spacing w:before="0" w:beforeAutospacing="1" w:after="0" w:afterAutospacing="1"/>
        <w:ind w:left="720" w:hanging="360"/>
      </w:pPr>
      <w:r>
        <w:rPr>
          <w:b/>
        </w:rPr>
        <w:t>油液分析</w:t>
      </w:r>
      <w:r>
        <w:t>：从液压站取样阀抽取液压油样（50ml），目视检查无浑浊、水分（油样清澈，无水珠沉淀），使用油液污染度检测仪测量（NAS 8级以下为合格，超过NAS 10级需更换液压油并清洗油箱）。</w:t>
      </w:r>
    </w:p>
    <w:p w14:paraId="7861CB93">
      <w:pPr>
        <w:numPr>
          <w:ilvl w:val="0"/>
          <w:numId w:val="20"/>
        </w:numPr>
        <w:spacing w:before="0" w:beforeAutospacing="1" w:after="0" w:afterAutospacing="1"/>
        <w:ind w:left="720" w:hanging="360"/>
      </w:pPr>
      <w:r>
        <w:rPr>
          <w:b/>
        </w:rPr>
        <w:t>编码器信号测试</w:t>
      </w:r>
      <w:r>
        <w:t>：用示波器测量编码器输出波形（A、B相方波，幅值5±0.5V，占空比50%±5%），信号无畸变、无丢失（否则检查电缆屏蔽或更换编码器）。</w:t>
      </w:r>
    </w:p>
    <w:p w14:paraId="0CDF682D">
      <w:pPr>
        <w:numPr>
          <w:ilvl w:val="0"/>
          <w:numId w:val="20"/>
        </w:numPr>
        <w:spacing w:before="0" w:beforeAutospacing="1" w:after="0" w:afterAutospacing="1"/>
        <w:ind w:left="720" w:hanging="360"/>
      </w:pPr>
      <w:r>
        <w:rPr>
          <w:b/>
        </w:rPr>
        <w:t>张力传感器校准</w:t>
      </w:r>
      <w:r>
        <w:t>：使用标准砝码（5kN）对张力传感器进行静态校准，在HMI“校准”页面输入实际重量，系统自动修正传感器系数（校准误差≤±1%FS）。</w:t>
      </w:r>
    </w:p>
    <w:p w14:paraId="20187D67">
      <w:pPr>
        <w:pStyle w:val="4"/>
      </w:pPr>
      <w:r>
        <w:t>3. 预防性维护策略</w:t>
      </w:r>
    </w:p>
    <w:p w14:paraId="1B8A0ACE">
      <w:r>
        <w:t>预防性维护通过状态监测、寿命预测和计划性更换，避免突发故障，延长设备寿命，核心是基于设备状态的预测性维护和关键部件的周期管理。</w:t>
      </w:r>
    </w:p>
    <w:p w14:paraId="29087380">
      <w:r>
        <w:rPr>
          <w:b/>
        </w:rPr>
        <w:t>状态监测技术应用</w:t>
      </w:r>
      <w:r>
        <w:t>：</w:t>
      </w:r>
    </w:p>
    <w:p w14:paraId="4A41C89A">
      <w:pPr>
        <w:numPr>
          <w:ilvl w:val="0"/>
          <w:numId w:val="21"/>
        </w:numPr>
        <w:spacing w:before="0" w:beforeAutospacing="1" w:after="0" w:afterAutospacing="1"/>
        <w:ind w:left="720" w:hanging="360"/>
      </w:pPr>
      <w:r>
        <w:rPr>
          <w:b/>
        </w:rPr>
        <w:t>振动监测</w:t>
      </w:r>
      <w:r>
        <w:t>：在卷筒轴承座和齿轮箱安装振动传感器（采样频率1kHz，量程0-50g），实时监测振动加速度（正常≤4.5m/s²）和频谱（齿轮啮合频率125Hz，轴承故障频率30-50Hz），当振动值超过阈值时触发预警（如“齿轮箱振动异常，建议检查齿轮啮合”）。</w:t>
      </w:r>
    </w:p>
    <w:p w14:paraId="18A29CF0">
      <w:pPr>
        <w:numPr>
          <w:ilvl w:val="0"/>
          <w:numId w:val="21"/>
        </w:numPr>
        <w:spacing w:before="0" w:beforeAutospacing="1" w:after="0" w:afterAutospacing="1"/>
        <w:ind w:left="720" w:hanging="360"/>
      </w:pPr>
      <w:r>
        <w:rPr>
          <w:b/>
        </w:rPr>
        <w:t>油液监测</w:t>
      </w:r>
      <w:r>
        <w:t>：每季度对齿轮箱油样进行铁谱分析，检测磨损颗粒（铁颗粒＞5μm数量＜200个/mL为正常，发现铜颗粒提示轴承磨损，钢颗粒提示齿轮磨损），结合粘度变化（新油粘度460cSt，使用后变化率≤±10%）判断油液状态，决定是否更换。</w:t>
      </w:r>
    </w:p>
    <w:p w14:paraId="01C8B19C">
      <w:pPr>
        <w:numPr>
          <w:ilvl w:val="0"/>
          <w:numId w:val="21"/>
        </w:numPr>
        <w:spacing w:before="0" w:beforeAutospacing="1" w:after="0" w:afterAutospacing="1"/>
        <w:ind w:left="720" w:hanging="360"/>
      </w:pPr>
      <w:r>
        <w:rPr>
          <w:b/>
        </w:rPr>
        <w:t>红外热成像</w:t>
      </w:r>
      <w:r>
        <w:t>：每月用红外热像仪扫描电气柜（重点是变频器、接触器、接线端子），温度超过70℃的部件需重点检查（如接触器触点烧灼导致接触电阻增大），及时清洁或更换。</w:t>
      </w:r>
    </w:p>
    <w:p w14:paraId="464D63D9">
      <w:r>
        <w:rPr>
          <w:b/>
        </w:rPr>
        <w:t>关键部件寿命管理</w:t>
      </w:r>
      <w:r>
        <w:t>：</w:t>
      </w:r>
    </w:p>
    <w:p w14:paraId="12016AC8">
      <w:pPr>
        <w:numPr>
          <w:ilvl w:val="0"/>
          <w:numId w:val="22"/>
        </w:numPr>
        <w:spacing w:before="0" w:beforeAutospacing="1" w:after="0" w:afterAutospacing="1"/>
        <w:ind w:left="720" w:hanging="360"/>
      </w:pPr>
      <w:r>
        <w:rPr>
          <w:b/>
        </w:rPr>
        <w:t>机械部件</w:t>
      </w:r>
      <w:r>
        <w:t>：制动器刹车片（MTBF=800小时）、扇形块斜面（MTBF=5000小时）、卷筒轴承（MTBF=10000小时），建立寿命台账，记录安装时间和运行小时数，达到80%寿命时列入更换计划（如刹车片运行640小时后准备备件）。</w:t>
      </w:r>
    </w:p>
    <w:p w14:paraId="6894BD51">
      <w:pPr>
        <w:numPr>
          <w:ilvl w:val="0"/>
          <w:numId w:val="22"/>
        </w:numPr>
        <w:spacing w:before="0" w:beforeAutospacing="1" w:after="0" w:afterAutospacing="1"/>
        <w:ind w:left="720" w:hanging="360"/>
      </w:pPr>
      <w:r>
        <w:rPr>
          <w:b/>
        </w:rPr>
        <w:t>电气部件</w:t>
      </w:r>
      <w:r>
        <w:t>：编码器（MTBF=20000小时）、传感器（MTBF=15000小时）、PLC电源模块（MTBF=30000小时），采用“预测性更换”策略，在故障前3个月更换（如编码器运行16000小时后更换），避免突发停机。</w:t>
      </w:r>
    </w:p>
    <w:p w14:paraId="39E5F1ED">
      <w:pPr>
        <w:numPr>
          <w:ilvl w:val="0"/>
          <w:numId w:val="22"/>
        </w:numPr>
        <w:spacing w:before="0" w:beforeAutospacing="1" w:after="0" w:afterAutospacing="1"/>
        <w:ind w:left="720" w:hanging="360"/>
      </w:pPr>
      <w:r>
        <w:rPr>
          <w:b/>
        </w:rPr>
        <w:t>液压部件</w:t>
      </w:r>
      <w:r>
        <w:t>：胀缩油缸密封件（MTBF=3000小时）、液压泵（MTBF=8000小时），每2000小时检查密封件老化情况（如活塞杆出现渗油），提前更换氟橡胶密封圈（耐温-20-120℃）。</w:t>
      </w:r>
    </w:p>
    <w:p w14:paraId="39AE450F">
      <w:r>
        <w:rPr>
          <w:b/>
        </w:rPr>
        <w:t>维护计划与执行</w:t>
      </w:r>
      <w:r>
        <w:t>：</w:t>
      </w:r>
    </w:p>
    <w:p w14:paraId="513F3D1E">
      <w:pPr>
        <w:numPr>
          <w:ilvl w:val="0"/>
          <w:numId w:val="23"/>
        </w:numPr>
        <w:spacing w:before="0" w:beforeAutospacing="1" w:after="0" w:afterAutospacing="1"/>
        <w:ind w:left="720" w:hanging="360"/>
      </w:pPr>
      <w:r>
        <w:rPr>
          <w:b/>
        </w:rPr>
        <w:t>计划制定</w:t>
      </w:r>
      <w:r>
        <w:t>：根据设备手册和实际运行数据，制定年度维护计划（含月度、季度、年度项目），明确责任人、工具、备件和工时（如“年度齿轮箱大修”安排在停机检修期间，耗时8小时）。</w:t>
      </w:r>
    </w:p>
    <w:p w14:paraId="3B07D916">
      <w:pPr>
        <w:numPr>
          <w:ilvl w:val="0"/>
          <w:numId w:val="23"/>
        </w:numPr>
        <w:spacing w:before="0" w:beforeAutospacing="1" w:after="0" w:afterAutospacing="1"/>
        <w:ind w:left="720" w:hanging="360"/>
      </w:pPr>
      <w:r>
        <w:rPr>
          <w:b/>
        </w:rPr>
        <w:t>工单管理</w:t>
      </w:r>
      <w:r>
        <w:t>：通过设备管理系统（EAM）生成维护工单，包含任务描述（如“更换制动器刹车片”）、步骤指导（拆卸→测量→安装→调试）、验收标准（厚度≥5mm，制动扭矩偏差≤±5%），完成后上传维护记录（含照片和数据）。</w:t>
      </w:r>
    </w:p>
    <w:p w14:paraId="4D08D422">
      <w:pPr>
        <w:numPr>
          <w:ilvl w:val="0"/>
          <w:numId w:val="23"/>
        </w:numPr>
        <w:spacing w:before="0" w:beforeAutospacing="1" w:after="0" w:afterAutospacing="1"/>
        <w:ind w:left="720" w:hanging="360"/>
      </w:pPr>
      <w:r>
        <w:rPr>
          <w:b/>
        </w:rPr>
        <w:t>效果评估</w:t>
      </w:r>
      <w:r>
        <w:t>：每月统计故障停机时间（目标≤2小时/月）、维护成本（备件+工时），分析维护效果（如振动监测实施后，轴承故障停机从4次/年降至1次/年），持续优化维护计划（如缩短齿轮箱油液分析周期）。</w:t>
      </w:r>
    </w:p>
    <w:p w14:paraId="555DA6C8">
      <w:pPr>
        <w:pStyle w:val="3"/>
      </w:pPr>
      <w:r>
        <w:t>五、常见故障分析与处理对策</w:t>
      </w:r>
    </w:p>
    <w:p w14:paraId="5014EEF4">
      <w:pPr>
        <w:pStyle w:val="4"/>
      </w:pPr>
      <w:r>
        <w:t>1. 机械系统常见故障</w:t>
      </w:r>
    </w:p>
    <w:p w14:paraId="32DF5DF4">
      <w:pPr>
        <w:pStyle w:val="5"/>
      </w:pPr>
      <w:r>
        <w:t>1.1 卷筒胀缩故障</w:t>
      </w:r>
    </w:p>
    <w:p w14:paraId="3385AD24">
      <w:r>
        <w:rPr>
          <w:b/>
        </w:rPr>
        <w:t>故障现象</w:t>
      </w:r>
      <w:r>
        <w:t>：扇形块无法胀紧（卷材套入后仍可晃动）或收缩（胀紧后无法复位），HMI显示“胀缩到位信号丢失”报警（代码E05）。</w:t>
      </w:r>
    </w:p>
    <w:p w14:paraId="43C30A18">
      <w:r>
        <w:rPr>
          <w:b/>
        </w:rPr>
        <w:t>成因分析</w:t>
      </w:r>
      <w:r>
        <w:t>：</w:t>
      </w:r>
    </w:p>
    <w:p w14:paraId="7BD8569B">
      <w:pPr>
        <w:numPr>
          <w:ilvl w:val="0"/>
          <w:numId w:val="24"/>
        </w:numPr>
        <w:spacing w:before="0" w:beforeAutospacing="1" w:after="0" w:afterAutospacing="1"/>
        <w:ind w:left="720" w:hanging="360"/>
      </w:pPr>
      <w:r>
        <w:rPr>
          <w:b/>
        </w:rPr>
        <w:t>液压动力不足</w:t>
      </w:r>
      <w:r>
        <w:t>：胀缩油缸密封件老化（内泄，空载压力15MPa，加载后降至8MPa）；液压泵流量不足（叶片磨损，流量从20L/min降至12L/min）；溢流阀设定压力偏低（标准15MPa，误调为10MPa）。</w:t>
      </w:r>
    </w:p>
    <w:p w14:paraId="33D546BF">
      <w:pPr>
        <w:numPr>
          <w:ilvl w:val="0"/>
          <w:numId w:val="24"/>
        </w:numPr>
        <w:spacing w:before="0" w:beforeAutospacing="1" w:after="0" w:afterAutospacing="1"/>
        <w:ind w:left="720" w:hanging="360"/>
      </w:pPr>
      <w:r>
        <w:rPr>
          <w:b/>
        </w:rPr>
        <w:t>机械卡滞</w:t>
      </w:r>
      <w:r>
        <w:t>：扇形块导向槽内铁屑堆积（间隙＜0.05mm）；四棱锥轴斜面磨损不均（局部磨损量＞0.2mm）；燕尾槽润滑不良（油脂干涸，摩擦系数＞0.2）。</w:t>
      </w:r>
    </w:p>
    <w:p w14:paraId="5E9D0396">
      <w:pPr>
        <w:numPr>
          <w:ilvl w:val="0"/>
          <w:numId w:val="24"/>
        </w:numPr>
        <w:spacing w:before="0" w:beforeAutospacing="1" w:after="0" w:afterAutospacing="1"/>
        <w:ind w:left="720" w:hanging="360"/>
      </w:pPr>
      <w:r>
        <w:rPr>
          <w:b/>
        </w:rPr>
        <w:t>传感器故障</w:t>
      </w:r>
      <w:r>
        <w:t>：胀缩位置传感器（磁致伸缩式）断线或信号干扰（输出电压波动±2V）；接近开关位置偏移（与感应块间隙＞5mm，无法检测到位信号）。</w:t>
      </w:r>
    </w:p>
    <w:p w14:paraId="73E8F0EC">
      <w:r>
        <w:rPr>
          <w:b/>
        </w:rPr>
        <w:t>处理步骤</w:t>
      </w:r>
      <w:r>
        <w:t>：</w:t>
      </w:r>
    </w:p>
    <w:p w14:paraId="7DEB838A">
      <w:pPr>
        <w:numPr>
          <w:ilvl w:val="0"/>
          <w:numId w:val="25"/>
        </w:numPr>
        <w:spacing w:before="0" w:beforeAutospacing="1" w:after="0" w:afterAutospacing="1"/>
        <w:ind w:left="720" w:hanging="360"/>
      </w:pPr>
      <w:r>
        <w:rPr>
          <w:b/>
        </w:rPr>
        <w:t>压力检测</w:t>
      </w:r>
      <w:r>
        <w:t>：启动液压站，测量胀缩油缸无杆腔压力（空载时应≥15MPa），加载后压力下降≤1MPa为正常，若下降至8MPa，拆卸油缸更换密封件（型号UHS 160×125×12）。</w:t>
      </w:r>
    </w:p>
    <w:p w14:paraId="4886C52A">
      <w:pPr>
        <w:numPr>
          <w:ilvl w:val="0"/>
          <w:numId w:val="25"/>
        </w:numPr>
        <w:spacing w:before="0" w:beforeAutospacing="1" w:after="0" w:afterAutospacing="1"/>
        <w:ind w:left="720" w:hanging="360"/>
      </w:pPr>
      <w:r>
        <w:rPr>
          <w:b/>
        </w:rPr>
        <w:t>机械检查</w:t>
      </w:r>
      <w:r>
        <w:t>：断电后手动盘动胀缩油缸活塞杆（应灵活无卡滞），拆卸卷筒端盖，用压缩空气（0.3MPa）吹净导向槽铁屑，测量扇形块斜面磨损量（用塞尺，超过0.1mm时研磨修复），涂抹二硫化钼润滑脂（厚度0.5mm）。</w:t>
      </w:r>
    </w:p>
    <w:p w14:paraId="31798BE6">
      <w:pPr>
        <w:numPr>
          <w:ilvl w:val="0"/>
          <w:numId w:val="25"/>
        </w:numPr>
        <w:spacing w:before="0" w:beforeAutospacing="1" w:after="0" w:afterAutospacing="1"/>
        <w:ind w:left="720" w:hanging="360"/>
      </w:pPr>
      <w:r>
        <w:rPr>
          <w:b/>
        </w:rPr>
        <w:t>传感器校准</w:t>
      </w:r>
      <w:r>
        <w:t>：检查传感器电缆屏蔽层接地（单端接地），用万用表测量输出信号（4-20mA对应0-200mm行程），信号异常时更换传感器，重新校准零点（收缩到位时输出4mA）和量程（胀紧到位时输出20mA）。</w:t>
      </w:r>
    </w:p>
    <w:p w14:paraId="4C430CBF">
      <w:r>
        <w:rPr>
          <w:b/>
        </w:rPr>
        <w:t>预防措施</w:t>
      </w:r>
      <w:r>
        <w:t>：每周清理导向槽铁屑，每月检查液压油污染度（NAS 8级以下），每季度校准位置传感器，胀缩油缸密封件每3000小时预防性更换。</w:t>
      </w:r>
    </w:p>
    <w:p w14:paraId="4B6BD4D2">
      <w:pPr>
        <w:pStyle w:val="5"/>
      </w:pPr>
      <w:r>
        <w:t>1.2 传动系统异响</w:t>
      </w:r>
    </w:p>
    <w:p w14:paraId="5FBCEA3A">
      <w:r>
        <w:rPr>
          <w:b/>
        </w:rPr>
        <w:t>故障现象</w:t>
      </w:r>
      <w:r>
        <w:t>：开卷机运行时传动系统发出周期性噪音（频率与转速成正比），振动加速度＞15m/s²，HMI显示“齿轮箱振动超标”报警（代码E08）。</w:t>
      </w:r>
    </w:p>
    <w:p w14:paraId="5EF88F1E">
      <w:r>
        <w:rPr>
          <w:b/>
        </w:rPr>
        <w:t>成因分析</w:t>
      </w:r>
      <w:r>
        <w:t>：</w:t>
      </w:r>
    </w:p>
    <w:p w14:paraId="53393B64">
      <w:pPr>
        <w:numPr>
          <w:ilvl w:val="0"/>
          <w:numId w:val="26"/>
        </w:numPr>
        <w:spacing w:before="0" w:beforeAutospacing="1" w:after="0" w:afterAutospacing="1"/>
        <w:ind w:left="720" w:hanging="360"/>
      </w:pPr>
      <w:r>
        <w:rPr>
          <w:b/>
        </w:rPr>
        <w:t>齿轮啮合不良</w:t>
      </w:r>
      <w:r>
        <w:t>：齿轮箱内齿轮齿面磨损（齿厚减薄＞0.2mm）、断齿（产生“咔哒”冲击声）或啮合间隙过大（＞0.2mm）；润滑油污染（铁屑含量＞50mg/L，润滑效果下降）。</w:t>
      </w:r>
    </w:p>
    <w:p w14:paraId="4FA89328">
      <w:pPr>
        <w:numPr>
          <w:ilvl w:val="0"/>
          <w:numId w:val="26"/>
        </w:numPr>
        <w:spacing w:before="0" w:beforeAutospacing="1" w:after="0" w:afterAutospacing="1"/>
        <w:ind w:left="720" w:hanging="360"/>
      </w:pPr>
      <w:r>
        <w:rPr>
          <w:b/>
        </w:rPr>
        <w:t>轴承故障</w:t>
      </w:r>
      <w:r>
        <w:t>：支撑轴承滚珠点蚀（产生连续“嗡嗡”声）、保持架断裂（间歇性异响）；轴承游隙超标（＞0.1mm，径向跳动＞0.15mm）。</w:t>
      </w:r>
    </w:p>
    <w:p w14:paraId="1C81B2F8">
      <w:pPr>
        <w:numPr>
          <w:ilvl w:val="0"/>
          <w:numId w:val="26"/>
        </w:numPr>
        <w:spacing w:before="0" w:beforeAutospacing="1" w:after="0" w:afterAutospacing="1"/>
        <w:ind w:left="720" w:hanging="360"/>
      </w:pPr>
      <w:r>
        <w:rPr>
          <w:b/>
        </w:rPr>
        <w:t>轴系对中不良</w:t>
      </w:r>
      <w:r>
        <w:t>：电机与减速器联轴器偏差（角向＞0.5°，轴向＞1mm）；传动轴弯曲（径向跳动＞0.1mm/m）。</w:t>
      </w:r>
    </w:p>
    <w:p w14:paraId="30805024">
      <w:r>
        <w:rPr>
          <w:b/>
        </w:rPr>
        <w:t>处理步骤</w:t>
      </w:r>
      <w:r>
        <w:t>：</w:t>
      </w:r>
    </w:p>
    <w:p w14:paraId="0125584E">
      <w:pPr>
        <w:numPr>
          <w:ilvl w:val="0"/>
          <w:numId w:val="27"/>
        </w:numPr>
        <w:spacing w:before="0" w:beforeAutospacing="1" w:after="0" w:afterAutospacing="1"/>
        <w:ind w:left="720" w:hanging="360"/>
      </w:pPr>
      <w:r>
        <w:rPr>
          <w:b/>
        </w:rPr>
        <w:t>噪音定位</w:t>
      </w:r>
      <w:r>
        <w:t>：用听诊器分别接触减速器、齿轮箱、轴承座，判断噪音来源（齿轮箱噪音频率与转速成正比，轴承噪音为恒定频率）。</w:t>
      </w:r>
    </w:p>
    <w:p w14:paraId="1D8785AA">
      <w:pPr>
        <w:numPr>
          <w:ilvl w:val="0"/>
          <w:numId w:val="27"/>
        </w:numPr>
        <w:spacing w:before="0" w:beforeAutospacing="1" w:after="0" w:afterAutospacing="1"/>
        <w:ind w:left="720" w:hanging="360"/>
      </w:pPr>
      <w:r>
        <w:rPr>
          <w:b/>
        </w:rPr>
        <w:t>油液检测</w:t>
      </w:r>
      <w:r>
        <w:t>：抽取齿轮箱油样，铁谱分析发现钢颗粒（提示齿轮磨损）或铜颗粒（提示轴承磨损），立即更换齿轮油（N460极压齿轮油）并清洗油箱。</w:t>
      </w:r>
    </w:p>
    <w:p w14:paraId="500B35BB">
      <w:pPr>
        <w:numPr>
          <w:ilvl w:val="0"/>
          <w:numId w:val="27"/>
        </w:numPr>
        <w:spacing w:before="0" w:beforeAutospacing="1" w:after="0" w:afterAutospacing="1"/>
        <w:ind w:left="720" w:hanging="360"/>
      </w:pPr>
      <w:r>
        <w:rPr>
          <w:b/>
        </w:rPr>
        <w:t>解体检查</w:t>
      </w:r>
      <w:r>
        <w:t>：拆卸齿轮箱，检查齿轮齿面（用齿形仪测量齿形误差，超过0.05mm时更换齿轮副）；测量轴承游隙（超过0.1mm时更换轴承，型号NN3024K）；用激光对中仪校准电机与减速器对中（角向≤0.2°，轴向≤0.5mm）。</w:t>
      </w:r>
    </w:p>
    <w:p w14:paraId="112BAA68">
      <w:r>
        <w:rPr>
          <w:b/>
        </w:rPr>
        <w:t>预防措施</w:t>
      </w:r>
      <w:r>
        <w:t>：每月监测振动加速度（≤10m/s²），每季度油液分析，齿轮箱每5000小时更换润滑油，轴承每8000小时检查游隙。</w:t>
      </w:r>
    </w:p>
    <w:p w14:paraId="5F8C5665">
      <w:pPr>
        <w:pStyle w:val="5"/>
      </w:pPr>
      <w:r>
        <w:t>1.3 设备晃动故障</w:t>
      </w:r>
    </w:p>
    <w:p w14:paraId="7DE52480">
      <w:r>
        <w:rPr>
          <w:b/>
        </w:rPr>
        <w:t>故障现象</w:t>
      </w:r>
      <w:r>
        <w:t>：开卷机运行时整体横向摆动（位移＞±2mm），带材跑偏量＞±1mm，严重时卷材与导向辊碰撞。</w:t>
      </w:r>
    </w:p>
    <w:p w14:paraId="2E3A0768">
      <w:r>
        <w:rPr>
          <w:b/>
        </w:rPr>
        <w:t>成因分析</w:t>
      </w:r>
      <w:r>
        <w:t>：</w:t>
      </w:r>
    </w:p>
    <w:p w14:paraId="546C1E1B">
      <w:pPr>
        <w:numPr>
          <w:ilvl w:val="0"/>
          <w:numId w:val="28"/>
        </w:numPr>
        <w:spacing w:before="0" w:beforeAutospacing="1" w:after="0" w:afterAutospacing="1"/>
        <w:ind w:left="720" w:hanging="360"/>
      </w:pPr>
      <w:r>
        <w:rPr>
          <w:b/>
        </w:rPr>
        <w:t>基础刚性不足</w:t>
      </w:r>
      <w:r>
        <w:t>：混凝土基础下沉（不均匀沉降量＞0.5mm/m）；地脚螺栓松动（预紧扭矩从450N·m降至200N·m）。</w:t>
      </w:r>
    </w:p>
    <w:p w14:paraId="02F6D9C6">
      <w:pPr>
        <w:numPr>
          <w:ilvl w:val="0"/>
          <w:numId w:val="28"/>
        </w:numPr>
        <w:spacing w:before="0" w:beforeAutospacing="1" w:after="0" w:afterAutospacing="1"/>
        <w:ind w:left="720" w:hanging="360"/>
      </w:pPr>
      <w:r>
        <w:rPr>
          <w:b/>
        </w:rPr>
        <w:t>结构变形</w:t>
      </w:r>
      <w:r>
        <w:t>：机座焊接变形（对角线偏差＞1.5mm）；外支撑轴承座松动（定位销磨损，间隙＞0.1mm）。</w:t>
      </w:r>
    </w:p>
    <w:p w14:paraId="3F183C3F">
      <w:pPr>
        <w:numPr>
          <w:ilvl w:val="0"/>
          <w:numId w:val="28"/>
        </w:numPr>
        <w:spacing w:before="0" w:beforeAutospacing="1" w:after="0" w:afterAutospacing="1"/>
        <w:ind w:left="720" w:hanging="360"/>
      </w:pPr>
      <w:r>
        <w:rPr>
          <w:b/>
        </w:rPr>
        <w:t>动平衡不良</w:t>
      </w:r>
      <w:r>
        <w:t>：卷材偏心（偏心距＞2mm，离心力F=mrω²增大）；卷筒扇形块同步误差＞0.1mm（旋转时产生离心力振动）。</w:t>
      </w:r>
    </w:p>
    <w:p w14:paraId="4806DDA5">
      <w:r>
        <w:rPr>
          <w:b/>
        </w:rPr>
        <w:t>处理步骤</w:t>
      </w:r>
      <w:r>
        <w:t>：</w:t>
      </w:r>
    </w:p>
    <w:p w14:paraId="0FD535F1">
      <w:pPr>
        <w:numPr>
          <w:ilvl w:val="0"/>
          <w:numId w:val="29"/>
        </w:numPr>
        <w:spacing w:before="0" w:beforeAutospacing="1" w:after="0" w:afterAutospacing="1"/>
        <w:ind w:left="720" w:hanging="360"/>
      </w:pPr>
      <w:r>
        <w:rPr>
          <w:b/>
        </w:rPr>
        <w:t>基础检查</w:t>
      </w:r>
      <w:r>
        <w:t>：用水平仪测量机座水平度（允许误差0.1mm/m），发现倾斜时调整地脚螺栓（按对角顺序紧固，扭矩450N·m），严重下沉时需重新灌浆（采用无收缩灌浆料H40）。</w:t>
      </w:r>
    </w:p>
    <w:p w14:paraId="78A8EB37">
      <w:pPr>
        <w:numPr>
          <w:ilvl w:val="0"/>
          <w:numId w:val="29"/>
        </w:numPr>
        <w:spacing w:before="0" w:beforeAutospacing="1" w:after="0" w:afterAutospacing="1"/>
        <w:ind w:left="720" w:hanging="360"/>
      </w:pPr>
      <w:r>
        <w:rPr>
          <w:b/>
        </w:rPr>
        <w:t>结构修复</w:t>
      </w:r>
      <w:r>
        <w:t>：测量机座对角线（长度差≤1mm），变形时加热矫正（局部加热至600℃，缓慢冷却）；更换外支撑轴承座定位销（过盈配合，间隙≤0.02mm），紧固后测量轴承座跳动（≤0.05mm）。</w:t>
      </w:r>
    </w:p>
    <w:p w14:paraId="2C0A629C">
      <w:pPr>
        <w:numPr>
          <w:ilvl w:val="0"/>
          <w:numId w:val="29"/>
        </w:numPr>
        <w:spacing w:before="0" w:beforeAutospacing="1" w:after="0" w:afterAutospacing="1"/>
        <w:ind w:left="720" w:hanging="360"/>
      </w:pPr>
      <w:r>
        <w:rPr>
          <w:b/>
        </w:rPr>
        <w:t>动平衡校正</w:t>
      </w:r>
      <w:r>
        <w:t>：检测卷材偏心量（用激光对中仪，≤1mm），超标时重新对中；调整扇形块同步误差（≤0.05mm），必要时进行卷筒动平衡试验（残余不平衡量≤5g·m）。</w:t>
      </w:r>
    </w:p>
    <w:p w14:paraId="3D09E0A1">
      <w:r>
        <w:rPr>
          <w:b/>
        </w:rPr>
        <w:t>预防措施</w:t>
      </w:r>
      <w:r>
        <w:t>：每半年检查地脚螺栓扭矩，每年测量基础沉降，新卷材上料前检查偏心量，避免超差卷材上机。</w:t>
      </w:r>
    </w:p>
    <w:p w14:paraId="0638E30B">
      <w:pPr>
        <w:pStyle w:val="4"/>
      </w:pPr>
      <w:r>
        <w:t>2. 电气与控制系统故障</w:t>
      </w:r>
    </w:p>
    <w:p w14:paraId="64763A4D">
      <w:pPr>
        <w:pStyle w:val="5"/>
      </w:pPr>
      <w:r>
        <w:t>2.1 张力控制异常</w:t>
      </w:r>
    </w:p>
    <w:p w14:paraId="5487819F">
      <w:r>
        <w:rPr>
          <w:b/>
        </w:rPr>
        <w:t>故障现象</w:t>
      </w:r>
      <w:r>
        <w:t>：带材张力波动超过±15%，HMI显示“张力偏差超限”报警（代码E12），带材出现褶皱或拉伸变形。</w:t>
      </w:r>
    </w:p>
    <w:p w14:paraId="736BA0C5">
      <w:r>
        <w:rPr>
          <w:b/>
        </w:rPr>
        <w:t>成因分析</w:t>
      </w:r>
      <w:r>
        <w:t>：</w:t>
      </w:r>
    </w:p>
    <w:p w14:paraId="22F4D4C4">
      <w:pPr>
        <w:numPr>
          <w:ilvl w:val="0"/>
          <w:numId w:val="30"/>
        </w:numPr>
        <w:spacing w:before="0" w:beforeAutospacing="1" w:after="0" w:afterAutospacing="1"/>
        <w:ind w:left="720" w:hanging="360"/>
      </w:pPr>
      <w:r>
        <w:rPr>
          <w:b/>
        </w:rPr>
        <w:t>传感器故障</w:t>
      </w:r>
      <w:r>
        <w:t>：张力传感器漂移（校准偏差＞2%FS）；信号电缆屏蔽不良（引入电磁干扰，信号波动±0.5V）；传感器安装松动（测量角度变化，导致读数偏差）。</w:t>
      </w:r>
    </w:p>
    <w:p w14:paraId="6589E8F9">
      <w:pPr>
        <w:numPr>
          <w:ilvl w:val="0"/>
          <w:numId w:val="30"/>
        </w:numPr>
        <w:spacing w:before="0" w:beforeAutospacing="1" w:after="0" w:afterAutospacing="1"/>
        <w:ind w:left="720" w:hanging="360"/>
      </w:pPr>
      <w:r>
        <w:rPr>
          <w:b/>
        </w:rPr>
        <w:t>卷径计算错误</w:t>
      </w:r>
      <w:r>
        <w:t>：编码器信号丢失（脉冲数不足，卷径计算偏小）；带材厚度设置错误（实际厚度1.0mm，设定0.8mm，导致卷径补偿错误）。</w:t>
      </w:r>
    </w:p>
    <w:p w14:paraId="62D05A6E">
      <w:pPr>
        <w:numPr>
          <w:ilvl w:val="0"/>
          <w:numId w:val="30"/>
        </w:numPr>
        <w:spacing w:before="0" w:beforeAutospacing="1" w:after="0" w:afterAutospacing="1"/>
        <w:ind w:left="720" w:hanging="360"/>
      </w:pPr>
      <w:r>
        <w:rPr>
          <w:b/>
        </w:rPr>
        <w:t>PID参数不当</w:t>
      </w:r>
      <w:r>
        <w:t>：比例系数Kp过小（响应慢，偏差大）或过大（超调）；积分时间Ti过长（残留偏差）或过短（震荡）；未启用动态补偿（加减速时张力波动）。</w:t>
      </w:r>
    </w:p>
    <w:p w14:paraId="4E33793F">
      <w:r>
        <w:rPr>
          <w:b/>
        </w:rPr>
        <w:t>处理步骤</w:t>
      </w:r>
      <w:r>
        <w:t>：</w:t>
      </w:r>
    </w:p>
    <w:p w14:paraId="02FF2205">
      <w:pPr>
        <w:numPr>
          <w:ilvl w:val="0"/>
          <w:numId w:val="31"/>
        </w:numPr>
        <w:spacing w:before="0" w:beforeAutospacing="1" w:after="0" w:afterAutospacing="1"/>
        <w:ind w:left="720" w:hanging="360"/>
      </w:pPr>
      <w:r>
        <w:rPr>
          <w:b/>
        </w:rPr>
        <w:t>传感器校准</w:t>
      </w:r>
      <w:r>
        <w:t>：用标准砝码（5kN）校准张力传感器，调整零点（无负载时输出4mA）和量程（5kN时输出20mA），校准后偏差应≤±1%FS；检查电缆屏蔽层单端接地，与动力电缆间距≥300mm。</w:t>
      </w:r>
    </w:p>
    <w:p w14:paraId="3C7DD705">
      <w:pPr>
        <w:numPr>
          <w:ilvl w:val="0"/>
          <w:numId w:val="31"/>
        </w:numPr>
        <w:spacing w:before="0" w:beforeAutospacing="1" w:after="0" w:afterAutospacing="1"/>
        <w:ind w:left="720" w:hanging="360"/>
      </w:pPr>
      <w:r>
        <w:rPr>
          <w:b/>
        </w:rPr>
        <w:t>卷径参数检查</w:t>
      </w:r>
      <w:r>
        <w:t>：核对带材厚度参数（与实际测量值一致），检查编码器信号（用示波器观察A/B相脉冲，无丢失或畸变），启用卷径补偿算法（ΔD=1.2×h×v×T/ρ），将卷径计算误差控制在±2%以内。</w:t>
      </w:r>
    </w:p>
    <w:p w14:paraId="2B09EBEA">
      <w:pPr>
        <w:numPr>
          <w:ilvl w:val="0"/>
          <w:numId w:val="31"/>
        </w:numPr>
        <w:spacing w:before="0" w:beforeAutospacing="1" w:after="0" w:afterAutospacing="1"/>
        <w:ind w:left="720" w:hanging="360"/>
      </w:pPr>
      <w:r>
        <w:rPr>
          <w:b/>
        </w:rPr>
        <w:t>PID参数优化</w:t>
      </w:r>
      <w:r>
        <w:t>：通过PLC自整定功能重新计算PID参数（Kp=5.0，Ti=100s，Td=10s），启用动态补偿（加减速时预加/减制动扭矩），测试张力波动应≤±5%。</w:t>
      </w:r>
    </w:p>
    <w:p w14:paraId="0C40CD85">
      <w:r>
        <w:rPr>
          <w:b/>
        </w:rPr>
        <w:t>预防措施</w:t>
      </w:r>
      <w:r>
        <w:t>：每月校准张力传感器，更换卷材时核对厚度参数，每季度优化PID参数，编码器电缆单独穿管敷设。</w:t>
      </w:r>
    </w:p>
    <w:p w14:paraId="02036327">
      <w:pPr>
        <w:pStyle w:val="5"/>
      </w:pPr>
      <w:r>
        <w:t>2.2 编码器信号丢失</w:t>
      </w:r>
    </w:p>
    <w:p w14:paraId="7C69B8D6">
      <w:r>
        <w:rPr>
          <w:b/>
        </w:rPr>
        <w:t>故障现象</w:t>
      </w:r>
      <w:r>
        <w:t>：开卷机运行中突然停机，HMI显示“电机编码器信号丢失”报警（代码E15），变频器报“速度反馈故障”（代码F0085）。</w:t>
      </w:r>
    </w:p>
    <w:p w14:paraId="21C12C48">
      <w:r>
        <w:rPr>
          <w:b/>
        </w:rPr>
        <w:t>成因分析</w:t>
      </w:r>
      <w:r>
        <w:t>：</w:t>
      </w:r>
    </w:p>
    <w:p w14:paraId="516DF860">
      <w:pPr>
        <w:numPr>
          <w:ilvl w:val="0"/>
          <w:numId w:val="32"/>
        </w:numPr>
        <w:spacing w:before="0" w:beforeAutospacing="1" w:after="0" w:afterAutospacing="1"/>
        <w:ind w:left="720" w:hanging="360"/>
      </w:pPr>
      <w:r>
        <w:rPr>
          <w:b/>
        </w:rPr>
        <w:t>电缆故障</w:t>
      </w:r>
      <w:r>
        <w:t>：编码器电缆断线（拉伸或碾压导致）；接头氧化（接触电阻＞1Ω）；屏蔽层断裂（引入干扰，信号畸变）。</w:t>
      </w:r>
    </w:p>
    <w:p w14:paraId="1ADE385A">
      <w:pPr>
        <w:numPr>
          <w:ilvl w:val="0"/>
          <w:numId w:val="32"/>
        </w:numPr>
        <w:spacing w:before="0" w:beforeAutospacing="1" w:after="0" w:afterAutospacing="1"/>
        <w:ind w:left="720" w:hanging="360"/>
      </w:pPr>
      <w:r>
        <w:rPr>
          <w:b/>
        </w:rPr>
        <w:t>编码器损坏</w:t>
      </w:r>
      <w:r>
        <w:t>：码盘污染（油污或铁屑覆盖，无法透光）；轴承卡滞（电机旋转时码盘无法同步转动）；电路故障（输出芯片烧毁，无信号输出）。</w:t>
      </w:r>
    </w:p>
    <w:p w14:paraId="48AB437A">
      <w:pPr>
        <w:numPr>
          <w:ilvl w:val="0"/>
          <w:numId w:val="32"/>
        </w:numPr>
        <w:spacing w:before="0" w:beforeAutospacing="1" w:after="0" w:afterAutospacing="1"/>
        <w:ind w:left="720" w:hanging="360"/>
      </w:pPr>
      <w:r>
        <w:rPr>
          <w:b/>
        </w:rPr>
        <w:t>干扰影响</w:t>
      </w:r>
      <w:r>
        <w:t>：变频器输出侧谐波干扰（未安装滤波器）；接地不良（系统接地与动力接地共地，地电位差＞5V）。</w:t>
      </w:r>
    </w:p>
    <w:p w14:paraId="41E80CFA">
      <w:r>
        <w:rPr>
          <w:b/>
        </w:rPr>
        <w:t>处理步骤</w:t>
      </w:r>
      <w:r>
        <w:t>：</w:t>
      </w:r>
    </w:p>
    <w:p w14:paraId="486CBF99">
      <w:pPr>
        <w:numPr>
          <w:ilvl w:val="0"/>
          <w:numId w:val="33"/>
        </w:numPr>
        <w:spacing w:before="0" w:beforeAutospacing="1" w:after="0" w:afterAutospacing="1"/>
        <w:ind w:left="720" w:hanging="360"/>
      </w:pPr>
      <w:r>
        <w:rPr>
          <w:b/>
        </w:rPr>
        <w:t>电缆检测</w:t>
      </w:r>
      <w:r>
        <w:t>：用万用表通断档检查电缆8芯（信号线A、B、Z，电源线VCC、GND），断线时更换双绞屏蔽电缆（截面积0.5mm²，屏蔽层覆盖率85%），接头重新压接（用冷压端子）并涂抹抗氧化剂。</w:t>
      </w:r>
    </w:p>
    <w:p w14:paraId="7F4A6BC7">
      <w:pPr>
        <w:numPr>
          <w:ilvl w:val="0"/>
          <w:numId w:val="33"/>
        </w:numPr>
        <w:spacing w:before="0" w:beforeAutospacing="1" w:after="0" w:afterAutospacing="1"/>
        <w:ind w:left="720" w:hanging="360"/>
      </w:pPr>
      <w:r>
        <w:rPr>
          <w:b/>
        </w:rPr>
        <w:t>编码器测试</w:t>
      </w:r>
      <w:r>
        <w:t>：拆卸编码器，检查码盘清洁度（用无尘布蘸酒精擦拭），手动旋转轴（应灵活无卡滞），用示波器测量输出信号（A/B相方波，幅值5V±0.5V，占空比50%±5%），信号异常时更换编码器（型号与原编码器一致，分辨率1024线）。</w:t>
      </w:r>
    </w:p>
    <w:p w14:paraId="0CEAB36C">
      <w:pPr>
        <w:numPr>
          <w:ilvl w:val="0"/>
          <w:numId w:val="33"/>
        </w:numPr>
        <w:spacing w:before="0" w:beforeAutospacing="1" w:after="0" w:afterAutospacing="1"/>
        <w:ind w:left="720" w:hanging="360"/>
      </w:pPr>
      <w:r>
        <w:rPr>
          <w:b/>
        </w:rPr>
        <w:t>抗干扰处理</w:t>
      </w:r>
      <w:r>
        <w:t>：在变频器输出侧安装EMC滤波器（型号FS100-30A），编码器电缆穿金属管并单端接地（接地电阻≤4Ω），分离系统接地与动力接地（间距≥1m），降低地电位差至＜2V。</w:t>
      </w:r>
    </w:p>
    <w:p w14:paraId="2263126E">
      <w:r>
        <w:rPr>
          <w:b/>
        </w:rPr>
        <w:t>预防措施</w:t>
      </w:r>
      <w:r>
        <w:t>：电缆加装拖链保护，避免拉伸和碾压；编码器安装时加弹性联轴器（补偿同心度偏差）；每半年检查电缆接头和屏蔽层。</w:t>
      </w:r>
    </w:p>
    <w:p w14:paraId="38F63A8B">
      <w:pPr>
        <w:pStyle w:val="4"/>
      </w:pPr>
      <w:r>
        <w:t>3. 工艺与质量故障</w:t>
      </w:r>
    </w:p>
    <w:p w14:paraId="22EA3ED5">
      <w:pPr>
        <w:pStyle w:val="5"/>
      </w:pPr>
      <w:r>
        <w:t>3.1 带材跑偏</w:t>
      </w:r>
    </w:p>
    <w:p w14:paraId="02F6100B">
      <w:r>
        <w:rPr>
          <w:b/>
        </w:rPr>
        <w:t>故障现象</w:t>
      </w:r>
      <w:r>
        <w:t>：带材在开卷过程中边缘偏离设定路径，跑偏量＞±1mm，分条后出现“宽窄不一”（宽度偏差＞0.1mm）。</w:t>
      </w:r>
    </w:p>
    <w:p w14:paraId="23C3247D">
      <w:r>
        <w:rPr>
          <w:b/>
        </w:rPr>
        <w:t>成因分析</w:t>
      </w:r>
      <w:r>
        <w:t>：</w:t>
      </w:r>
    </w:p>
    <w:p w14:paraId="5FA3DD22">
      <w:pPr>
        <w:numPr>
          <w:ilvl w:val="0"/>
          <w:numId w:val="34"/>
        </w:numPr>
        <w:spacing w:before="0" w:beforeAutospacing="1" w:after="0" w:afterAutospacing="1"/>
        <w:ind w:left="720" w:hanging="360"/>
      </w:pPr>
      <w:r>
        <w:rPr>
          <w:b/>
        </w:rPr>
        <w:t>对中不良</w:t>
      </w:r>
      <w:r>
        <w:t>：上料时卷材中心与生产线中心线偏差＞±0.5mm/m；侧立导辊开口度调整不当（大于带材宽度5mm以上）。</w:t>
      </w:r>
    </w:p>
    <w:p w14:paraId="1D2FB710">
      <w:pPr>
        <w:numPr>
          <w:ilvl w:val="0"/>
          <w:numId w:val="34"/>
        </w:numPr>
        <w:spacing w:before="0" w:beforeAutospacing="1" w:after="0" w:afterAutospacing="1"/>
        <w:ind w:left="720" w:hanging="360"/>
      </w:pPr>
      <w:r>
        <w:rPr>
          <w:b/>
        </w:rPr>
        <w:t>张力不均</w:t>
      </w:r>
      <w:r>
        <w:t>：扇形块胀紧力不均（卷材偏心旋转，产生侧向力）；带材边缘厚度差＞0.05mm（导致两侧张力不等）。</w:t>
      </w:r>
    </w:p>
    <w:p w14:paraId="7D66F494">
      <w:pPr>
        <w:numPr>
          <w:ilvl w:val="0"/>
          <w:numId w:val="34"/>
        </w:numPr>
        <w:spacing w:before="0" w:beforeAutospacing="1" w:after="0" w:afterAutospacing="1"/>
        <w:ind w:left="720" w:hanging="360"/>
      </w:pPr>
      <w:r>
        <w:rPr>
          <w:b/>
        </w:rPr>
        <w:t>导向辊异常</w:t>
      </w:r>
      <w:r>
        <w:t>：导向辊水平度偏差＞0.1mm/m（带材受轴向力）；辊面粘有异物（局部直径增大，推挤带材）。</w:t>
      </w:r>
    </w:p>
    <w:p w14:paraId="104C9E6B">
      <w:r>
        <w:rPr>
          <w:b/>
        </w:rPr>
        <w:t>处理步骤</w:t>
      </w:r>
      <w:r>
        <w:t>：</w:t>
      </w:r>
    </w:p>
    <w:p w14:paraId="3CEEB486">
      <w:pPr>
        <w:numPr>
          <w:ilvl w:val="0"/>
          <w:numId w:val="35"/>
        </w:numPr>
        <w:spacing w:before="0" w:beforeAutospacing="1" w:after="0" w:afterAutospacing="1"/>
        <w:ind w:left="720" w:hanging="360"/>
      </w:pPr>
      <w:r>
        <w:rPr>
          <w:b/>
        </w:rPr>
        <w:t>对中调整</w:t>
      </w:r>
      <w:r>
        <w:t>：重新校准上料小车对中系统（激光传感器位置偏差≤±0.05mm），调整侧立导辊开口度（带材宽度+1mm），确保带材边缘与导辊间隙均匀（±0.2mm）。</w:t>
      </w:r>
    </w:p>
    <w:p w14:paraId="77749E83">
      <w:pPr>
        <w:numPr>
          <w:ilvl w:val="0"/>
          <w:numId w:val="35"/>
        </w:numPr>
        <w:spacing w:before="0" w:beforeAutospacing="1" w:after="0" w:afterAutospacing="1"/>
        <w:ind w:left="720" w:hanging="360"/>
      </w:pPr>
      <w:r>
        <w:rPr>
          <w:b/>
        </w:rPr>
        <w:t>张力平衡</w:t>
      </w:r>
      <w:r>
        <w:t>：测量扇形块胀紧力（4块偏差≤±5%），调整四棱锥轴斜面磨损（同步误差≤0.05mm）；检查带材边缘厚度（用千分尺，偏差＞0.05mm时更换卷材）。</w:t>
      </w:r>
    </w:p>
    <w:p w14:paraId="15704390">
      <w:pPr>
        <w:numPr>
          <w:ilvl w:val="0"/>
          <w:numId w:val="35"/>
        </w:numPr>
        <w:spacing w:before="0" w:beforeAutospacing="1" w:after="0" w:afterAutospacing="1"/>
        <w:ind w:left="720" w:hanging="360"/>
      </w:pPr>
      <w:r>
        <w:rPr>
          <w:b/>
        </w:rPr>
        <w:t>导向辊校准</w:t>
      </w:r>
      <w:r>
        <w:t>：用水平仪校准导向辊水平度（≤0.1mm/m），清理辊面异物（用细砂纸打磨粘料），更换磨损严重的导向辊（径向跳动＞0.1mm）。</w:t>
      </w:r>
    </w:p>
    <w:p w14:paraId="7676DD14">
      <w:r>
        <w:rPr>
          <w:b/>
        </w:rPr>
        <w:t>预防措施</w:t>
      </w:r>
      <w:r>
        <w:t>：上料时确保卷材对中偏差≤±0.1mm/m，定期检查导向辊水平度和表面状况，使用边缘厚度差≤0.03mm的卷材。</w:t>
      </w:r>
    </w:p>
    <w:p w14:paraId="558FF48D">
      <w:pPr>
        <w:pStyle w:val="5"/>
      </w:pPr>
      <w:r>
        <w:t>3.2 带材表面划伤</w:t>
      </w:r>
    </w:p>
    <w:p w14:paraId="191B2A40">
      <w:r>
        <w:rPr>
          <w:b/>
        </w:rPr>
        <w:t>故障现象</w:t>
      </w:r>
      <w:r>
        <w:t>：开卷后带材表面出现纵向或横向划伤（深度＞0.01mm），影响产品外观质量。</w:t>
      </w:r>
    </w:p>
    <w:p w14:paraId="024BC10B">
      <w:r>
        <w:rPr>
          <w:b/>
        </w:rPr>
        <w:t>成因分析</w:t>
      </w:r>
      <w:r>
        <w:t>：</w:t>
      </w:r>
    </w:p>
    <w:p w14:paraId="33955B2C">
      <w:pPr>
        <w:numPr>
          <w:ilvl w:val="0"/>
          <w:numId w:val="36"/>
        </w:numPr>
        <w:spacing w:before="0" w:beforeAutospacing="1" w:after="0" w:afterAutospacing="1"/>
        <w:ind w:left="720" w:hanging="360"/>
      </w:pPr>
      <w:r>
        <w:rPr>
          <w:b/>
        </w:rPr>
        <w:t>机械接触划伤</w:t>
      </w:r>
      <w:r>
        <w:t>：导向辊表面有毛刺（Ra＞1.6μm）；扇形块工作面有凹坑或铁屑（硬度＞HRC50，压入带材表面）；直头机铲刀角度不当（与带材夹角＜30°，产生刮擦）。</w:t>
      </w:r>
    </w:p>
    <w:p w14:paraId="1A248ECA">
      <w:pPr>
        <w:numPr>
          <w:ilvl w:val="0"/>
          <w:numId w:val="36"/>
        </w:numPr>
        <w:spacing w:before="0" w:beforeAutospacing="1" w:after="0" w:afterAutospacing="1"/>
        <w:ind w:left="720" w:hanging="360"/>
      </w:pPr>
      <w:r>
        <w:rPr>
          <w:b/>
        </w:rPr>
        <w:t>异物压入</w:t>
      </w:r>
      <w:r>
        <w:t>：卷材表面残留铁屑或焊渣（开卷时被压入带材）；液压油泄漏（滴落在带材表面，形成油污划伤）。</w:t>
      </w:r>
    </w:p>
    <w:p w14:paraId="20A07A38">
      <w:pPr>
        <w:numPr>
          <w:ilvl w:val="0"/>
          <w:numId w:val="36"/>
        </w:numPr>
        <w:spacing w:before="0" w:beforeAutospacing="1" w:after="0" w:afterAutospacing="1"/>
        <w:ind w:left="720" w:hanging="360"/>
      </w:pPr>
      <w:r>
        <w:rPr>
          <w:b/>
        </w:rPr>
        <w:t>张力过大</w:t>
      </w:r>
      <w:r>
        <w:t>：带材张力超过材料屈服强度（如铝带张力＞3kN，产生塑性变形划伤）。</w:t>
      </w:r>
    </w:p>
    <w:p w14:paraId="1DCD4ED1">
      <w:r>
        <w:rPr>
          <w:b/>
        </w:rPr>
        <w:t>处理步骤</w:t>
      </w:r>
      <w:r>
        <w:t>：</w:t>
      </w:r>
    </w:p>
    <w:p w14:paraId="2E257BAD">
      <w:pPr>
        <w:numPr>
          <w:ilvl w:val="0"/>
          <w:numId w:val="37"/>
        </w:numPr>
        <w:spacing w:before="0" w:beforeAutospacing="1" w:after="0" w:afterAutospacing="1"/>
        <w:ind w:left="720" w:hanging="360"/>
      </w:pPr>
      <w:r>
        <w:rPr>
          <w:b/>
        </w:rPr>
        <w:t>表面处理</w:t>
      </w:r>
      <w:r>
        <w:t>：用金相砂纸（800目）打磨导向辊和扇形块工作面（Ra≤0.8μm），去除毛刺和凹坑；调整直头机铲刀角度至30°-45°，避免与带材硬接触。</w:t>
      </w:r>
    </w:p>
    <w:p w14:paraId="052C759A">
      <w:pPr>
        <w:numPr>
          <w:ilvl w:val="0"/>
          <w:numId w:val="37"/>
        </w:numPr>
        <w:spacing w:before="0" w:beforeAutospacing="1" w:after="0" w:afterAutospacing="1"/>
        <w:ind w:left="720" w:hanging="360"/>
      </w:pPr>
      <w:r>
        <w:rPr>
          <w:b/>
        </w:rPr>
        <w:t>异物清理</w:t>
      </w:r>
      <w:r>
        <w:t>：开卷前用粘尘辊清洁卷材表面，检查液压管路接头（更换泄漏的密封圈），在导向辊组下方安装接油盘（防止油污滴落）。</w:t>
      </w:r>
    </w:p>
    <w:p w14:paraId="486E6A92">
      <w:pPr>
        <w:numPr>
          <w:ilvl w:val="0"/>
          <w:numId w:val="37"/>
        </w:numPr>
        <w:spacing w:before="0" w:beforeAutospacing="1" w:after="0" w:afterAutospacing="1"/>
        <w:ind w:left="720" w:hanging="360"/>
      </w:pPr>
      <w:r>
        <w:rPr>
          <w:b/>
        </w:rPr>
        <w:t>张力调整</w:t>
      </w:r>
      <w:r>
        <w:t>：根据带材材质重新设定张力（铝带≤2kN，不锈钢带≤5kN），确保张力值＜材料屈服强度的30%（如Q235钢屈服强度235MPa，带材厚度1mm、宽度1000mm时，张力≤235×0.3×1×1000=70500N=70.5kN）。</w:t>
      </w:r>
    </w:p>
    <w:p w14:paraId="7147D6E1">
      <w:r>
        <w:rPr>
          <w:b/>
        </w:rPr>
        <w:t>预防措施</w:t>
      </w:r>
      <w:r>
        <w:t>：定期检查导向辊和扇形块表面光洁度，开卷前清理卷材和设备表面异物，根据材料特性合理设置张力参数。</w:t>
      </w:r>
    </w:p>
    <w:p w14:paraId="7E31B251">
      <w:pPr>
        <w:pStyle w:val="3"/>
      </w:pPr>
      <w:r>
        <w:t>六、安全与环保要求</w:t>
      </w:r>
    </w:p>
    <w:p w14:paraId="30FDD417">
      <w:pPr>
        <w:pStyle w:val="4"/>
      </w:pPr>
      <w:r>
        <w:t>1. 安全防护装置</w:t>
      </w:r>
    </w:p>
    <w:p w14:paraId="7F769FE6">
      <w:r>
        <w:t>开卷机安全防护装置通过物理隔离、电气联锁和智能监测，防止人员伤害和设备损坏，符合GB/T 23821-2022《机械安全 防止上下肢触及危险区的安全距离》要求。</w:t>
      </w:r>
    </w:p>
    <w:p w14:paraId="7DC2F64F">
      <w:r>
        <w:rPr>
          <w:b/>
        </w:rPr>
        <w:t>物理隔离装置</w:t>
      </w:r>
      <w:r>
        <w:t>：</w:t>
      </w:r>
    </w:p>
    <w:p w14:paraId="2B7B4221">
      <w:pPr>
        <w:numPr>
          <w:ilvl w:val="0"/>
          <w:numId w:val="38"/>
        </w:numPr>
        <w:spacing w:before="0" w:beforeAutospacing="1" w:after="0" w:afterAutospacing="1"/>
        <w:ind w:left="720" w:hanging="360"/>
      </w:pPr>
      <w:r>
        <w:rPr>
          <w:b/>
        </w:rPr>
        <w:t>安全围栏</w:t>
      </w:r>
      <w:r>
        <w:t>：采用2mm厚冷轧钢板制作，高度≥1.2m，立柱间距≤1.5m，黄色警示条纹（宽度50mm，间隔100mm），围栏门配备机械锁（钥匙由专人保管）和电气联锁装置（门未关闭时，安全继电器切断电机电源，HMI显示“门未关”报警）。</w:t>
      </w:r>
    </w:p>
    <w:p w14:paraId="561B67E3">
      <w:pPr>
        <w:numPr>
          <w:ilvl w:val="0"/>
          <w:numId w:val="38"/>
        </w:numPr>
        <w:spacing w:before="0" w:beforeAutospacing="1" w:after="0" w:afterAutospacing="1"/>
        <w:ind w:left="720" w:hanging="360"/>
      </w:pPr>
      <w:r>
        <w:rPr>
          <w:b/>
        </w:rPr>
        <w:t>观察窗</w:t>
      </w:r>
      <w:r>
        <w:t>：设置2个防爆玻璃观察窗（尺寸500mm×300mm，厚度5mm，抗冲击强度≥7J），内侧张贴“当心旋转部件”“注意高压”警示标识（符合GB 2894-2008）。</w:t>
      </w:r>
    </w:p>
    <w:p w14:paraId="1666B309">
      <w:pPr>
        <w:numPr>
          <w:ilvl w:val="0"/>
          <w:numId w:val="38"/>
        </w:numPr>
        <w:spacing w:before="0" w:beforeAutospacing="1" w:after="0" w:afterAutospacing="1"/>
        <w:ind w:left="720" w:hanging="360"/>
      </w:pPr>
      <w:r>
        <w:rPr>
          <w:b/>
        </w:rPr>
        <w:t>急停系统</w:t>
      </w:r>
      <w:r>
        <w:t>：在操作面板（红色蘑菇头按钮，直径40mm）、开卷机入口两侧（距地面1.5m高度）各设1个急停按钮，串联接入安全继电器（西门子3TK2825），按下时0.1秒内切断所有动力电源（接触器线圈失电，主触点断开），复位需顺时针旋转按钮并确认“急停已复位”。</w:t>
      </w:r>
    </w:p>
    <w:p w14:paraId="67F0237D">
      <w:r>
        <w:rPr>
          <w:b/>
        </w:rPr>
        <w:t>电气联锁装置</w:t>
      </w:r>
      <w:r>
        <w:t>：</w:t>
      </w:r>
    </w:p>
    <w:p w14:paraId="3FCCC99F">
      <w:pPr>
        <w:numPr>
          <w:ilvl w:val="0"/>
          <w:numId w:val="39"/>
        </w:numPr>
        <w:spacing w:before="0" w:beforeAutospacing="1" w:after="0" w:afterAutospacing="1"/>
        <w:ind w:left="720" w:hanging="360"/>
      </w:pPr>
      <w:r>
        <w:rPr>
          <w:b/>
        </w:rPr>
        <w:t>安全光幕</w:t>
      </w:r>
      <w:r>
        <w:t>：安装于开卷机入口（保护高度1.2m，分辨率14mm），光束被遮挡时（如人员进入），安全继电器输出断开，设备立即停机，入口指示灯变红（闪烁频率2Hz），恢复光束后需手动复位（HMI点击“复位”按钮）。</w:t>
      </w:r>
    </w:p>
    <w:p w14:paraId="2D8C4105">
      <w:pPr>
        <w:numPr>
          <w:ilvl w:val="0"/>
          <w:numId w:val="39"/>
        </w:numPr>
        <w:spacing w:before="0" w:beforeAutospacing="1" w:after="0" w:afterAutospacing="1"/>
        <w:ind w:left="720" w:hanging="360"/>
      </w:pPr>
      <w:r>
        <w:rPr>
          <w:b/>
        </w:rPr>
        <w:t>双手启动装置</w:t>
      </w:r>
      <w:r>
        <w:t>：启动开卷或穿带时，需同时按下操作面板上的两个启动按钮（间距＞500mm，防止单手操作），持续按下2秒后设备启动，确保操作人员双手在安全区域。</w:t>
      </w:r>
    </w:p>
    <w:p w14:paraId="1434DEC0">
      <w:pPr>
        <w:numPr>
          <w:ilvl w:val="0"/>
          <w:numId w:val="39"/>
        </w:numPr>
        <w:spacing w:before="0" w:beforeAutospacing="1" w:after="0" w:afterAutospacing="1"/>
        <w:ind w:left="720" w:hanging="360"/>
      </w:pPr>
      <w:r>
        <w:rPr>
          <w:b/>
        </w:rPr>
        <w:t>接地监测</w:t>
      </w:r>
      <w:r>
        <w:t>：接地监测仪（型号UEG-200）实时监测设备接地电阻（≤10Ω），接地不良时（如电阻＞15Ω），切断高压设备（如液压站、变频器）电源，HMI显示“接地故障”报警。</w:t>
      </w:r>
    </w:p>
    <w:p w14:paraId="024FB438">
      <w:r>
        <w:rPr>
          <w:b/>
        </w:rPr>
        <w:t>智能监测装置</w:t>
      </w:r>
      <w:r>
        <w:t>：</w:t>
      </w:r>
    </w:p>
    <w:p w14:paraId="23BC1925">
      <w:pPr>
        <w:numPr>
          <w:ilvl w:val="0"/>
          <w:numId w:val="40"/>
        </w:numPr>
        <w:spacing w:before="0" w:beforeAutospacing="1" w:after="0" w:afterAutospacing="1"/>
        <w:ind w:left="720" w:hanging="360"/>
      </w:pPr>
      <w:r>
        <w:rPr>
          <w:b/>
        </w:rPr>
        <w:t>过载保护</w:t>
      </w:r>
      <w:r>
        <w:t>：电机回路配置热继电器（整定电流为额定电流的1.2倍），过载时切断电源；PLC程序中设置电流上限（如电机额定电流15A，上限18A），超过时自动降速。</w:t>
      </w:r>
    </w:p>
    <w:p w14:paraId="3549883C">
      <w:pPr>
        <w:numPr>
          <w:ilvl w:val="0"/>
          <w:numId w:val="40"/>
        </w:numPr>
        <w:spacing w:before="0" w:beforeAutospacing="1" w:after="0" w:afterAutospacing="1"/>
        <w:ind w:left="720" w:hanging="360"/>
      </w:pPr>
      <w:r>
        <w:rPr>
          <w:b/>
        </w:rPr>
        <w:t>超速保护</w:t>
      </w:r>
      <w:r>
        <w:t>：编码器实时监测卷筒转速，超过设定值120%（如60m/min→72m/min）时，制动器紧急制动，防止“飞车”事故。</w:t>
      </w:r>
    </w:p>
    <w:p w14:paraId="144270CF">
      <w:pPr>
        <w:numPr>
          <w:ilvl w:val="0"/>
          <w:numId w:val="40"/>
        </w:numPr>
        <w:spacing w:before="0" w:beforeAutospacing="1" w:after="0" w:afterAutospacing="1"/>
        <w:ind w:left="720" w:hanging="360"/>
      </w:pPr>
      <w:r>
        <w:rPr>
          <w:b/>
        </w:rPr>
        <w:t>异物检测</w:t>
      </w:r>
      <w:r>
        <w:t>：在开卷机与夹送辊之间安装激光轮廓传感器，检测带材表面异物（如厚度＞0.5mm的凸起），发现时停机报警，避免异物进入后续工序损坏设备。</w:t>
      </w:r>
    </w:p>
    <w:p w14:paraId="0A106C9B">
      <w:pPr>
        <w:pStyle w:val="4"/>
      </w:pPr>
      <w:r>
        <w:t>2. 操作安全规范</w:t>
      </w:r>
    </w:p>
    <w:p w14:paraId="6B056CD9">
      <w:r>
        <w:t>操作人员必须经过培训（考核合格取得操作证），严格遵守安全规程，防止触电、机械伤害、火灾等事故。</w:t>
      </w:r>
    </w:p>
    <w:p w14:paraId="4FCFAF21">
      <w:r>
        <w:rPr>
          <w:b/>
        </w:rPr>
        <w:t>个人防护装备（PPE）</w:t>
      </w:r>
      <w:r>
        <w:t>：</w:t>
      </w:r>
    </w:p>
    <w:p w14:paraId="35B780F9">
      <w:pPr>
        <w:numPr>
          <w:ilvl w:val="0"/>
          <w:numId w:val="41"/>
        </w:numPr>
        <w:spacing w:before="0" w:beforeAutospacing="1" w:after="0" w:afterAutospacing="1"/>
        <w:ind w:left="720" w:hanging="360"/>
      </w:pPr>
      <w:r>
        <w:rPr>
          <w:b/>
        </w:rPr>
        <w:t>头部防护</w:t>
      </w:r>
      <w:r>
        <w:t>：进入车间佩戴安全帽（符合GB 2811-2019，冲击吸收性能≤4900N）。</w:t>
      </w:r>
    </w:p>
    <w:p w14:paraId="577F7D50">
      <w:pPr>
        <w:numPr>
          <w:ilvl w:val="0"/>
          <w:numId w:val="41"/>
        </w:numPr>
        <w:spacing w:before="0" w:beforeAutospacing="1" w:after="0" w:afterAutospacing="1"/>
        <w:ind w:left="720" w:hanging="360"/>
      </w:pPr>
      <w:r>
        <w:rPr>
          <w:b/>
        </w:rPr>
        <w:t>眼部防护</w:t>
      </w:r>
      <w:r>
        <w:t>：操作时佩戴防冲击护目镜（侧面防护，符合GB 14866-2006），防止铁屑飞溅。</w:t>
      </w:r>
    </w:p>
    <w:p w14:paraId="27EA233F">
      <w:pPr>
        <w:numPr>
          <w:ilvl w:val="0"/>
          <w:numId w:val="41"/>
        </w:numPr>
        <w:spacing w:before="0" w:beforeAutospacing="1" w:after="0" w:afterAutospacing="1"/>
        <w:ind w:left="720" w:hanging="360"/>
      </w:pPr>
      <w:r>
        <w:rPr>
          <w:b/>
        </w:rPr>
        <w:t>手部防护</w:t>
      </w:r>
      <w:r>
        <w:t>：接触卷材或设备时佩戴防割手套（凯夫拉材质，防割等级5级），接触液压部件时佩戴耐油手套。</w:t>
      </w:r>
    </w:p>
    <w:p w14:paraId="6DA33874">
      <w:pPr>
        <w:numPr>
          <w:ilvl w:val="0"/>
          <w:numId w:val="41"/>
        </w:numPr>
        <w:spacing w:before="0" w:beforeAutospacing="1" w:after="0" w:afterAutospacing="1"/>
        <w:ind w:left="720" w:hanging="360"/>
      </w:pPr>
      <w:r>
        <w:rPr>
          <w:b/>
        </w:rPr>
        <w:t>足部防护</w:t>
      </w:r>
      <w:r>
        <w:t>：穿防砸安全鞋（钢头，防刺穿鞋底，符合GB 21148-2020）。</w:t>
      </w:r>
    </w:p>
    <w:p w14:paraId="1B825D90">
      <w:pPr>
        <w:numPr>
          <w:ilvl w:val="0"/>
          <w:numId w:val="41"/>
        </w:numPr>
        <w:spacing w:before="0" w:beforeAutospacing="1" w:after="0" w:afterAutospacing="1"/>
        <w:ind w:left="720" w:hanging="360"/>
      </w:pPr>
      <w:r>
        <w:rPr>
          <w:b/>
        </w:rPr>
        <w:t>呼吸防护</w:t>
      </w:r>
      <w:r>
        <w:t>：清理铁屑或焊接烟尘时，佩戴防尘口罩（KN95级，符合GB 2626-2019）。</w:t>
      </w:r>
    </w:p>
    <w:p w14:paraId="18C94CBF">
      <w:r>
        <w:rPr>
          <w:b/>
        </w:rPr>
        <w:t>作业安全规程</w:t>
      </w:r>
      <w:r>
        <w:t>：</w:t>
      </w:r>
    </w:p>
    <w:p w14:paraId="078C72B8">
      <w:pPr>
        <w:numPr>
          <w:ilvl w:val="0"/>
          <w:numId w:val="42"/>
        </w:numPr>
        <w:spacing w:before="0" w:beforeAutospacing="1" w:after="0" w:afterAutospacing="1"/>
        <w:ind w:left="720" w:hanging="360"/>
      </w:pPr>
      <w:r>
        <w:rPr>
          <w:b/>
        </w:rPr>
        <w:t>挂牌上锁（LOTO）程序</w:t>
      </w:r>
      <w:r>
        <w:t>：设备维修时，操作人员在总电源开关处悬挂“正在维修，禁止合闸”警示牌，使用个人锁具锁定开关；维修完成后，由上锁人解锁并取下警示牌，通知相关人员后方可合闸。</w:t>
      </w:r>
    </w:p>
    <w:p w14:paraId="3D998364">
      <w:pPr>
        <w:numPr>
          <w:ilvl w:val="0"/>
          <w:numId w:val="42"/>
        </w:numPr>
        <w:spacing w:before="0" w:beforeAutospacing="1" w:after="0" w:afterAutospacing="1"/>
        <w:ind w:left="720" w:hanging="360"/>
      </w:pPr>
      <w:r>
        <w:rPr>
          <w:b/>
        </w:rPr>
        <w:t>禁止事项</w:t>
      </w:r>
      <w:r>
        <w:t>：严禁在设备运行时打开安全围栏门；严禁用手直接接触旋转部件（如卷筒、导向辊）；严禁超规格使用设备（如30吨开卷机吊装40吨卷材）；严禁随意修改PLC程序或参数（需修改时，经工程师批准并备份）。</w:t>
      </w:r>
    </w:p>
    <w:p w14:paraId="51F41271">
      <w:pPr>
        <w:numPr>
          <w:ilvl w:val="0"/>
          <w:numId w:val="42"/>
        </w:numPr>
        <w:spacing w:before="0" w:beforeAutospacing="1" w:after="0" w:afterAutospacing="1"/>
        <w:ind w:left="720" w:hanging="360"/>
      </w:pPr>
      <w:r>
        <w:rPr>
          <w:b/>
        </w:rPr>
        <w:t>紧急处置</w:t>
      </w:r>
      <w:r>
        <w:t>：</w:t>
      </w:r>
    </w:p>
    <w:p w14:paraId="2734D3CB">
      <w:pPr>
        <w:numPr>
          <w:ilvl w:val="1"/>
          <w:numId w:val="42"/>
        </w:numPr>
        <w:spacing w:before="0" w:beforeAutospacing="1" w:after="0" w:afterAutospacing="1"/>
        <w:ind w:left="1440" w:hanging="360"/>
      </w:pPr>
      <w:r>
        <w:rPr>
          <w:b/>
        </w:rPr>
        <w:t>触电急救</w:t>
      </w:r>
      <w:r>
        <w:t>：立即切断电源（或用干燥木棒挑开电线），将伤员移至通风处，检查呼吸心跳，无呼吸心跳时立即心肺复苏（CPR），拨打急救电话。</w:t>
      </w:r>
    </w:p>
    <w:p w14:paraId="7CA1E1EC">
      <w:pPr>
        <w:numPr>
          <w:ilvl w:val="1"/>
          <w:numId w:val="42"/>
        </w:numPr>
        <w:spacing w:before="0" w:beforeAutospacing="1" w:after="0" w:afterAutospacing="1"/>
        <w:ind w:left="1440" w:hanging="360"/>
      </w:pPr>
      <w:r>
        <w:rPr>
          <w:b/>
        </w:rPr>
        <w:t>机械伤害</w:t>
      </w:r>
      <w:r>
        <w:t>：发生挤压或切割伤时，立即停机，压迫止血（用干净纱布覆盖伤口），送医治疗。</w:t>
      </w:r>
    </w:p>
    <w:p w14:paraId="758D0779">
      <w:pPr>
        <w:numPr>
          <w:ilvl w:val="1"/>
          <w:numId w:val="42"/>
        </w:numPr>
        <w:spacing w:before="0" w:beforeAutospacing="1" w:after="0" w:afterAutospacing="1"/>
        <w:ind w:left="1440" w:hanging="360"/>
      </w:pPr>
      <w:r>
        <w:rPr>
          <w:b/>
        </w:rPr>
        <w:t>火灾事故</w:t>
      </w:r>
      <w:r>
        <w:t>：初期火灾用干粉灭火器（ABC型，容量≥4kg）扑救，电气火灾需先断电，火势扩大时启动消防系统，人员撤离至上风向。</w:t>
      </w:r>
    </w:p>
    <w:p w14:paraId="3F2937D5">
      <w:r>
        <w:rPr>
          <w:b/>
        </w:rPr>
        <w:t>培训与演练</w:t>
      </w:r>
      <w:r>
        <w:t>：</w:t>
      </w:r>
    </w:p>
    <w:p w14:paraId="5C549510">
      <w:pPr>
        <w:numPr>
          <w:ilvl w:val="0"/>
          <w:numId w:val="43"/>
        </w:numPr>
        <w:spacing w:before="0" w:beforeAutospacing="1" w:after="0" w:afterAutospacing="1"/>
        <w:ind w:left="720" w:hanging="360"/>
      </w:pPr>
      <w:r>
        <w:rPr>
          <w:b/>
        </w:rPr>
        <w:t>安全培训</w:t>
      </w:r>
      <w:r>
        <w:t>：新员工上岗前接受8小时安全培训（设备危险区域、防护装置、应急处置），考核合格方可独立操作；每季度组织一次安全知识考核（合格率≥90%）。</w:t>
      </w:r>
    </w:p>
    <w:p w14:paraId="4CE50F5E">
      <w:pPr>
        <w:numPr>
          <w:ilvl w:val="0"/>
          <w:numId w:val="43"/>
        </w:numPr>
        <w:spacing w:before="0" w:beforeAutospacing="1" w:after="0" w:afterAutospacing="1"/>
        <w:ind w:left="720" w:hanging="360"/>
      </w:pPr>
      <w:r>
        <w:rPr>
          <w:b/>
        </w:rPr>
        <w:t>应急演练</w:t>
      </w:r>
      <w:r>
        <w:t>：每半年组织一次应急演练（模拟触电、断带、火灾场景），演练内容包括急停操作、伤员救护、灭火器使用，记录演练过程并评估改进。</w:t>
      </w:r>
    </w:p>
    <w:p w14:paraId="32DA62F5">
      <w:pPr>
        <w:pStyle w:val="4"/>
      </w:pPr>
      <w:r>
        <w:t>3. 环保措施</w:t>
      </w:r>
    </w:p>
    <w:p w14:paraId="05FB10DB">
      <w:r>
        <w:t>开卷机运行需符合国家环保法规，控制能耗、噪声和废弃物排放，实现绿色生产。</w:t>
      </w:r>
    </w:p>
    <w:p w14:paraId="4EE7D663">
      <w:r>
        <w:rPr>
          <w:b/>
        </w:rPr>
        <w:t>节能降耗措施</w:t>
      </w:r>
      <w:r>
        <w:t>：</w:t>
      </w:r>
    </w:p>
    <w:p w14:paraId="10310CD5">
      <w:pPr>
        <w:numPr>
          <w:ilvl w:val="0"/>
          <w:numId w:val="44"/>
        </w:numPr>
        <w:spacing w:before="0" w:beforeAutospacing="1" w:after="0" w:afterAutospacing="1"/>
        <w:ind w:left="720" w:hanging="360"/>
      </w:pPr>
      <w:r>
        <w:rPr>
          <w:b/>
        </w:rPr>
        <w:t>变频调速</w:t>
      </w:r>
      <w:r>
        <w:t>：驱动电机采用变频器控制，根据开卷速度自动调节输出频率（低速时功耗降低50%），如空卷待机时频率降至10Hz（转速290r/min），功耗从15kW降至3kW。</w:t>
      </w:r>
    </w:p>
    <w:p w14:paraId="70126F00">
      <w:pPr>
        <w:numPr>
          <w:ilvl w:val="0"/>
          <w:numId w:val="44"/>
        </w:numPr>
        <w:spacing w:before="0" w:beforeAutospacing="1" w:after="0" w:afterAutospacing="1"/>
        <w:ind w:left="720" w:hanging="360"/>
      </w:pPr>
      <w:r>
        <w:rPr>
          <w:b/>
        </w:rPr>
        <w:t>余热回收</w:t>
      </w:r>
      <w:r>
        <w:t>：液压站和齿轮箱润滑油冷却系统采用换热器（效率≥70%），回收热量用于车间冬季供暖，年节能量约5000kWh。</w:t>
      </w:r>
    </w:p>
    <w:p w14:paraId="520BE9D1">
      <w:pPr>
        <w:numPr>
          <w:ilvl w:val="0"/>
          <w:numId w:val="44"/>
        </w:numPr>
        <w:spacing w:before="0" w:beforeAutospacing="1" w:after="0" w:afterAutospacing="1"/>
        <w:ind w:left="720" w:hanging="360"/>
      </w:pPr>
      <w:r>
        <w:rPr>
          <w:b/>
        </w:rPr>
        <w:t>智能休眠</w:t>
      </w:r>
      <w:r>
        <w:t>：设备闲置超过30分钟自动进入休眠模式（关闭非必要电机和照明，仅保留控制系统供电），唤醒时间＜30秒。</w:t>
      </w:r>
    </w:p>
    <w:p w14:paraId="6A139F81">
      <w:r>
        <w:rPr>
          <w:b/>
        </w:rPr>
        <w:t>噪声控制</w:t>
      </w:r>
      <w:r>
        <w:t>：</w:t>
      </w:r>
    </w:p>
    <w:p w14:paraId="41C0F57C">
      <w:pPr>
        <w:numPr>
          <w:ilvl w:val="0"/>
          <w:numId w:val="45"/>
        </w:numPr>
        <w:spacing w:before="0" w:beforeAutospacing="1" w:after="0" w:afterAutospacing="1"/>
        <w:ind w:left="720" w:hanging="360"/>
      </w:pPr>
      <w:r>
        <w:rPr>
          <w:b/>
        </w:rPr>
        <w:t>源头控制</w:t>
      </w:r>
      <w:r>
        <w:t>：传动系统齿轮采用精密磨削（齿形误差≤0.01mm），降低啮合噪音；电机安装弹性减震垫（厚度20mm，阻尼系数0.3），减少振动传递。</w:t>
      </w:r>
    </w:p>
    <w:p w14:paraId="2E2140C6">
      <w:pPr>
        <w:numPr>
          <w:ilvl w:val="0"/>
          <w:numId w:val="45"/>
        </w:numPr>
        <w:spacing w:before="0" w:beforeAutospacing="1" w:after="0" w:afterAutospacing="1"/>
        <w:ind w:left="720" w:hanging="360"/>
      </w:pPr>
      <w:r>
        <w:rPr>
          <w:b/>
        </w:rPr>
        <w:t>传播控制</w:t>
      </w:r>
      <w:r>
        <w:t>：齿轮箱和电机加装隔音罩（钢板厚度2mm+吸音棉50mm），降噪量≥20dB；车间墙面安装吸声材料（矿棉板，降噪系数0.8），厂界噪声控制在昼间≤65dB、夜间≤55dB（符合GB 12348-2008）。</w:t>
      </w:r>
    </w:p>
    <w:p w14:paraId="799C8A0C">
      <w:r>
        <w:rPr>
          <w:b/>
        </w:rPr>
        <w:t>废弃物处理</w:t>
      </w:r>
      <w:r>
        <w:t>：</w:t>
      </w:r>
    </w:p>
    <w:p w14:paraId="2440E22E">
      <w:pPr>
        <w:numPr>
          <w:ilvl w:val="0"/>
          <w:numId w:val="46"/>
        </w:numPr>
        <w:spacing w:before="0" w:beforeAutospacing="1" w:after="0" w:afterAutospacing="1"/>
        <w:ind w:left="720" w:hanging="360"/>
      </w:pPr>
      <w:r>
        <w:rPr>
          <w:b/>
        </w:rPr>
        <w:t>危险废物</w:t>
      </w:r>
      <w:r>
        <w:t>：废液压油、废齿轮油、废油抹布属于危险废物（HW08类），分类存放于防渗漏容器（带盖，贴危废标签），委托有资质单位处置（签订危废处置协议，保存转移联单5年以上）。</w:t>
      </w:r>
    </w:p>
    <w:p w14:paraId="71061763">
      <w:pPr>
        <w:numPr>
          <w:ilvl w:val="0"/>
          <w:numId w:val="46"/>
        </w:numPr>
        <w:spacing w:before="0" w:beforeAutospacing="1" w:after="0" w:afterAutospacing="1"/>
        <w:ind w:left="720" w:hanging="360"/>
      </w:pPr>
      <w:r>
        <w:rPr>
          <w:b/>
        </w:rPr>
        <w:t>一般废物</w:t>
      </w:r>
      <w:r>
        <w:t>：废金属屑（铁、钢）收集后由物资回收公司回收利用；废滤芯、废橡胶件等一般工业固废，交由环卫部门清运。</w:t>
      </w:r>
    </w:p>
    <w:p w14:paraId="0485B4A6">
      <w:pPr>
        <w:numPr>
          <w:ilvl w:val="0"/>
          <w:numId w:val="46"/>
        </w:numPr>
        <w:spacing w:before="0" w:beforeAutospacing="1" w:after="0" w:afterAutospacing="1"/>
        <w:ind w:left="720" w:hanging="360"/>
      </w:pPr>
      <w:r>
        <w:rPr>
          <w:b/>
        </w:rPr>
        <w:t>废水处理</w:t>
      </w:r>
      <w:r>
        <w:t>：液压系统泄漏的少量油液，用吸油棉吸收，严禁直接排放；清洗设备产生的含油废水，经隔油池预处理（除油率≥90%）后进入厂区污水处理站。</w:t>
      </w:r>
    </w:p>
    <w:p w14:paraId="165E738E">
      <w:r>
        <w:rPr>
          <w:b/>
        </w:rPr>
        <w:t>环保监测</w:t>
      </w:r>
      <w:r>
        <w:t>：</w:t>
      </w:r>
    </w:p>
    <w:p w14:paraId="24A81A39">
      <w:pPr>
        <w:numPr>
          <w:ilvl w:val="0"/>
          <w:numId w:val="47"/>
        </w:numPr>
        <w:spacing w:before="0" w:beforeAutospacing="1" w:after="0" w:afterAutospacing="1"/>
        <w:ind w:left="720" w:hanging="360"/>
      </w:pPr>
      <w:r>
        <w:t>每月监测厂界噪声（用声级计，精度±1dB）；</w:t>
      </w:r>
    </w:p>
    <w:p w14:paraId="2446E360">
      <w:pPr>
        <w:numPr>
          <w:ilvl w:val="0"/>
          <w:numId w:val="47"/>
        </w:numPr>
        <w:spacing w:before="0" w:beforeAutospacing="1" w:after="0" w:afterAutospacing="1"/>
        <w:ind w:left="720" w:hanging="360"/>
      </w:pPr>
      <w:r>
        <w:t>每季度检测液压油和齿轮油的污染度（NAS 8级以下）；</w:t>
      </w:r>
    </w:p>
    <w:p w14:paraId="45697760">
      <w:pPr>
        <w:numPr>
          <w:ilvl w:val="0"/>
          <w:numId w:val="47"/>
        </w:numPr>
        <w:spacing w:before="0" w:beforeAutospacing="1" w:after="0" w:afterAutospacing="1"/>
        <w:ind w:left="720" w:hanging="360"/>
      </w:pPr>
      <w:r>
        <w:t>每年委托第三方进行环保检测（噪声、固废处置合规性），确保符合国家和地方环保标准。</w:t>
      </w:r>
    </w:p>
    <w:p w14:paraId="2D281EC0">
      <w:pPr>
        <w:pStyle w:val="3"/>
      </w:pPr>
      <w:r>
        <w:t>七、附录</w:t>
      </w:r>
    </w:p>
    <w:p w14:paraId="3E94E5EA">
      <w:pPr>
        <w:pStyle w:val="4"/>
      </w:pPr>
      <w:r>
        <w:t>1. 设备技术参数总表</w:t>
      </w:r>
    </w:p>
    <w:p w14:paraId="34B08730">
      <w:r>
        <w:t>（同第一章1.2节表格内容，此处略）</w:t>
      </w:r>
    </w:p>
    <w:p w14:paraId="09F2B884">
      <w:pPr>
        <w:pStyle w:val="4"/>
      </w:pPr>
      <w:r>
        <w:t>2. 常用备件清单及更换周期</w:t>
      </w:r>
    </w:p>
    <w:tbl>
      <w:tblPr>
        <w:tblStyle w:val="50"/>
        <w:tblW w:w="0" w:type="auto"/>
        <w:tblInd w:w="0" w:type="dxa"/>
        <w:tblLayout w:type="fixed"/>
        <w:tblCellMar>
          <w:top w:w="0" w:type="dxa"/>
          <w:left w:w="0" w:type="dxa"/>
          <w:bottom w:w="0" w:type="dxa"/>
          <w:right w:w="0" w:type="dxa"/>
        </w:tblCellMar>
      </w:tblPr>
      <w:tblGrid>
        <w:gridCol w:w="2160"/>
        <w:gridCol w:w="2160"/>
        <w:gridCol w:w="2160"/>
        <w:gridCol w:w="2160"/>
      </w:tblGrid>
      <w:tr w14:paraId="03C7A2E8">
        <w:tblPrEx>
          <w:tblCellMar>
            <w:top w:w="0" w:type="dxa"/>
            <w:left w:w="0" w:type="dxa"/>
            <w:bottom w:w="0" w:type="dxa"/>
            <w:right w:w="0" w:type="dxa"/>
          </w:tblCellMar>
        </w:tblPrEx>
        <w:tc>
          <w:tcPr>
            <w:tcW w:w="0" w:type="auto"/>
            <w:vAlign w:val="center"/>
          </w:tcPr>
          <w:p w14:paraId="27A60F2D">
            <w:pPr>
              <w:jc w:val="center"/>
              <w:rPr>
                <w:b/>
              </w:rPr>
            </w:pPr>
            <w:r>
              <w:rPr>
                <w:b/>
              </w:rPr>
              <w:t>备件名称</w:t>
            </w:r>
          </w:p>
        </w:tc>
        <w:tc>
          <w:tcPr>
            <w:tcW w:w="0" w:type="auto"/>
            <w:vAlign w:val="center"/>
          </w:tcPr>
          <w:p w14:paraId="1A1A45AE">
            <w:pPr>
              <w:jc w:val="center"/>
              <w:rPr>
                <w:b/>
              </w:rPr>
            </w:pPr>
            <w:r>
              <w:rPr>
                <w:b/>
              </w:rPr>
              <w:t>型号规格</w:t>
            </w:r>
          </w:p>
        </w:tc>
        <w:tc>
          <w:tcPr>
            <w:tcW w:w="0" w:type="auto"/>
            <w:vAlign w:val="center"/>
          </w:tcPr>
          <w:p w14:paraId="7B8FCEEF">
            <w:pPr>
              <w:jc w:val="center"/>
              <w:rPr>
                <w:b/>
              </w:rPr>
            </w:pPr>
            <w:r>
              <w:rPr>
                <w:b/>
              </w:rPr>
              <w:t>更换周期</w:t>
            </w:r>
          </w:p>
        </w:tc>
        <w:tc>
          <w:tcPr>
            <w:tcW w:w="0" w:type="auto"/>
            <w:vAlign w:val="center"/>
          </w:tcPr>
          <w:p w14:paraId="752BBAB3">
            <w:pPr>
              <w:jc w:val="center"/>
              <w:rPr>
                <w:b/>
              </w:rPr>
            </w:pPr>
            <w:r>
              <w:rPr>
                <w:b/>
              </w:rPr>
              <w:t>用途</w:t>
            </w:r>
          </w:p>
        </w:tc>
      </w:tr>
      <w:tr w14:paraId="36F2E762">
        <w:tblPrEx>
          <w:tblCellMar>
            <w:top w:w="0" w:type="dxa"/>
            <w:left w:w="0" w:type="dxa"/>
            <w:bottom w:w="0" w:type="dxa"/>
            <w:right w:w="0" w:type="dxa"/>
          </w:tblCellMar>
        </w:tblPrEx>
        <w:tc>
          <w:tcPr>
            <w:tcW w:w="0" w:type="auto"/>
            <w:vAlign w:val="center"/>
          </w:tcPr>
          <w:p w14:paraId="596F2A5C">
            <w:r>
              <w:t>胀缩油缸密封件</w:t>
            </w:r>
          </w:p>
        </w:tc>
        <w:tc>
          <w:tcPr>
            <w:tcW w:w="0" w:type="auto"/>
            <w:vAlign w:val="center"/>
          </w:tcPr>
          <w:p w14:paraId="5BDE6E10">
            <w:r>
              <w:t>UHS 160×125×12</w:t>
            </w:r>
          </w:p>
        </w:tc>
        <w:tc>
          <w:tcPr>
            <w:tcW w:w="0" w:type="auto"/>
            <w:vAlign w:val="center"/>
          </w:tcPr>
          <w:p w14:paraId="5DE978C8">
            <w:r>
              <w:t>3000小时</w:t>
            </w:r>
          </w:p>
        </w:tc>
        <w:tc>
          <w:tcPr>
            <w:tcW w:w="0" w:type="auto"/>
            <w:vAlign w:val="center"/>
          </w:tcPr>
          <w:p w14:paraId="3AA048AA">
            <w:r>
              <w:t>防止油缸内泄</w:t>
            </w:r>
          </w:p>
        </w:tc>
      </w:tr>
      <w:tr w14:paraId="0AAA9475">
        <w:tblPrEx>
          <w:tblCellMar>
            <w:top w:w="0" w:type="dxa"/>
            <w:left w:w="0" w:type="dxa"/>
            <w:bottom w:w="0" w:type="dxa"/>
            <w:right w:w="0" w:type="dxa"/>
          </w:tblCellMar>
        </w:tblPrEx>
        <w:tc>
          <w:tcPr>
            <w:tcW w:w="0" w:type="auto"/>
            <w:vAlign w:val="center"/>
          </w:tcPr>
          <w:p w14:paraId="3E1E3F5D">
            <w:r>
              <w:t>扇形块</w:t>
            </w:r>
          </w:p>
        </w:tc>
        <w:tc>
          <w:tcPr>
            <w:tcW w:w="0" w:type="auto"/>
            <w:vAlign w:val="center"/>
          </w:tcPr>
          <w:p w14:paraId="2029CAE1">
            <w:r>
              <w:t>42CrMo，4块/组</w:t>
            </w:r>
          </w:p>
        </w:tc>
        <w:tc>
          <w:tcPr>
            <w:tcW w:w="0" w:type="auto"/>
            <w:vAlign w:val="center"/>
          </w:tcPr>
          <w:p w14:paraId="132D94F6">
            <w:r>
              <w:t>20000小时</w:t>
            </w:r>
          </w:p>
        </w:tc>
        <w:tc>
          <w:tcPr>
            <w:tcW w:w="0" w:type="auto"/>
            <w:vAlign w:val="center"/>
          </w:tcPr>
          <w:p w14:paraId="40DF17DD">
            <w:r>
              <w:t>支撑卷材内孔</w:t>
            </w:r>
          </w:p>
        </w:tc>
      </w:tr>
      <w:tr w14:paraId="1D608584">
        <w:tc>
          <w:tcPr>
            <w:tcW w:w="0" w:type="auto"/>
            <w:vAlign w:val="center"/>
          </w:tcPr>
          <w:p w14:paraId="3A759565">
            <w:r>
              <w:t>制动器刹车片</w:t>
            </w:r>
          </w:p>
        </w:tc>
        <w:tc>
          <w:tcPr>
            <w:tcW w:w="0" w:type="auto"/>
            <w:vAlign w:val="center"/>
          </w:tcPr>
          <w:p w14:paraId="6E9F081F">
            <w:r>
              <w:t>无石棉摩擦材料，厚度8mm</w:t>
            </w:r>
          </w:p>
        </w:tc>
        <w:tc>
          <w:tcPr>
            <w:tcW w:w="0" w:type="auto"/>
            <w:vAlign w:val="center"/>
          </w:tcPr>
          <w:p w14:paraId="3F123CC2">
            <w:r>
              <w:t>800小时</w:t>
            </w:r>
          </w:p>
        </w:tc>
        <w:tc>
          <w:tcPr>
            <w:tcW w:w="0" w:type="auto"/>
            <w:vAlign w:val="center"/>
          </w:tcPr>
          <w:p w14:paraId="120B18F0">
            <w:r>
              <w:t>提供制动力矩</w:t>
            </w:r>
          </w:p>
        </w:tc>
      </w:tr>
      <w:tr w14:paraId="3A93EE17">
        <w:tblPrEx>
          <w:tblCellMar>
            <w:top w:w="0" w:type="dxa"/>
            <w:left w:w="0" w:type="dxa"/>
            <w:bottom w:w="0" w:type="dxa"/>
            <w:right w:w="0" w:type="dxa"/>
          </w:tblCellMar>
        </w:tblPrEx>
        <w:tc>
          <w:tcPr>
            <w:tcW w:w="0" w:type="auto"/>
            <w:vAlign w:val="center"/>
          </w:tcPr>
          <w:p w14:paraId="2DBE594E">
            <w:r>
              <w:t>编码器</w:t>
            </w:r>
          </w:p>
        </w:tc>
        <w:tc>
          <w:tcPr>
            <w:tcW w:w="0" w:type="auto"/>
            <w:vAlign w:val="center"/>
          </w:tcPr>
          <w:p w14:paraId="6B7F8908">
            <w:r>
              <w:t>1024线，增量式</w:t>
            </w:r>
          </w:p>
        </w:tc>
        <w:tc>
          <w:tcPr>
            <w:tcW w:w="0" w:type="auto"/>
            <w:vAlign w:val="center"/>
          </w:tcPr>
          <w:p w14:paraId="2B1F2549">
            <w:r>
              <w:t>20000小时</w:t>
            </w:r>
          </w:p>
        </w:tc>
        <w:tc>
          <w:tcPr>
            <w:tcW w:w="0" w:type="auto"/>
            <w:vAlign w:val="center"/>
          </w:tcPr>
          <w:p w14:paraId="02634C8D">
            <w:r>
              <w:t>测量电机转速</w:t>
            </w:r>
          </w:p>
        </w:tc>
      </w:tr>
      <w:tr w14:paraId="4F18A736">
        <w:tblPrEx>
          <w:tblCellMar>
            <w:top w:w="0" w:type="dxa"/>
            <w:left w:w="0" w:type="dxa"/>
            <w:bottom w:w="0" w:type="dxa"/>
            <w:right w:w="0" w:type="dxa"/>
          </w:tblCellMar>
        </w:tblPrEx>
        <w:tc>
          <w:tcPr>
            <w:tcW w:w="0" w:type="auto"/>
            <w:vAlign w:val="center"/>
          </w:tcPr>
          <w:p w14:paraId="46A7D68F">
            <w:r>
              <w:t>张力传感器</w:t>
            </w:r>
          </w:p>
        </w:tc>
        <w:tc>
          <w:tcPr>
            <w:tcW w:w="0" w:type="auto"/>
            <w:vAlign w:val="center"/>
          </w:tcPr>
          <w:p w14:paraId="6BD09B08">
            <w:r>
              <w:t>0-100kN，拉压力型</w:t>
            </w:r>
          </w:p>
        </w:tc>
        <w:tc>
          <w:tcPr>
            <w:tcW w:w="0" w:type="auto"/>
            <w:vAlign w:val="center"/>
          </w:tcPr>
          <w:p w14:paraId="1F41310F">
            <w:r>
              <w:t>15000小时</w:t>
            </w:r>
          </w:p>
        </w:tc>
        <w:tc>
          <w:tcPr>
            <w:tcW w:w="0" w:type="auto"/>
            <w:vAlign w:val="center"/>
          </w:tcPr>
          <w:p w14:paraId="4D586FFB">
            <w:r>
              <w:t>测量带材张力</w:t>
            </w:r>
          </w:p>
        </w:tc>
      </w:tr>
      <w:tr w14:paraId="2933AA92">
        <w:tblPrEx>
          <w:tblCellMar>
            <w:top w:w="0" w:type="dxa"/>
            <w:left w:w="0" w:type="dxa"/>
            <w:bottom w:w="0" w:type="dxa"/>
            <w:right w:w="0" w:type="dxa"/>
          </w:tblCellMar>
        </w:tblPrEx>
        <w:tc>
          <w:tcPr>
            <w:tcW w:w="0" w:type="auto"/>
            <w:vAlign w:val="center"/>
          </w:tcPr>
          <w:p w14:paraId="73FA433F">
            <w:r>
              <w:t>液压油</w:t>
            </w:r>
          </w:p>
        </w:tc>
        <w:tc>
          <w:tcPr>
            <w:tcW w:w="0" w:type="auto"/>
            <w:vAlign w:val="center"/>
          </w:tcPr>
          <w:p w14:paraId="21729890">
            <w:r>
              <w:t>N46抗磨液压油</w:t>
            </w:r>
          </w:p>
        </w:tc>
        <w:tc>
          <w:tcPr>
            <w:tcW w:w="0" w:type="auto"/>
            <w:vAlign w:val="center"/>
          </w:tcPr>
          <w:p w14:paraId="4E1A4049">
            <w:r>
              <w:t>6000小时</w:t>
            </w:r>
          </w:p>
        </w:tc>
        <w:tc>
          <w:tcPr>
            <w:tcW w:w="0" w:type="auto"/>
            <w:vAlign w:val="center"/>
          </w:tcPr>
          <w:p w14:paraId="486A64A9">
            <w:r>
              <w:t>液压系统动力介质</w:t>
            </w:r>
          </w:p>
        </w:tc>
      </w:tr>
      <w:tr w14:paraId="2C08AF4E">
        <w:tc>
          <w:tcPr>
            <w:tcW w:w="0" w:type="auto"/>
            <w:vAlign w:val="center"/>
          </w:tcPr>
          <w:p w14:paraId="55BAF98C">
            <w:r>
              <w:t>齿轮油</w:t>
            </w:r>
          </w:p>
        </w:tc>
        <w:tc>
          <w:tcPr>
            <w:tcW w:w="0" w:type="auto"/>
            <w:vAlign w:val="center"/>
          </w:tcPr>
          <w:p w14:paraId="11579DCE">
            <w:r>
              <w:t>N460极压工业齿轮油</w:t>
            </w:r>
          </w:p>
        </w:tc>
        <w:tc>
          <w:tcPr>
            <w:tcW w:w="0" w:type="auto"/>
            <w:vAlign w:val="center"/>
          </w:tcPr>
          <w:p w14:paraId="624D7E2D">
            <w:r>
              <w:t>8000小时</w:t>
            </w:r>
          </w:p>
        </w:tc>
        <w:tc>
          <w:tcPr>
            <w:tcW w:w="0" w:type="auto"/>
            <w:vAlign w:val="center"/>
          </w:tcPr>
          <w:p w14:paraId="4C0695BC">
            <w:r>
              <w:t>齿轮箱润滑</w:t>
            </w:r>
          </w:p>
        </w:tc>
      </w:tr>
      <w:tr w14:paraId="7B00A728">
        <w:tblPrEx>
          <w:tblCellMar>
            <w:top w:w="0" w:type="dxa"/>
            <w:left w:w="0" w:type="dxa"/>
            <w:bottom w:w="0" w:type="dxa"/>
            <w:right w:w="0" w:type="dxa"/>
          </w:tblCellMar>
        </w:tblPrEx>
        <w:tc>
          <w:tcPr>
            <w:tcW w:w="0" w:type="auto"/>
            <w:vAlign w:val="center"/>
          </w:tcPr>
          <w:p w14:paraId="1D583523">
            <w:r>
              <w:t>导向辊</w:t>
            </w:r>
          </w:p>
        </w:tc>
        <w:tc>
          <w:tcPr>
            <w:tcW w:w="0" w:type="auto"/>
            <w:vAlign w:val="center"/>
          </w:tcPr>
          <w:p w14:paraId="07BA6082">
            <w:r>
              <w:t>Φ80×1200mm，橡胶包覆</w:t>
            </w:r>
          </w:p>
        </w:tc>
        <w:tc>
          <w:tcPr>
            <w:tcW w:w="0" w:type="auto"/>
            <w:vAlign w:val="center"/>
          </w:tcPr>
          <w:p w14:paraId="2BBAD651">
            <w:r>
              <w:t>10000小时</w:t>
            </w:r>
          </w:p>
        </w:tc>
        <w:tc>
          <w:tcPr>
            <w:tcW w:w="0" w:type="auto"/>
            <w:vAlign w:val="center"/>
          </w:tcPr>
          <w:p w14:paraId="3D8C5C65">
            <w:r>
              <w:t>引导带材运行</w:t>
            </w:r>
          </w:p>
        </w:tc>
      </w:tr>
      <w:tr w14:paraId="47D269C7">
        <w:tblPrEx>
          <w:tblCellMar>
            <w:top w:w="0" w:type="dxa"/>
            <w:left w:w="0" w:type="dxa"/>
            <w:bottom w:w="0" w:type="dxa"/>
            <w:right w:w="0" w:type="dxa"/>
          </w:tblCellMar>
        </w:tblPrEx>
        <w:tc>
          <w:tcPr>
            <w:tcW w:w="0" w:type="auto"/>
            <w:vAlign w:val="center"/>
          </w:tcPr>
          <w:p w14:paraId="24CAB3B5">
            <w:r>
              <w:t>接近开关</w:t>
            </w:r>
          </w:p>
        </w:tc>
        <w:tc>
          <w:tcPr>
            <w:tcW w:w="0" w:type="auto"/>
            <w:vAlign w:val="center"/>
          </w:tcPr>
          <w:p w14:paraId="34BFE7C9">
            <w:r>
              <w:t>NPN，检测距离5mm</w:t>
            </w:r>
          </w:p>
        </w:tc>
        <w:tc>
          <w:tcPr>
            <w:tcW w:w="0" w:type="auto"/>
            <w:vAlign w:val="center"/>
          </w:tcPr>
          <w:p w14:paraId="3E43AA53">
            <w:r>
              <w:t>10000小时</w:t>
            </w:r>
          </w:p>
        </w:tc>
        <w:tc>
          <w:tcPr>
            <w:tcW w:w="0" w:type="auto"/>
            <w:vAlign w:val="center"/>
          </w:tcPr>
          <w:p w14:paraId="06FFBEC4">
            <w:r>
              <w:t>限位检测</w:t>
            </w:r>
          </w:p>
        </w:tc>
      </w:tr>
      <w:tr w14:paraId="6BA42569">
        <w:tblPrEx>
          <w:tblCellMar>
            <w:top w:w="0" w:type="dxa"/>
            <w:left w:w="0" w:type="dxa"/>
            <w:bottom w:w="0" w:type="dxa"/>
            <w:right w:w="0" w:type="dxa"/>
          </w:tblCellMar>
        </w:tblPrEx>
        <w:tc>
          <w:tcPr>
            <w:tcW w:w="0" w:type="auto"/>
            <w:vAlign w:val="center"/>
          </w:tcPr>
          <w:p w14:paraId="4B69766D">
            <w:r>
              <w:t>PLC电池</w:t>
            </w:r>
          </w:p>
        </w:tc>
        <w:tc>
          <w:tcPr>
            <w:tcW w:w="0" w:type="auto"/>
            <w:vAlign w:val="center"/>
          </w:tcPr>
          <w:p w14:paraId="00451840">
            <w:r>
              <w:t>西门子6ES7971-0BA00</w:t>
            </w:r>
          </w:p>
        </w:tc>
        <w:tc>
          <w:tcPr>
            <w:tcW w:w="0" w:type="auto"/>
            <w:vAlign w:val="center"/>
          </w:tcPr>
          <w:p w14:paraId="185AFC11">
            <w:r>
              <w:t>2年</w:t>
            </w:r>
          </w:p>
        </w:tc>
        <w:tc>
          <w:tcPr>
            <w:tcW w:w="0" w:type="auto"/>
            <w:vAlign w:val="center"/>
          </w:tcPr>
          <w:p w14:paraId="442F64D6">
            <w:r>
              <w:t>程序数据备份</w:t>
            </w:r>
          </w:p>
        </w:tc>
      </w:tr>
    </w:tbl>
    <w:p w14:paraId="779C130D">
      <w:pPr>
        <w:pStyle w:val="4"/>
      </w:pPr>
      <w:r>
        <w:t>3. 故障诊断流程图</w:t>
      </w:r>
    </w:p>
    <w:p w14:paraId="0FF6DB6A">
      <w:r>
        <w:rPr>
          <w:b/>
        </w:rPr>
        <w:t>张力波动故障诊断流程</w:t>
      </w:r>
      <w:r>
        <w:t>：</w:t>
      </w:r>
    </w:p>
    <w:p w14:paraId="1671900D">
      <w:pPr>
        <w:numPr>
          <w:ilvl w:val="0"/>
          <w:numId w:val="48"/>
        </w:numPr>
        <w:spacing w:before="0" w:beforeAutospacing="1" w:after="0" w:afterAutospacing="1"/>
        <w:ind w:left="720" w:hanging="360"/>
      </w:pPr>
      <w:r>
        <w:t>故障现象：HMI显示“张力偏差超限”报警（代码E12）→2. 检查实时张力曲线（波动幅度＞±15%）→3. 判断故障类型（传感器故障/卷径错误/PID参数不当）→</w:t>
      </w:r>
    </w:p>
    <w:p w14:paraId="3DDABE2F">
      <w:pPr>
        <w:numPr>
          <w:ilvl w:val="1"/>
          <w:numId w:val="48"/>
        </w:numPr>
        <w:spacing w:before="0" w:beforeAutospacing="1" w:after="0" w:afterAutospacing="1"/>
        <w:ind w:left="1440" w:hanging="360"/>
      </w:pPr>
      <w:r>
        <w:t>传感器故障：4. 检查传感器电缆（通断、屏蔽）→5. 校准传感器（标准砝码测试）→6. 更换传感器（若校准无效）→7. 复位报警，测试张力波动≤±5%；</w:t>
      </w:r>
    </w:p>
    <w:p w14:paraId="110E1FC0">
      <w:pPr>
        <w:numPr>
          <w:ilvl w:val="1"/>
          <w:numId w:val="48"/>
        </w:numPr>
        <w:spacing w:before="0" w:beforeAutospacing="1" w:after="0" w:afterAutospacing="1"/>
        <w:ind w:left="1440" w:hanging="360"/>
      </w:pPr>
      <w:r>
        <w:t>卷径错误：4. 检查编码器信号（A/B相脉冲）→5. 核对带材厚度参数→6. 启用卷径补偿算法→7. 测试卷径计算误差≤±2%；</w:t>
      </w:r>
    </w:p>
    <w:p w14:paraId="1135F7DD">
      <w:pPr>
        <w:numPr>
          <w:ilvl w:val="1"/>
          <w:numId w:val="48"/>
        </w:numPr>
        <w:spacing w:before="0" w:beforeAutospacing="1" w:after="0" w:afterAutospacing="1"/>
        <w:ind w:left="1440" w:hanging="360"/>
      </w:pPr>
      <w:r>
        <w:t>PID参数不当：4. 进入PID自整定模式→5. 优化Kp、Ti、Td参数→6. 启用动态补偿→7. 测试张力波动≤±5%。</w:t>
      </w:r>
    </w:p>
    <w:p w14:paraId="14525D0C">
      <w:r>
        <w:rPr>
          <w:b/>
        </w:rPr>
        <w:t>卷筒胀缩故障诊断流程</w:t>
      </w:r>
      <w:r>
        <w:t>：</w:t>
      </w:r>
    </w:p>
    <w:p w14:paraId="53832696">
      <w:pPr>
        <w:numPr>
          <w:ilvl w:val="0"/>
          <w:numId w:val="49"/>
        </w:numPr>
        <w:spacing w:before="0" w:beforeAutospacing="1" w:after="0" w:afterAutospacing="1"/>
        <w:ind w:left="720" w:hanging="360"/>
      </w:pPr>
      <w:r>
        <w:t>故障现象：扇形块无法胀紧/收缩，HMI显示“胀缩到位信号丢失”（代码E05）→2. 测量液压站压力（应≥15MPa）→</w:t>
      </w:r>
    </w:p>
    <w:p w14:paraId="3D381EF7">
      <w:pPr>
        <w:numPr>
          <w:ilvl w:val="1"/>
          <w:numId w:val="49"/>
        </w:numPr>
        <w:spacing w:before="0" w:beforeAutospacing="1" w:after="0" w:afterAutospacing="1"/>
        <w:ind w:left="1440" w:hanging="360"/>
      </w:pPr>
      <w:r>
        <w:t>压力不足：3. 检查液压泵流量（20L/min）→4. 调整溢流阀压力至15MPa→5. 更换液压油（污染度超标时）；</w:t>
      </w:r>
    </w:p>
    <w:p w14:paraId="78224A13">
      <w:pPr>
        <w:numPr>
          <w:ilvl w:val="1"/>
          <w:numId w:val="49"/>
        </w:numPr>
        <w:spacing w:before="0" w:beforeAutospacing="1" w:after="0" w:afterAutospacing="1"/>
        <w:ind w:left="1440" w:hanging="360"/>
      </w:pPr>
      <w:r>
        <w:t>压力正常：3. 手动盘动胀缩油缸（检查卡滞）→4. 清理导向槽铁屑并润滑→5. 校准位置传感器→6. 测试胀缩动作（同步误差≤0.1mm）。</w:t>
      </w:r>
    </w:p>
    <w:p w14:paraId="0B1107AE">
      <w:r>
        <w:rPr>
          <w:b/>
        </w:rPr>
        <w:t>传动异响故障诊断流程</w:t>
      </w:r>
      <w:r>
        <w:t>：</w:t>
      </w:r>
    </w:p>
    <w:p w14:paraId="465CC41A">
      <w:pPr>
        <w:numPr>
          <w:ilvl w:val="0"/>
          <w:numId w:val="50"/>
        </w:numPr>
        <w:spacing w:before="0" w:beforeAutospacing="1" w:after="0" w:afterAutospacing="1"/>
        <w:ind w:left="720" w:hanging="360"/>
      </w:pPr>
      <w:r>
        <w:t>故障现象：传动系统异响，振动加速度＞15m/s²→2. 用听诊器定位噪音源（齿轮箱/轴承座）→</w:t>
      </w:r>
    </w:p>
    <w:p w14:paraId="3A93C86C">
      <w:pPr>
        <w:numPr>
          <w:ilvl w:val="1"/>
          <w:numId w:val="50"/>
        </w:numPr>
        <w:spacing w:before="0" w:beforeAutospacing="1" w:after="0" w:afterAutospacing="1"/>
        <w:ind w:left="1440" w:hanging="360"/>
      </w:pPr>
      <w:r>
        <w:t>齿轮箱噪音：3. 油液铁谱分析（检查金属颗粒）→4. 解体检查齿轮磨损→5. 更换齿轮副并更换齿轮油；</w:t>
      </w:r>
    </w:p>
    <w:p w14:paraId="364D7179">
      <w:pPr>
        <w:numPr>
          <w:ilvl w:val="1"/>
          <w:numId w:val="50"/>
        </w:numPr>
        <w:spacing w:before="0" w:beforeAutospacing="1" w:after="0" w:afterAutospacing="1"/>
        <w:ind w:left="1440" w:hanging="360"/>
      </w:pPr>
      <w:r>
        <w:t>轴承噪音：3. 测量轴承温度（＞60℃）→4. 检查轴承游隙（＞0.1mm）→5. 更换轴承并重新对中→6. 测试振动加速度≤4.5m/s²。</w:t>
      </w:r>
    </w:p>
    <w:p w14:paraId="1BE6C426">
      <w:pPr>
        <w:pStyle w:val="31"/>
        <w:bidi w:val="0"/>
        <w:rPr>
          <w:rFonts w:hint="eastAsia"/>
          <w:lang w:val="en-US" w:eastAsia="zh-CN"/>
        </w:rPr>
      </w:pPr>
    </w:p>
    <w:bookmarkEnd w:id="0"/>
    <w:bookmarkEnd w:id="1"/>
    <w:sectPr>
      <w:pgBorders>
        <w:top w:val="none" w:sz="0" w:space="0"/>
        <w:left w:val="none" w:sz="0" w:space="0"/>
        <w:bottom w:val="none" w:sz="0" w:space="0"/>
        <w:right w:val="none" w:sz="0" w:space="0"/>
      </w:pgBorders>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80"/>
      </w:pPr>
      <w:r>
        <w:separator/>
      </w:r>
    </w:p>
  </w:endnote>
  <w:endnote w:type="continuationSeparator" w:id="1">
    <w:p>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微软雅黑">
    <w:altName w:val="汉仪旗黑KW 55S"/>
    <w:panose1 w:val="020B0503020204020204"/>
    <w:charset w:val="86"/>
    <w:family w:val="auto"/>
    <w:pitch w:val="default"/>
    <w:sig w:usb0="00000000" w:usb1="00000000" w:usb2="00000016" w:usb3="00000000" w:csb0="0004001F" w:csb1="00000000"/>
  </w:font>
  <w:font w:name="汉仪旗黑KW 55S">
    <w:panose1 w:val="00020600040101010101"/>
    <w:charset w:val="86"/>
    <w:family w:val="auto"/>
    <w:pitch w:val="default"/>
    <w:sig w:usb0="A00002BF" w:usb1="3ACF7CFA" w:usb2="00000016" w:usb3="00000000" w:csb0="0004009F" w:csb1="DFD70000"/>
  </w:font>
  <w:font w:name="Cambria">
    <w:altName w:val="Georgia"/>
    <w:panose1 w:val="02040503050406030204"/>
    <w:charset w:val="86"/>
    <w:family w:val="auto"/>
    <w:pitch w:val="default"/>
    <w:sig w:usb0="00000000" w:usb1="00000000" w:usb2="02000000" w:usb3="00000000" w:csb0="2000019F" w:csb1="00000000"/>
  </w:font>
  <w:font w:name="Georgia">
    <w:panose1 w:val="02040502050405020303"/>
    <w:charset w:val="00"/>
    <w:family w:val="auto"/>
    <w:pitch w:val="default"/>
    <w:sig w:usb0="00000287" w:usb1="00000000" w:usb2="00000000" w:usb3="00000000" w:csb0="2000009F" w:csb1="00000000"/>
  </w:font>
  <w:font w:name="Copperplate">
    <w:altName w:val="仓耳屏显楷体 W04"/>
    <w:panose1 w:val="02000504000000020004"/>
    <w:charset w:val="00"/>
    <w:family w:val="auto"/>
    <w:pitch w:val="default"/>
    <w:sig w:usb0="00000000" w:usb1="00000000" w:usb2="00000000" w:usb3="00000000" w:csb0="20000111" w:csb1="40000000"/>
  </w:font>
  <w:font w:name="仓耳屏显楷体 W04">
    <w:panose1 w:val="02020400000000000000"/>
    <w:charset w:val="86"/>
    <w:family w:val="auto"/>
    <w:pitch w:val="default"/>
    <w:sig w:usb0="80000003" w:usb1="08012000" w:usb2="00000012" w:usb3="00000000" w:csb0="00040001" w:csb1="00000000"/>
  </w:font>
  <w:font w:name="DejaVu Sans">
    <w:panose1 w:val="020B0603030804020204"/>
    <w:charset w:val="00"/>
    <w:family w:val="auto"/>
    <w:pitch w:val="default"/>
    <w:sig w:usb0="E7006EFF" w:usb1="D200FDFF" w:usb2="0A246029" w:usb3="0400200C" w:csb0="600001FF" w:csb1="D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ind w:firstLine="480"/>
      </w:pPr>
      <w:r>
        <w:separator/>
      </w:r>
    </w:p>
  </w:footnote>
  <w:footnote w:type="continuationSeparator" w:id="1">
    <w:p>
      <w:pPr>
        <w:spacing w:before="0" w:after="0"/>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B7E4BB7"/>
    <w:multiLevelType w:val="singleLevel"/>
    <w:tmpl w:val="9B7E4BB7"/>
    <w:lvl w:ilvl="0" w:tentative="0">
      <w:start w:val="1"/>
      <w:numFmt w:val="bullet"/>
      <w:lvlText w:val=""/>
      <w:lvlJc w:val="left"/>
      <w:pPr>
        <w:ind w:left="720" w:hanging="360"/>
      </w:pPr>
      <w:rPr>
        <w:rFonts w:hint="default" w:ascii="Symbol" w:hAnsi="Symbol" w:cs="Symbol"/>
        <w:sz w:val="20"/>
      </w:rPr>
    </w:lvl>
  </w:abstractNum>
  <w:abstractNum w:abstractNumId="1">
    <w:nsid w:val="9EDFFD9A"/>
    <w:multiLevelType w:val="singleLevel"/>
    <w:tmpl w:val="9EDFFD9A"/>
    <w:lvl w:ilvl="0" w:tentative="0">
      <w:start w:val="1"/>
      <w:numFmt w:val="decimal"/>
      <w:lvlText w:val="%1."/>
      <w:lvlJc w:val="left"/>
      <w:pPr>
        <w:ind w:left="720" w:hanging="360"/>
      </w:pPr>
      <w:rPr>
        <w:sz w:val="24"/>
      </w:rPr>
    </w:lvl>
  </w:abstractNum>
  <w:abstractNum w:abstractNumId="2">
    <w:nsid w:val="A3F69631"/>
    <w:multiLevelType w:val="singleLevel"/>
    <w:tmpl w:val="A3F69631"/>
    <w:lvl w:ilvl="0" w:tentative="0">
      <w:start w:val="1"/>
      <w:numFmt w:val="decimal"/>
      <w:lvlText w:val="%1."/>
      <w:lvlJc w:val="left"/>
      <w:pPr>
        <w:ind w:left="720" w:hanging="360"/>
      </w:pPr>
      <w:rPr>
        <w:sz w:val="24"/>
      </w:rPr>
    </w:lvl>
  </w:abstractNum>
  <w:abstractNum w:abstractNumId="3">
    <w:nsid w:val="A7E456F9"/>
    <w:multiLevelType w:val="singleLevel"/>
    <w:tmpl w:val="A7E456F9"/>
    <w:lvl w:ilvl="0" w:tentative="0">
      <w:start w:val="1"/>
      <w:numFmt w:val="decimal"/>
      <w:pStyle w:val="37"/>
      <w:lvlText w:val="%1."/>
      <w:lvlJc w:val="left"/>
      <w:pPr>
        <w:tabs>
          <w:tab w:val="left" w:pos="2040"/>
        </w:tabs>
        <w:ind w:left="2040" w:hanging="360"/>
      </w:pPr>
    </w:lvl>
  </w:abstractNum>
  <w:abstractNum w:abstractNumId="4">
    <w:nsid w:val="B1B9B92F"/>
    <w:multiLevelType w:val="singleLevel"/>
    <w:tmpl w:val="B1B9B92F"/>
    <w:lvl w:ilvl="0" w:tentative="0">
      <w:start w:val="1"/>
      <w:numFmt w:val="bullet"/>
      <w:pStyle w:val="15"/>
      <w:lvlText w:val=""/>
      <w:lvlJc w:val="left"/>
      <w:pPr>
        <w:tabs>
          <w:tab w:val="left" w:pos="1620"/>
        </w:tabs>
        <w:ind w:left="1620" w:hanging="360"/>
      </w:pPr>
      <w:rPr>
        <w:rFonts w:hint="default" w:ascii="Wingdings" w:hAnsi="Wingdings"/>
      </w:rPr>
    </w:lvl>
  </w:abstractNum>
  <w:abstractNum w:abstractNumId="5">
    <w:nsid w:val="B56256C7"/>
    <w:multiLevelType w:val="singleLevel"/>
    <w:tmpl w:val="B56256C7"/>
    <w:lvl w:ilvl="0" w:tentative="0">
      <w:start w:val="1"/>
      <w:numFmt w:val="bullet"/>
      <w:lvlText w:val=""/>
      <w:lvlJc w:val="left"/>
      <w:pPr>
        <w:ind w:left="720" w:hanging="360"/>
      </w:pPr>
      <w:rPr>
        <w:rFonts w:hint="default" w:ascii="Symbol" w:hAnsi="Symbol" w:cs="Symbol"/>
        <w:sz w:val="20"/>
      </w:rPr>
    </w:lvl>
  </w:abstractNum>
  <w:abstractNum w:abstractNumId="6">
    <w:nsid w:val="B7BA28C9"/>
    <w:multiLevelType w:val="singleLevel"/>
    <w:tmpl w:val="B7BA28C9"/>
    <w:lvl w:ilvl="0" w:tentative="0">
      <w:start w:val="1"/>
      <w:numFmt w:val="decimal"/>
      <w:pStyle w:val="28"/>
      <w:lvlText w:val="%1."/>
      <w:lvlJc w:val="left"/>
      <w:pPr>
        <w:tabs>
          <w:tab w:val="left" w:pos="1620"/>
        </w:tabs>
        <w:ind w:left="1620" w:hanging="360"/>
      </w:pPr>
    </w:lvl>
  </w:abstractNum>
  <w:abstractNum w:abstractNumId="7">
    <w:nsid w:val="BC5BB699"/>
    <w:multiLevelType w:val="singleLevel"/>
    <w:tmpl w:val="BC5BB699"/>
    <w:lvl w:ilvl="0" w:tentative="0">
      <w:start w:val="1"/>
      <w:numFmt w:val="bullet"/>
      <w:lvlText w:val=""/>
      <w:lvlJc w:val="left"/>
      <w:pPr>
        <w:ind w:left="720" w:hanging="360"/>
      </w:pPr>
      <w:rPr>
        <w:rFonts w:hint="default" w:ascii="Symbol" w:hAnsi="Symbol" w:cs="Symbol"/>
        <w:sz w:val="20"/>
      </w:rPr>
    </w:lvl>
  </w:abstractNum>
  <w:abstractNum w:abstractNumId="8">
    <w:nsid w:val="BDD7622E"/>
    <w:multiLevelType w:val="singleLevel"/>
    <w:tmpl w:val="BDD7622E"/>
    <w:lvl w:ilvl="0" w:tentative="0">
      <w:start w:val="1"/>
      <w:numFmt w:val="bullet"/>
      <w:lvlText w:val=""/>
      <w:lvlJc w:val="left"/>
      <w:pPr>
        <w:ind w:left="720" w:hanging="360"/>
      </w:pPr>
      <w:rPr>
        <w:rFonts w:hint="default" w:ascii="Symbol" w:hAnsi="Symbol" w:cs="Symbol"/>
        <w:sz w:val="20"/>
      </w:rPr>
    </w:lvl>
  </w:abstractNum>
  <w:abstractNum w:abstractNumId="9">
    <w:nsid w:val="BF0DE6F3"/>
    <w:multiLevelType w:val="singleLevel"/>
    <w:tmpl w:val="BF0DE6F3"/>
    <w:lvl w:ilvl="0" w:tentative="0">
      <w:start w:val="1"/>
      <w:numFmt w:val="bullet"/>
      <w:lvlText w:val=""/>
      <w:lvlJc w:val="left"/>
      <w:pPr>
        <w:ind w:left="720" w:hanging="360"/>
      </w:pPr>
      <w:rPr>
        <w:rFonts w:hint="default" w:ascii="Symbol" w:hAnsi="Symbol" w:cs="Symbol"/>
        <w:sz w:val="20"/>
      </w:rPr>
    </w:lvl>
  </w:abstractNum>
  <w:abstractNum w:abstractNumId="10">
    <w:nsid w:val="BF163F53"/>
    <w:multiLevelType w:val="singleLevel"/>
    <w:tmpl w:val="BF163F53"/>
    <w:lvl w:ilvl="0" w:tentative="0">
      <w:start w:val="1"/>
      <w:numFmt w:val="decimal"/>
      <w:lvlText w:val="%1."/>
      <w:lvlJc w:val="left"/>
      <w:pPr>
        <w:ind w:left="720" w:hanging="360"/>
      </w:pPr>
      <w:rPr>
        <w:sz w:val="24"/>
      </w:rPr>
    </w:lvl>
  </w:abstractNum>
  <w:abstractNum w:abstractNumId="11">
    <w:nsid w:val="CD673CA5"/>
    <w:multiLevelType w:val="singleLevel"/>
    <w:tmpl w:val="CD673CA5"/>
    <w:lvl w:ilvl="0" w:tentative="0">
      <w:start w:val="1"/>
      <w:numFmt w:val="bullet"/>
      <w:lvlText w:val=""/>
      <w:lvlJc w:val="left"/>
      <w:pPr>
        <w:ind w:left="720" w:hanging="360"/>
      </w:pPr>
      <w:rPr>
        <w:rFonts w:hint="default" w:ascii="Symbol" w:hAnsi="Symbol" w:cs="Symbol"/>
        <w:sz w:val="20"/>
      </w:rPr>
    </w:lvl>
  </w:abstractNum>
  <w:abstractNum w:abstractNumId="12">
    <w:nsid w:val="CEDF16DE"/>
    <w:multiLevelType w:val="singleLevel"/>
    <w:tmpl w:val="CEDF16DE"/>
    <w:lvl w:ilvl="0" w:tentative="0">
      <w:start w:val="1"/>
      <w:numFmt w:val="bullet"/>
      <w:lvlText w:val=""/>
      <w:lvlJc w:val="left"/>
      <w:pPr>
        <w:ind w:left="720" w:hanging="360"/>
      </w:pPr>
      <w:rPr>
        <w:rFonts w:hint="default" w:ascii="Symbol" w:hAnsi="Symbol" w:cs="Symbol"/>
        <w:sz w:val="20"/>
      </w:rPr>
    </w:lvl>
  </w:abstractNum>
  <w:abstractNum w:abstractNumId="13">
    <w:nsid w:val="CFBE5072"/>
    <w:multiLevelType w:val="singleLevel"/>
    <w:tmpl w:val="CFBE5072"/>
    <w:lvl w:ilvl="0" w:tentative="0">
      <w:start w:val="1"/>
      <w:numFmt w:val="bullet"/>
      <w:lvlText w:val=""/>
      <w:lvlJc w:val="left"/>
      <w:pPr>
        <w:ind w:left="720" w:hanging="360"/>
      </w:pPr>
      <w:rPr>
        <w:rFonts w:hint="default" w:ascii="Symbol" w:hAnsi="Symbol" w:cs="Symbol"/>
        <w:sz w:val="20"/>
      </w:rPr>
    </w:lvl>
  </w:abstractNum>
  <w:abstractNum w:abstractNumId="14">
    <w:nsid w:val="D7FE39E5"/>
    <w:multiLevelType w:val="singleLevel"/>
    <w:tmpl w:val="D7FE39E5"/>
    <w:lvl w:ilvl="0" w:tentative="0">
      <w:start w:val="1"/>
      <w:numFmt w:val="decimal"/>
      <w:lvlText w:val="%1."/>
      <w:lvlJc w:val="left"/>
      <w:pPr>
        <w:ind w:left="720" w:hanging="360"/>
      </w:pPr>
      <w:rPr>
        <w:sz w:val="24"/>
      </w:rPr>
    </w:lvl>
  </w:abstractNum>
  <w:abstractNum w:abstractNumId="15">
    <w:nsid w:val="DD7B678D"/>
    <w:multiLevelType w:val="singleLevel"/>
    <w:tmpl w:val="DD7B678D"/>
    <w:lvl w:ilvl="0" w:tentative="0">
      <w:start w:val="1"/>
      <w:numFmt w:val="bullet"/>
      <w:lvlText w:val=""/>
      <w:lvlJc w:val="left"/>
      <w:pPr>
        <w:ind w:left="720" w:hanging="360"/>
      </w:pPr>
      <w:rPr>
        <w:rFonts w:hint="default" w:ascii="Symbol" w:hAnsi="Symbol" w:cs="Symbol"/>
        <w:sz w:val="20"/>
      </w:rPr>
    </w:lvl>
  </w:abstractNum>
  <w:abstractNum w:abstractNumId="16">
    <w:nsid w:val="EBFB53A7"/>
    <w:multiLevelType w:val="singleLevel"/>
    <w:tmpl w:val="EBFB53A7"/>
    <w:lvl w:ilvl="0" w:tentative="0">
      <w:start w:val="1"/>
      <w:numFmt w:val="bullet"/>
      <w:lvlText w:val=""/>
      <w:lvlJc w:val="left"/>
      <w:pPr>
        <w:ind w:left="720" w:hanging="360"/>
      </w:pPr>
      <w:rPr>
        <w:rFonts w:hint="default" w:ascii="Symbol" w:hAnsi="Symbol" w:cs="Symbol"/>
        <w:sz w:val="20"/>
      </w:rPr>
    </w:lvl>
  </w:abstractNum>
  <w:abstractNum w:abstractNumId="17">
    <w:nsid w:val="ECEA3100"/>
    <w:multiLevelType w:val="singleLevel"/>
    <w:tmpl w:val="ECEA3100"/>
    <w:lvl w:ilvl="0" w:tentative="0">
      <w:start w:val="1"/>
      <w:numFmt w:val="bullet"/>
      <w:lvlText w:val=""/>
      <w:lvlJc w:val="left"/>
      <w:pPr>
        <w:ind w:left="720" w:hanging="360"/>
      </w:pPr>
      <w:rPr>
        <w:rFonts w:hint="default" w:ascii="Symbol" w:hAnsi="Symbol" w:cs="Symbol"/>
        <w:sz w:val="20"/>
      </w:rPr>
    </w:lvl>
  </w:abstractNum>
  <w:abstractNum w:abstractNumId="18">
    <w:nsid w:val="F2EB5FA5"/>
    <w:multiLevelType w:val="multilevel"/>
    <w:tmpl w:val="F2EB5FA5"/>
    <w:lvl w:ilvl="0" w:tentative="0">
      <w:start w:val="1"/>
      <w:numFmt w:val="decimal"/>
      <w:lvlText w:val="%1."/>
      <w:lvlJc w:val="left"/>
      <w:pPr>
        <w:ind w:left="720" w:hanging="360"/>
      </w:pPr>
      <w:rPr>
        <w:sz w:val="24"/>
      </w:rPr>
    </w:lvl>
    <w:lvl w:ilvl="1" w:tentative="0">
      <w:start w:val="1"/>
      <w:numFmt w:val="bullet"/>
      <w:lvlText w:val="o"/>
      <w:lvlJc w:val="left"/>
      <w:pPr>
        <w:ind w:left="1440" w:hanging="360"/>
      </w:pPr>
      <w:rPr>
        <w:rFonts w:hint="default" w:ascii="Courier New" w:hAnsi="Courier New" w:cs="Courier New"/>
        <w:sz w:val="20"/>
      </w:rPr>
    </w:lvl>
  </w:abstractNum>
  <w:abstractNum w:abstractNumId="19">
    <w:nsid w:val="F40B8A9B"/>
    <w:multiLevelType w:val="singleLevel"/>
    <w:tmpl w:val="F40B8A9B"/>
    <w:lvl w:ilvl="0" w:tentative="0">
      <w:start w:val="1"/>
      <w:numFmt w:val="bullet"/>
      <w:lvlText w:val=""/>
      <w:lvlJc w:val="left"/>
      <w:pPr>
        <w:ind w:left="720" w:hanging="360"/>
      </w:pPr>
      <w:rPr>
        <w:rFonts w:hint="default" w:ascii="Symbol" w:hAnsi="Symbol" w:cs="Symbol"/>
        <w:sz w:val="20"/>
      </w:rPr>
    </w:lvl>
  </w:abstractNum>
  <w:abstractNum w:abstractNumId="20">
    <w:nsid w:val="F47960A0"/>
    <w:multiLevelType w:val="singleLevel"/>
    <w:tmpl w:val="F47960A0"/>
    <w:lvl w:ilvl="0" w:tentative="0">
      <w:start w:val="1"/>
      <w:numFmt w:val="decimal"/>
      <w:pStyle w:val="22"/>
      <w:lvlText w:val="%1."/>
      <w:lvlJc w:val="left"/>
      <w:pPr>
        <w:tabs>
          <w:tab w:val="left" w:pos="1200"/>
        </w:tabs>
        <w:ind w:left="1200" w:hanging="360"/>
      </w:pPr>
    </w:lvl>
  </w:abstractNum>
  <w:abstractNum w:abstractNumId="21">
    <w:nsid w:val="F77E7B21"/>
    <w:multiLevelType w:val="singleLevel"/>
    <w:tmpl w:val="F77E7B21"/>
    <w:lvl w:ilvl="0" w:tentative="0">
      <w:start w:val="1"/>
      <w:numFmt w:val="bullet"/>
      <w:lvlText w:val=""/>
      <w:lvlJc w:val="left"/>
      <w:pPr>
        <w:ind w:left="720" w:hanging="360"/>
      </w:pPr>
      <w:rPr>
        <w:rFonts w:hint="default" w:ascii="Symbol" w:hAnsi="Symbol" w:cs="Symbol"/>
        <w:sz w:val="20"/>
      </w:rPr>
    </w:lvl>
  </w:abstractNum>
  <w:abstractNum w:abstractNumId="22">
    <w:nsid w:val="F7EF3A5F"/>
    <w:multiLevelType w:val="multilevel"/>
    <w:tmpl w:val="F7EF3A5F"/>
    <w:lvl w:ilvl="0" w:tentative="0">
      <w:start w:val="1"/>
      <w:numFmt w:val="bullet"/>
      <w:lvlText w:val=""/>
      <w:lvlJc w:val="left"/>
      <w:pPr>
        <w:ind w:left="720" w:hanging="360"/>
      </w:pPr>
      <w:rPr>
        <w:rFonts w:hint="default" w:ascii="Symbol" w:hAnsi="Symbol" w:cs="Symbol"/>
        <w:sz w:val="20"/>
      </w:rPr>
    </w:lvl>
    <w:lvl w:ilvl="1" w:tentative="0">
      <w:start w:val="1"/>
      <w:numFmt w:val="bullet"/>
      <w:lvlText w:val="o"/>
      <w:lvlJc w:val="left"/>
      <w:pPr>
        <w:ind w:left="1440" w:hanging="360"/>
      </w:pPr>
      <w:rPr>
        <w:rFonts w:hint="default" w:ascii="Courier New" w:hAnsi="Courier New" w:cs="Courier New"/>
        <w:sz w:val="20"/>
      </w:rPr>
    </w:lvl>
  </w:abstractNum>
  <w:abstractNum w:abstractNumId="23">
    <w:nsid w:val="FACFDEE8"/>
    <w:multiLevelType w:val="singleLevel"/>
    <w:tmpl w:val="FACFDEE8"/>
    <w:lvl w:ilvl="0" w:tentative="0">
      <w:start w:val="1"/>
      <w:numFmt w:val="bullet"/>
      <w:lvlText w:val=""/>
      <w:lvlJc w:val="left"/>
      <w:pPr>
        <w:ind w:left="720" w:hanging="360"/>
      </w:pPr>
      <w:rPr>
        <w:rFonts w:hint="default" w:ascii="Symbol" w:hAnsi="Symbol" w:cs="Symbol"/>
        <w:sz w:val="20"/>
      </w:rPr>
    </w:lvl>
  </w:abstractNum>
  <w:abstractNum w:abstractNumId="24">
    <w:nsid w:val="FBF66A68"/>
    <w:multiLevelType w:val="singleLevel"/>
    <w:tmpl w:val="FBF66A68"/>
    <w:lvl w:ilvl="0" w:tentative="0">
      <w:start w:val="1"/>
      <w:numFmt w:val="bullet"/>
      <w:lvlText w:val=""/>
      <w:lvlJc w:val="left"/>
      <w:pPr>
        <w:ind w:left="720" w:hanging="360"/>
      </w:pPr>
      <w:rPr>
        <w:rFonts w:hint="default" w:ascii="Symbol" w:hAnsi="Symbol" w:cs="Symbol"/>
        <w:sz w:val="20"/>
      </w:rPr>
    </w:lvl>
  </w:abstractNum>
  <w:abstractNum w:abstractNumId="25">
    <w:nsid w:val="FEB58EF3"/>
    <w:multiLevelType w:val="singleLevel"/>
    <w:tmpl w:val="FEB58EF3"/>
    <w:lvl w:ilvl="0" w:tentative="0">
      <w:start w:val="1"/>
      <w:numFmt w:val="bullet"/>
      <w:pStyle w:val="18"/>
      <w:lvlText w:val=""/>
      <w:lvlJc w:val="left"/>
      <w:pPr>
        <w:tabs>
          <w:tab w:val="left" w:pos="360"/>
        </w:tabs>
        <w:ind w:left="360" w:hanging="360"/>
      </w:pPr>
      <w:rPr>
        <w:rFonts w:hint="default" w:ascii="Wingdings" w:hAnsi="Wingdings"/>
      </w:rPr>
    </w:lvl>
  </w:abstractNum>
  <w:abstractNum w:abstractNumId="26">
    <w:nsid w:val="FF3FA0B5"/>
    <w:multiLevelType w:val="singleLevel"/>
    <w:tmpl w:val="FF3FA0B5"/>
    <w:lvl w:ilvl="0" w:tentative="0">
      <w:start w:val="1"/>
      <w:numFmt w:val="bullet"/>
      <w:lvlText w:val=""/>
      <w:lvlJc w:val="left"/>
      <w:pPr>
        <w:ind w:left="720" w:hanging="360"/>
      </w:pPr>
      <w:rPr>
        <w:rFonts w:hint="default" w:ascii="Symbol" w:hAnsi="Symbol" w:cs="Symbol"/>
        <w:sz w:val="20"/>
      </w:rPr>
    </w:lvl>
  </w:abstractNum>
  <w:abstractNum w:abstractNumId="27">
    <w:nsid w:val="FF9AE351"/>
    <w:multiLevelType w:val="singleLevel"/>
    <w:tmpl w:val="FF9AE351"/>
    <w:lvl w:ilvl="0" w:tentative="0">
      <w:start w:val="1"/>
      <w:numFmt w:val="bullet"/>
      <w:lvlText w:val=""/>
      <w:lvlJc w:val="left"/>
      <w:pPr>
        <w:ind w:left="720" w:hanging="360"/>
      </w:pPr>
      <w:rPr>
        <w:rFonts w:hint="default" w:ascii="Symbol" w:hAnsi="Symbol" w:cs="Symbol"/>
        <w:sz w:val="20"/>
      </w:rPr>
    </w:lvl>
  </w:abstractNum>
  <w:abstractNum w:abstractNumId="28">
    <w:nsid w:val="FF9BA098"/>
    <w:multiLevelType w:val="singleLevel"/>
    <w:tmpl w:val="FF9BA098"/>
    <w:lvl w:ilvl="0" w:tentative="0">
      <w:start w:val="1"/>
      <w:numFmt w:val="bullet"/>
      <w:pStyle w:val="26"/>
      <w:lvlText w:val=""/>
      <w:lvlJc w:val="left"/>
      <w:pPr>
        <w:tabs>
          <w:tab w:val="left" w:pos="780"/>
        </w:tabs>
        <w:ind w:left="780" w:hanging="360"/>
      </w:pPr>
      <w:rPr>
        <w:rFonts w:hint="default" w:ascii="Wingdings" w:hAnsi="Wingdings"/>
      </w:rPr>
    </w:lvl>
  </w:abstractNum>
  <w:abstractNum w:abstractNumId="29">
    <w:nsid w:val="FFA852A4"/>
    <w:multiLevelType w:val="singleLevel"/>
    <w:tmpl w:val="FFA852A4"/>
    <w:lvl w:ilvl="0" w:tentative="0">
      <w:start w:val="1"/>
      <w:numFmt w:val="bullet"/>
      <w:lvlText w:val=""/>
      <w:lvlJc w:val="left"/>
      <w:pPr>
        <w:ind w:left="720" w:hanging="360"/>
      </w:pPr>
      <w:rPr>
        <w:rFonts w:hint="default" w:ascii="Symbol" w:hAnsi="Symbol" w:cs="Symbol"/>
        <w:sz w:val="20"/>
      </w:rPr>
    </w:lvl>
  </w:abstractNum>
  <w:abstractNum w:abstractNumId="30">
    <w:nsid w:val="FFA86893"/>
    <w:multiLevelType w:val="singleLevel"/>
    <w:tmpl w:val="FFA86893"/>
    <w:lvl w:ilvl="0" w:tentative="0">
      <w:start w:val="1"/>
      <w:numFmt w:val="bullet"/>
      <w:pStyle w:val="27"/>
      <w:lvlText w:val=""/>
      <w:lvlJc w:val="left"/>
      <w:pPr>
        <w:tabs>
          <w:tab w:val="left" w:pos="2040"/>
        </w:tabs>
        <w:ind w:left="2040" w:hanging="360"/>
      </w:pPr>
      <w:rPr>
        <w:rFonts w:hint="default" w:ascii="Wingdings" w:hAnsi="Wingdings"/>
      </w:rPr>
    </w:lvl>
  </w:abstractNum>
  <w:abstractNum w:abstractNumId="31">
    <w:nsid w:val="FFB8399B"/>
    <w:multiLevelType w:val="singleLevel"/>
    <w:tmpl w:val="FFB8399B"/>
    <w:lvl w:ilvl="0" w:tentative="0">
      <w:start w:val="1"/>
      <w:numFmt w:val="decimal"/>
      <w:lvlText w:val="%1."/>
      <w:lvlJc w:val="left"/>
      <w:pPr>
        <w:ind w:left="720" w:hanging="360"/>
      </w:pPr>
      <w:rPr>
        <w:sz w:val="24"/>
      </w:rPr>
    </w:lvl>
  </w:abstractNum>
  <w:abstractNum w:abstractNumId="32">
    <w:nsid w:val="FFF8DDA1"/>
    <w:multiLevelType w:val="multilevel"/>
    <w:tmpl w:val="FFF8DDA1"/>
    <w:lvl w:ilvl="0" w:tentative="0">
      <w:start w:val="1"/>
      <w:numFmt w:val="decimal"/>
      <w:lvlText w:val="%1."/>
      <w:lvlJc w:val="left"/>
      <w:pPr>
        <w:ind w:left="720" w:hanging="360"/>
      </w:pPr>
      <w:rPr>
        <w:sz w:val="24"/>
      </w:rPr>
    </w:lvl>
    <w:lvl w:ilvl="1" w:tentative="0">
      <w:start w:val="1"/>
      <w:numFmt w:val="bullet"/>
      <w:lvlText w:val="o"/>
      <w:lvlJc w:val="left"/>
      <w:pPr>
        <w:ind w:left="1440" w:hanging="360"/>
      </w:pPr>
      <w:rPr>
        <w:rFonts w:hint="default" w:ascii="Courier New" w:hAnsi="Courier New" w:cs="Courier New"/>
        <w:sz w:val="20"/>
      </w:rPr>
    </w:lvl>
  </w:abstractNum>
  <w:abstractNum w:abstractNumId="33">
    <w:nsid w:val="FFFAAF31"/>
    <w:multiLevelType w:val="singleLevel"/>
    <w:tmpl w:val="FFFAAF31"/>
    <w:lvl w:ilvl="0" w:tentative="0">
      <w:start w:val="1"/>
      <w:numFmt w:val="bullet"/>
      <w:lvlText w:val=""/>
      <w:lvlJc w:val="left"/>
      <w:pPr>
        <w:ind w:left="720" w:hanging="360"/>
      </w:pPr>
      <w:rPr>
        <w:rFonts w:hint="default" w:ascii="Symbol" w:hAnsi="Symbol" w:cs="Symbol"/>
        <w:sz w:val="20"/>
      </w:rPr>
    </w:lvl>
  </w:abstractNum>
  <w:abstractNum w:abstractNumId="34">
    <w:nsid w:val="052FBF93"/>
    <w:multiLevelType w:val="singleLevel"/>
    <w:tmpl w:val="052FBF93"/>
    <w:lvl w:ilvl="0" w:tentative="0">
      <w:start w:val="1"/>
      <w:numFmt w:val="decimal"/>
      <w:pStyle w:val="16"/>
      <w:lvlText w:val="%1."/>
      <w:lvlJc w:val="left"/>
      <w:pPr>
        <w:tabs>
          <w:tab w:val="left" w:pos="360"/>
        </w:tabs>
        <w:ind w:left="360" w:hanging="360"/>
      </w:pPr>
    </w:lvl>
  </w:abstractNum>
  <w:abstractNum w:abstractNumId="35">
    <w:nsid w:val="1FFE05E1"/>
    <w:multiLevelType w:val="singleLevel"/>
    <w:tmpl w:val="1FFE05E1"/>
    <w:lvl w:ilvl="0" w:tentative="0">
      <w:start w:val="1"/>
      <w:numFmt w:val="bullet"/>
      <w:pStyle w:val="24"/>
      <w:lvlText w:val=""/>
      <w:lvlJc w:val="left"/>
      <w:pPr>
        <w:ind w:left="420" w:hanging="420"/>
      </w:pPr>
      <w:rPr>
        <w:rFonts w:hint="default" w:ascii="Wingdings" w:hAnsi="Wingdings"/>
      </w:rPr>
    </w:lvl>
  </w:abstractNum>
  <w:abstractNum w:abstractNumId="36">
    <w:nsid w:val="29AA8454"/>
    <w:multiLevelType w:val="multilevel"/>
    <w:tmpl w:val="29AA8454"/>
    <w:lvl w:ilvl="0" w:tentative="0">
      <w:start w:val="1"/>
      <w:numFmt w:val="chineseCounting"/>
      <w:suff w:val="nothing"/>
      <w:lvlText w:val="%1、"/>
      <w:lvlJc w:val="left"/>
      <w:pPr>
        <w:tabs>
          <w:tab w:val="left" w:pos="0"/>
        </w:tabs>
        <w:ind w:left="0" w:firstLine="0"/>
      </w:pPr>
      <w:rPr>
        <w:rFonts w:hint="eastAsia" w:ascii="黑体" w:hAnsi="黑体" w:eastAsia="黑体"/>
      </w:rPr>
    </w:lvl>
    <w:lvl w:ilvl="1" w:tentative="0">
      <w:start w:val="1"/>
      <w:numFmt w:val="chineseCounting"/>
      <w:suff w:val="nothing"/>
      <w:lvlText w:val="（%2）"/>
      <w:lvlJc w:val="left"/>
      <w:pPr>
        <w:tabs>
          <w:tab w:val="left" w:pos="0"/>
        </w:tabs>
        <w:ind w:left="0" w:firstLine="0"/>
      </w:pPr>
      <w:rPr>
        <w:rFonts w:hint="eastAsia" w:ascii="黑体" w:hAnsi="黑体" w:eastAsia="黑体"/>
      </w:rPr>
    </w:lvl>
    <w:lvl w:ilvl="2" w:tentative="0">
      <w:start w:val="1"/>
      <w:numFmt w:val="decimal"/>
      <w:suff w:val="nothing"/>
      <w:lvlText w:val="%3．"/>
      <w:lvlJc w:val="left"/>
      <w:pPr>
        <w:tabs>
          <w:tab w:val="left" w:pos="0"/>
        </w:tabs>
        <w:ind w:left="0" w:firstLine="400"/>
      </w:pPr>
      <w:rPr>
        <w:rFonts w:hint="eastAsia" w:ascii="黑体" w:hAnsi="黑体" w:eastAsia="黑体"/>
      </w:rPr>
    </w:lvl>
    <w:lvl w:ilvl="3" w:tentative="0">
      <w:start w:val="1"/>
      <w:numFmt w:val="decimal"/>
      <w:suff w:val="nothing"/>
      <w:lvlText w:val="（%4）"/>
      <w:lvlJc w:val="left"/>
      <w:pPr>
        <w:tabs>
          <w:tab w:val="left" w:pos="0"/>
        </w:tabs>
        <w:ind w:left="0" w:firstLine="402"/>
      </w:pPr>
      <w:rPr>
        <w:rFonts w:hint="eastAsia" w:ascii="黑体" w:hAnsi="黑体" w:eastAsia="黑体"/>
      </w:rPr>
    </w:lvl>
    <w:lvl w:ilvl="4" w:tentative="0">
      <w:start w:val="1"/>
      <w:numFmt w:val="decimalEnclosedCircleChinese"/>
      <w:pStyle w:val="6"/>
      <w:suff w:val="nothing"/>
      <w:lvlText w:val="%5"/>
      <w:lvlJc w:val="left"/>
      <w:pPr>
        <w:tabs>
          <w:tab w:val="left" w:pos="0"/>
        </w:tabs>
        <w:ind w:left="0" w:firstLine="402"/>
      </w:pPr>
      <w:rPr>
        <w:rFonts w:hint="eastAsia" w:ascii="黑体" w:hAnsi="黑体" w:eastAsia="黑体"/>
      </w:rPr>
    </w:lvl>
    <w:lvl w:ilvl="5" w:tentative="0">
      <w:start w:val="1"/>
      <w:numFmt w:val="decimal"/>
      <w:pStyle w:val="8"/>
      <w:suff w:val="nothing"/>
      <w:lvlText w:val="%6）"/>
      <w:lvlJc w:val="left"/>
      <w:pPr>
        <w:ind w:left="0" w:firstLine="402"/>
      </w:pPr>
      <w:rPr>
        <w:rFonts w:hint="eastAsia"/>
      </w:rPr>
    </w:lvl>
    <w:lvl w:ilvl="6" w:tentative="0">
      <w:start w:val="1"/>
      <w:numFmt w:val="lowerLetter"/>
      <w:pStyle w:val="9"/>
      <w:suff w:val="nothing"/>
      <w:lvlText w:val="%7．"/>
      <w:lvlJc w:val="left"/>
      <w:pPr>
        <w:ind w:left="0" w:firstLine="402"/>
      </w:pPr>
      <w:rPr>
        <w:rFonts w:hint="eastAsia"/>
      </w:rPr>
    </w:lvl>
    <w:lvl w:ilvl="7" w:tentative="0">
      <w:start w:val="1"/>
      <w:numFmt w:val="lowerLetter"/>
      <w:pStyle w:val="10"/>
      <w:suff w:val="nothing"/>
      <w:lvlText w:val="%8）"/>
      <w:lvlJc w:val="left"/>
      <w:pPr>
        <w:ind w:left="0" w:firstLine="402"/>
      </w:pPr>
      <w:rPr>
        <w:rFonts w:hint="eastAsia"/>
      </w:rPr>
    </w:lvl>
    <w:lvl w:ilvl="8" w:tentative="0">
      <w:start w:val="1"/>
      <w:numFmt w:val="lowerRoman"/>
      <w:pStyle w:val="11"/>
      <w:suff w:val="nothing"/>
      <w:lvlText w:val="%9 "/>
      <w:lvlJc w:val="left"/>
      <w:pPr>
        <w:ind w:left="0" w:firstLine="402"/>
      </w:pPr>
      <w:rPr>
        <w:rFonts w:hint="eastAsia"/>
      </w:rPr>
    </w:lvl>
  </w:abstractNum>
  <w:abstractNum w:abstractNumId="37">
    <w:nsid w:val="2F55D850"/>
    <w:multiLevelType w:val="singleLevel"/>
    <w:tmpl w:val="2F55D850"/>
    <w:lvl w:ilvl="0" w:tentative="0">
      <w:start w:val="1"/>
      <w:numFmt w:val="bullet"/>
      <w:lvlText w:val=""/>
      <w:lvlJc w:val="left"/>
      <w:pPr>
        <w:ind w:left="720" w:hanging="360"/>
      </w:pPr>
      <w:rPr>
        <w:rFonts w:hint="default" w:ascii="Symbol" w:hAnsi="Symbol" w:cs="Symbol"/>
        <w:sz w:val="20"/>
      </w:rPr>
    </w:lvl>
  </w:abstractNum>
  <w:abstractNum w:abstractNumId="38">
    <w:nsid w:val="3DB61C7B"/>
    <w:multiLevelType w:val="singleLevel"/>
    <w:tmpl w:val="3DB61C7B"/>
    <w:lvl w:ilvl="0" w:tentative="0">
      <w:start w:val="1"/>
      <w:numFmt w:val="bullet"/>
      <w:lvlText w:val=""/>
      <w:lvlJc w:val="left"/>
      <w:pPr>
        <w:ind w:left="720" w:hanging="360"/>
      </w:pPr>
      <w:rPr>
        <w:rFonts w:hint="default" w:ascii="Symbol" w:hAnsi="Symbol" w:cs="Symbol"/>
        <w:sz w:val="20"/>
      </w:rPr>
    </w:lvl>
  </w:abstractNum>
  <w:abstractNum w:abstractNumId="39">
    <w:nsid w:val="3EFEB884"/>
    <w:multiLevelType w:val="singleLevel"/>
    <w:tmpl w:val="3EFEB884"/>
    <w:lvl w:ilvl="0" w:tentative="0">
      <w:start w:val="1"/>
      <w:numFmt w:val="decimal"/>
      <w:lvlText w:val="%1."/>
      <w:lvlJc w:val="left"/>
      <w:pPr>
        <w:ind w:left="720" w:hanging="360"/>
      </w:pPr>
      <w:rPr>
        <w:sz w:val="24"/>
      </w:rPr>
    </w:lvl>
  </w:abstractNum>
  <w:abstractNum w:abstractNumId="40">
    <w:nsid w:val="5ACD7140"/>
    <w:multiLevelType w:val="singleLevel"/>
    <w:tmpl w:val="5ACD7140"/>
    <w:lvl w:ilvl="0" w:tentative="0">
      <w:start w:val="1"/>
      <w:numFmt w:val="bullet"/>
      <w:lvlText w:val=""/>
      <w:lvlJc w:val="left"/>
      <w:pPr>
        <w:ind w:left="720" w:hanging="360"/>
      </w:pPr>
      <w:rPr>
        <w:rFonts w:hint="default" w:ascii="Symbol" w:hAnsi="Symbol" w:cs="Symbol"/>
        <w:sz w:val="20"/>
      </w:rPr>
    </w:lvl>
  </w:abstractNum>
  <w:abstractNum w:abstractNumId="41">
    <w:nsid w:val="5C744C61"/>
    <w:multiLevelType w:val="singleLevel"/>
    <w:tmpl w:val="5C744C61"/>
    <w:lvl w:ilvl="0" w:tentative="0">
      <w:start w:val="1"/>
      <w:numFmt w:val="bullet"/>
      <w:lvlText w:val=""/>
      <w:lvlJc w:val="left"/>
      <w:pPr>
        <w:ind w:left="720" w:hanging="360"/>
      </w:pPr>
      <w:rPr>
        <w:rFonts w:hint="default" w:ascii="Symbol" w:hAnsi="Symbol" w:cs="Symbol"/>
        <w:sz w:val="20"/>
      </w:rPr>
    </w:lvl>
  </w:abstractNum>
  <w:abstractNum w:abstractNumId="42">
    <w:nsid w:val="6F9F9BCE"/>
    <w:multiLevelType w:val="singleLevel"/>
    <w:tmpl w:val="6F9F9BCE"/>
    <w:lvl w:ilvl="0" w:tentative="0">
      <w:start w:val="1"/>
      <w:numFmt w:val="bullet"/>
      <w:lvlText w:val=""/>
      <w:lvlJc w:val="left"/>
      <w:pPr>
        <w:ind w:left="720" w:hanging="360"/>
      </w:pPr>
      <w:rPr>
        <w:rFonts w:hint="default" w:ascii="Symbol" w:hAnsi="Symbol" w:cs="Symbol"/>
        <w:sz w:val="20"/>
      </w:rPr>
    </w:lvl>
  </w:abstractNum>
  <w:abstractNum w:abstractNumId="43">
    <w:nsid w:val="6FFE7285"/>
    <w:multiLevelType w:val="singleLevel"/>
    <w:tmpl w:val="6FFE7285"/>
    <w:lvl w:ilvl="0" w:tentative="0">
      <w:start w:val="1"/>
      <w:numFmt w:val="bullet"/>
      <w:pStyle w:val="21"/>
      <w:lvlText w:val=""/>
      <w:lvlJc w:val="left"/>
      <w:pPr>
        <w:tabs>
          <w:tab w:val="left" w:pos="1200"/>
        </w:tabs>
        <w:ind w:left="1200" w:hanging="360"/>
      </w:pPr>
      <w:rPr>
        <w:rFonts w:hint="default" w:ascii="Wingdings" w:hAnsi="Wingdings"/>
      </w:rPr>
    </w:lvl>
  </w:abstractNum>
  <w:abstractNum w:abstractNumId="44">
    <w:nsid w:val="77F71A04"/>
    <w:multiLevelType w:val="singleLevel"/>
    <w:tmpl w:val="77F71A04"/>
    <w:lvl w:ilvl="0" w:tentative="0">
      <w:start w:val="1"/>
      <w:numFmt w:val="bullet"/>
      <w:lvlText w:val=""/>
      <w:lvlJc w:val="left"/>
      <w:pPr>
        <w:ind w:left="720" w:hanging="360"/>
      </w:pPr>
      <w:rPr>
        <w:rFonts w:hint="default" w:ascii="Symbol" w:hAnsi="Symbol" w:cs="Symbol"/>
        <w:sz w:val="20"/>
      </w:rPr>
    </w:lvl>
  </w:abstractNum>
  <w:abstractNum w:abstractNumId="45">
    <w:nsid w:val="79E6B1CB"/>
    <w:multiLevelType w:val="singleLevel"/>
    <w:tmpl w:val="79E6B1CB"/>
    <w:lvl w:ilvl="0" w:tentative="0">
      <w:start w:val="1"/>
      <w:numFmt w:val="bullet"/>
      <w:lvlText w:val=""/>
      <w:lvlJc w:val="left"/>
      <w:pPr>
        <w:ind w:left="720" w:hanging="360"/>
      </w:pPr>
      <w:rPr>
        <w:rFonts w:hint="default" w:ascii="Symbol" w:hAnsi="Symbol" w:cs="Symbol"/>
        <w:sz w:val="20"/>
      </w:rPr>
    </w:lvl>
  </w:abstractNum>
  <w:abstractNum w:abstractNumId="46">
    <w:nsid w:val="7DFE515E"/>
    <w:multiLevelType w:val="singleLevel"/>
    <w:tmpl w:val="7DFE515E"/>
    <w:lvl w:ilvl="0" w:tentative="0">
      <w:start w:val="1"/>
      <w:numFmt w:val="bullet"/>
      <w:lvlText w:val=""/>
      <w:lvlJc w:val="left"/>
      <w:pPr>
        <w:ind w:left="720" w:hanging="360"/>
      </w:pPr>
      <w:rPr>
        <w:rFonts w:hint="default" w:ascii="Symbol" w:hAnsi="Symbol" w:cs="Symbol"/>
        <w:sz w:val="20"/>
      </w:rPr>
    </w:lvl>
  </w:abstractNum>
  <w:abstractNum w:abstractNumId="47">
    <w:nsid w:val="7EFB0518"/>
    <w:multiLevelType w:val="singleLevel"/>
    <w:tmpl w:val="7EFB0518"/>
    <w:lvl w:ilvl="0" w:tentative="0">
      <w:start w:val="1"/>
      <w:numFmt w:val="decimal"/>
      <w:pStyle w:val="13"/>
      <w:lvlText w:val="%1."/>
      <w:lvlJc w:val="left"/>
      <w:pPr>
        <w:tabs>
          <w:tab w:val="left" w:pos="780"/>
        </w:tabs>
        <w:ind w:left="780" w:hanging="360"/>
      </w:pPr>
    </w:lvl>
  </w:abstractNum>
  <w:abstractNum w:abstractNumId="48">
    <w:nsid w:val="7F3E15C4"/>
    <w:multiLevelType w:val="multilevel"/>
    <w:tmpl w:val="7F3E15C4"/>
    <w:lvl w:ilvl="0" w:tentative="0">
      <w:start w:val="1"/>
      <w:numFmt w:val="decimal"/>
      <w:lvlText w:val="%1."/>
      <w:lvlJc w:val="left"/>
      <w:pPr>
        <w:ind w:left="720" w:hanging="360"/>
      </w:pPr>
      <w:rPr>
        <w:sz w:val="24"/>
      </w:rPr>
    </w:lvl>
    <w:lvl w:ilvl="1" w:tentative="0">
      <w:start w:val="1"/>
      <w:numFmt w:val="bullet"/>
      <w:lvlText w:val="o"/>
      <w:lvlJc w:val="left"/>
      <w:pPr>
        <w:ind w:left="1440" w:hanging="360"/>
      </w:pPr>
      <w:rPr>
        <w:rFonts w:hint="default" w:ascii="Courier New" w:hAnsi="Courier New" w:cs="Courier New"/>
        <w:sz w:val="20"/>
      </w:rPr>
    </w:lvl>
  </w:abstractNum>
  <w:abstractNum w:abstractNumId="49">
    <w:nsid w:val="7FFE2F9D"/>
    <w:multiLevelType w:val="singleLevel"/>
    <w:tmpl w:val="7FFE2F9D"/>
    <w:lvl w:ilvl="0" w:tentative="0">
      <w:start w:val="1"/>
      <w:numFmt w:val="decimal"/>
      <w:lvlText w:val="%1."/>
      <w:lvlJc w:val="left"/>
      <w:pPr>
        <w:ind w:left="720" w:hanging="360"/>
      </w:pPr>
      <w:rPr>
        <w:sz w:val="24"/>
      </w:rPr>
    </w:lvl>
  </w:abstractNum>
  <w:num w:numId="1">
    <w:abstractNumId w:val="36"/>
  </w:num>
  <w:num w:numId="2">
    <w:abstractNumId w:val="47"/>
  </w:num>
  <w:num w:numId="3">
    <w:abstractNumId w:val="4"/>
  </w:num>
  <w:num w:numId="4">
    <w:abstractNumId w:val="34"/>
  </w:num>
  <w:num w:numId="5">
    <w:abstractNumId w:val="25"/>
  </w:num>
  <w:num w:numId="6">
    <w:abstractNumId w:val="43"/>
  </w:num>
  <w:num w:numId="7">
    <w:abstractNumId w:val="20"/>
  </w:num>
  <w:num w:numId="8">
    <w:abstractNumId w:val="35"/>
  </w:num>
  <w:num w:numId="9">
    <w:abstractNumId w:val="28"/>
  </w:num>
  <w:num w:numId="10">
    <w:abstractNumId w:val="30"/>
  </w:num>
  <w:num w:numId="11">
    <w:abstractNumId w:val="6"/>
  </w:num>
  <w:num w:numId="12">
    <w:abstractNumId w:val="3"/>
  </w:num>
  <w:num w:numId="13">
    <w:abstractNumId w:val="45"/>
  </w:num>
  <w:num w:numId="14">
    <w:abstractNumId w:val="17"/>
  </w:num>
  <w:num w:numId="15">
    <w:abstractNumId w:val="44"/>
  </w:num>
  <w:num w:numId="16">
    <w:abstractNumId w:val="7"/>
  </w:num>
  <w:num w:numId="17">
    <w:abstractNumId w:val="9"/>
  </w:num>
  <w:num w:numId="18">
    <w:abstractNumId w:val="24"/>
  </w:num>
  <w:num w:numId="19">
    <w:abstractNumId w:val="37"/>
  </w:num>
  <w:num w:numId="20">
    <w:abstractNumId w:val="41"/>
  </w:num>
  <w:num w:numId="21">
    <w:abstractNumId w:val="27"/>
  </w:num>
  <w:num w:numId="22">
    <w:abstractNumId w:val="0"/>
  </w:num>
  <w:num w:numId="23">
    <w:abstractNumId w:val="26"/>
  </w:num>
  <w:num w:numId="24">
    <w:abstractNumId w:val="16"/>
  </w:num>
  <w:num w:numId="25">
    <w:abstractNumId w:val="39"/>
  </w:num>
  <w:num w:numId="26">
    <w:abstractNumId w:val="19"/>
  </w:num>
  <w:num w:numId="27">
    <w:abstractNumId w:val="31"/>
  </w:num>
  <w:num w:numId="28">
    <w:abstractNumId w:val="38"/>
  </w:num>
  <w:num w:numId="29">
    <w:abstractNumId w:val="1"/>
  </w:num>
  <w:num w:numId="30">
    <w:abstractNumId w:val="42"/>
  </w:num>
  <w:num w:numId="31">
    <w:abstractNumId w:val="2"/>
  </w:num>
  <w:num w:numId="32">
    <w:abstractNumId w:val="12"/>
  </w:num>
  <w:num w:numId="33">
    <w:abstractNumId w:val="14"/>
  </w:num>
  <w:num w:numId="34">
    <w:abstractNumId w:val="13"/>
  </w:num>
  <w:num w:numId="35">
    <w:abstractNumId w:val="10"/>
  </w:num>
  <w:num w:numId="36">
    <w:abstractNumId w:val="21"/>
  </w:num>
  <w:num w:numId="37">
    <w:abstractNumId w:val="49"/>
  </w:num>
  <w:num w:numId="38">
    <w:abstractNumId w:val="8"/>
  </w:num>
  <w:num w:numId="39">
    <w:abstractNumId w:val="11"/>
  </w:num>
  <w:num w:numId="40">
    <w:abstractNumId w:val="40"/>
  </w:num>
  <w:num w:numId="41">
    <w:abstractNumId w:val="5"/>
  </w:num>
  <w:num w:numId="42">
    <w:abstractNumId w:val="22"/>
  </w:num>
  <w:num w:numId="43">
    <w:abstractNumId w:val="29"/>
  </w:num>
  <w:num w:numId="44">
    <w:abstractNumId w:val="46"/>
  </w:num>
  <w:num w:numId="45">
    <w:abstractNumId w:val="15"/>
  </w:num>
  <w:num w:numId="46">
    <w:abstractNumId w:val="33"/>
  </w:num>
  <w:num w:numId="47">
    <w:abstractNumId w:val="23"/>
  </w:num>
  <w:num w:numId="48">
    <w:abstractNumId w:val="32"/>
  </w:num>
  <w:num w:numId="49">
    <w:abstractNumId w:val="48"/>
  </w:num>
  <w:num w:numId="5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NotTrackMoves/>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doNotUseIndentAsNumberingTabStop/>
    <w:splitPgBreakAndParaMark/>
    <w:compatSetting w:name="compatibilityMode" w:uri="http://schemas.microsoft.com/office/word" w:val="12"/>
  </w:compat>
  <w:docVars>
    <w:docVar w:name="commondata" w:val="eyJoZGlkIjoiOTgxM2RjOGM4NmFhZTkyOTlkMmE4MWQ0Zjg2YjZhY2IifQ=="/>
  </w:docVars>
  <w:rsids>
    <w:rsidRoot w:val="00000000"/>
    <w:rsid w:val="01503613"/>
    <w:rsid w:val="0E925DBF"/>
    <w:rsid w:val="0FE732EF"/>
    <w:rsid w:val="15205ED3"/>
    <w:rsid w:val="17872A04"/>
    <w:rsid w:val="18A902D0"/>
    <w:rsid w:val="1A442B9B"/>
    <w:rsid w:val="1A5F56EF"/>
    <w:rsid w:val="1E896318"/>
    <w:rsid w:val="1F4965EB"/>
    <w:rsid w:val="25C83238"/>
    <w:rsid w:val="26CA0473"/>
    <w:rsid w:val="2B924E09"/>
    <w:rsid w:val="2CE307C7"/>
    <w:rsid w:val="2F436F36"/>
    <w:rsid w:val="31994BEB"/>
    <w:rsid w:val="3FEA17AB"/>
    <w:rsid w:val="3FF2F4D6"/>
    <w:rsid w:val="410B542B"/>
    <w:rsid w:val="41A71B16"/>
    <w:rsid w:val="427B35B9"/>
    <w:rsid w:val="435B43F6"/>
    <w:rsid w:val="45B00A41"/>
    <w:rsid w:val="4FD75668"/>
    <w:rsid w:val="55426F5C"/>
    <w:rsid w:val="55853555"/>
    <w:rsid w:val="575278AD"/>
    <w:rsid w:val="5DA12EF6"/>
    <w:rsid w:val="5DE3706A"/>
    <w:rsid w:val="608A7C71"/>
    <w:rsid w:val="61615C49"/>
    <w:rsid w:val="6401649C"/>
    <w:rsid w:val="653D4140"/>
    <w:rsid w:val="65907A54"/>
    <w:rsid w:val="665629F7"/>
    <w:rsid w:val="69F47232"/>
    <w:rsid w:val="6A2B7DCF"/>
    <w:rsid w:val="6B550DD6"/>
    <w:rsid w:val="6FE07705"/>
    <w:rsid w:val="6FFD907A"/>
    <w:rsid w:val="74A83031"/>
    <w:rsid w:val="76962A74"/>
    <w:rsid w:val="7B77B008"/>
    <w:rsid w:val="7BFF7165"/>
    <w:rsid w:val="7FF6C12C"/>
    <w:rsid w:val="BCB98261"/>
    <w:rsid w:val="DEDE5F4D"/>
    <w:rsid w:val="F3EB132D"/>
    <w:rsid w:val="FEF70171"/>
    <w:rsid w:val="FFCF9603"/>
  </w:rsids>
  <m:mathPr>
    <m:mathFont m:val="Cambria Math"/>
    <m:brkBin m:val="before"/>
    <m:brkBinSub m:val="--"/>
    <m:smallFrac m:val="0"/>
    <m:dispDef/>
    <m:lMargin m:val="0"/>
    <m:rMargin m:val="0"/>
    <m:defJc m:val="centerGroup"/>
    <m:wrapRight m:val="1"/>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qFormat="1" w:unhideWhenUsed="0" w:uiPriority="0" w:semiHidden="0" w:name="index 1"/>
    <w:lsdException w:qFormat="1"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qFormat="1"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unhideWhenUsed="0" w:uiPriority="0" w:semiHidden="0" w:name="List Continue 4"/>
    <w:lsdException w:unhideWhenUsed="0" w:uiPriority="0" w:semiHidden="0" w:name="List Continue 5"/>
    <w:lsdException w:qFormat="1"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ind w:firstLine="601" w:firstLineChars="200"/>
      <w:jc w:val="both"/>
    </w:pPr>
    <w:rPr>
      <w:rFonts w:ascii="微软雅黑" w:hAnsi="微软雅黑" w:eastAsia="微软雅黑" w:cstheme="minorBidi"/>
      <w:sz w:val="24"/>
      <w:szCs w:val="24"/>
      <w:lang w:val="en-US" w:eastAsia="en-US" w:bidi="ar-SA"/>
    </w:rPr>
  </w:style>
  <w:style w:type="paragraph" w:styleId="2">
    <w:name w:val="heading 1"/>
    <w:basedOn w:val="1"/>
    <w:next w:val="1"/>
    <w:qFormat/>
    <w:uiPriority w:val="0"/>
    <w:pPr>
      <w:keepNext/>
      <w:keepLines/>
      <w:spacing w:before="260" w:beforeLines="0" w:beforeAutospacing="0" w:after="260" w:afterLines="0" w:afterAutospacing="0" w:line="413" w:lineRule="auto"/>
      <w:jc w:val="center"/>
      <w:outlineLvl w:val="0"/>
    </w:pPr>
    <w:rPr>
      <w:b/>
      <w:kern w:val="44"/>
      <w:sz w:val="30"/>
    </w:rPr>
  </w:style>
  <w:style w:type="paragraph" w:styleId="3">
    <w:name w:val="heading 2"/>
    <w:next w:val="1"/>
    <w:unhideWhenUsed/>
    <w:qFormat/>
    <w:uiPriority w:val="0"/>
    <w:pPr>
      <w:keepNext/>
      <w:keepLines/>
      <w:spacing w:before="260" w:beforeLines="0" w:beforeAutospacing="0" w:after="260" w:afterLines="0" w:afterAutospacing="0" w:line="413" w:lineRule="auto"/>
      <w:outlineLvl w:val="1"/>
    </w:pPr>
    <w:rPr>
      <w:rFonts w:ascii="Arial" w:hAnsi="Arial" w:eastAsia="微软雅黑" w:cs="Times New Roman"/>
      <w:b/>
      <w:sz w:val="28"/>
    </w:rPr>
  </w:style>
  <w:style w:type="paragraph" w:styleId="4">
    <w:name w:val="heading 3"/>
    <w:next w:val="1"/>
    <w:unhideWhenUsed/>
    <w:qFormat/>
    <w:uiPriority w:val="0"/>
    <w:pPr>
      <w:keepNext/>
      <w:keepLines/>
      <w:numPr>
        <w:ilvl w:val="0"/>
        <w:numId w:val="0"/>
      </w:numPr>
      <w:spacing w:before="260" w:beforeLines="0" w:beforeAutospacing="0" w:after="260" w:afterLines="0" w:afterAutospacing="0" w:line="413" w:lineRule="auto"/>
      <w:outlineLvl w:val="2"/>
    </w:pPr>
    <w:rPr>
      <w:rFonts w:ascii="Times New Roman" w:hAnsi="Times New Roman" w:eastAsia="微软雅黑" w:cs="Times New Roman"/>
      <w:b/>
      <w:sz w:val="24"/>
    </w:rPr>
  </w:style>
  <w:style w:type="paragraph" w:styleId="5">
    <w:name w:val="heading 4"/>
    <w:next w:val="1"/>
    <w:unhideWhenUsed/>
    <w:qFormat/>
    <w:uiPriority w:val="0"/>
    <w:pPr>
      <w:keepNext/>
      <w:keepLines/>
      <w:numPr>
        <w:ilvl w:val="0"/>
        <w:numId w:val="0"/>
      </w:numPr>
      <w:spacing w:before="280" w:beforeLines="0" w:beforeAutospacing="0" w:after="290" w:afterLines="0" w:afterAutospacing="0" w:line="372" w:lineRule="auto"/>
      <w:outlineLvl w:val="3"/>
    </w:pPr>
    <w:rPr>
      <w:rFonts w:ascii="Arial" w:hAnsi="Arial" w:eastAsia="微软雅黑" w:cs="Times New Roman"/>
      <w:i/>
      <w:sz w:val="24"/>
    </w:rPr>
  </w:style>
  <w:style w:type="paragraph" w:styleId="6">
    <w:name w:val="heading 5"/>
    <w:basedOn w:val="1"/>
    <w:next w:val="7"/>
    <w:unhideWhenUsed/>
    <w:qFormat/>
    <w:uiPriority w:val="9"/>
    <w:pPr>
      <w:keepNext/>
      <w:keepLines/>
      <w:numPr>
        <w:ilvl w:val="4"/>
        <w:numId w:val="1"/>
      </w:numPr>
      <w:spacing w:before="200" w:after="0"/>
      <w:ind w:firstLine="402"/>
      <w:outlineLvl w:val="4"/>
    </w:pPr>
    <w:rPr>
      <w:rFonts w:ascii="微软雅黑" w:hAnsi="微软雅黑" w:eastAsia="微软雅黑" w:cstheme="majorBidi"/>
      <w:iCs/>
      <w:color w:val="auto"/>
    </w:rPr>
  </w:style>
  <w:style w:type="paragraph" w:styleId="8">
    <w:name w:val="heading 6"/>
    <w:basedOn w:val="1"/>
    <w:next w:val="7"/>
    <w:unhideWhenUsed/>
    <w:qFormat/>
    <w:uiPriority w:val="9"/>
    <w:pPr>
      <w:keepNext/>
      <w:keepLines/>
      <w:numPr>
        <w:ilvl w:val="5"/>
        <w:numId w:val="1"/>
      </w:numPr>
      <w:spacing w:before="200" w:after="0"/>
      <w:ind w:firstLine="402"/>
      <w:outlineLvl w:val="5"/>
    </w:pPr>
    <w:rPr>
      <w:rFonts w:ascii="微软雅黑" w:hAnsi="微软雅黑" w:eastAsia="微软雅黑" w:cstheme="majorBidi"/>
      <w:color w:val="auto"/>
    </w:rPr>
  </w:style>
  <w:style w:type="paragraph" w:styleId="9">
    <w:name w:val="heading 7"/>
    <w:basedOn w:val="1"/>
    <w:next w:val="7"/>
    <w:unhideWhenUsed/>
    <w:qFormat/>
    <w:uiPriority w:val="9"/>
    <w:pPr>
      <w:keepNext/>
      <w:keepLines/>
      <w:numPr>
        <w:ilvl w:val="6"/>
        <w:numId w:val="1"/>
      </w:numPr>
      <w:spacing w:before="200" w:after="0"/>
      <w:ind w:firstLine="402"/>
      <w:outlineLvl w:val="6"/>
    </w:pPr>
    <w:rPr>
      <w:rFonts w:ascii="微软雅黑" w:hAnsi="微软雅黑" w:eastAsia="微软雅黑" w:cstheme="majorBidi"/>
      <w:color w:val="auto"/>
    </w:rPr>
  </w:style>
  <w:style w:type="paragraph" w:styleId="10">
    <w:name w:val="heading 8"/>
    <w:basedOn w:val="1"/>
    <w:next w:val="7"/>
    <w:unhideWhenUsed/>
    <w:qFormat/>
    <w:uiPriority w:val="9"/>
    <w:pPr>
      <w:keepNext/>
      <w:keepLines/>
      <w:numPr>
        <w:ilvl w:val="7"/>
        <w:numId w:val="1"/>
      </w:numPr>
      <w:spacing w:before="200" w:after="0"/>
      <w:ind w:firstLine="402"/>
      <w:outlineLvl w:val="7"/>
    </w:pPr>
    <w:rPr>
      <w:rFonts w:ascii="微软雅黑" w:hAnsi="微软雅黑" w:eastAsia="微软雅黑" w:cstheme="majorBidi"/>
      <w:color w:val="auto"/>
    </w:rPr>
  </w:style>
  <w:style w:type="paragraph" w:styleId="11">
    <w:name w:val="heading 9"/>
    <w:basedOn w:val="1"/>
    <w:next w:val="7"/>
    <w:unhideWhenUsed/>
    <w:qFormat/>
    <w:uiPriority w:val="9"/>
    <w:pPr>
      <w:keepNext/>
      <w:keepLines/>
      <w:numPr>
        <w:ilvl w:val="8"/>
        <w:numId w:val="1"/>
      </w:numPr>
      <w:spacing w:before="200" w:after="0"/>
      <w:ind w:firstLine="402"/>
      <w:outlineLvl w:val="8"/>
    </w:pPr>
    <w:rPr>
      <w:rFonts w:ascii="微软雅黑" w:hAnsi="微软雅黑" w:eastAsia="微软雅黑" w:cstheme="majorBidi"/>
      <w:color w:val="auto"/>
    </w:rPr>
  </w:style>
  <w:style w:type="character" w:default="1" w:styleId="51">
    <w:name w:val="Default Paragraph Font"/>
    <w:semiHidden/>
    <w:qFormat/>
    <w:uiPriority w:val="0"/>
  </w:style>
  <w:style w:type="table" w:default="1" w:styleId="50">
    <w:name w:val="Normal Table"/>
    <w:qFormat/>
    <w:uiPriority w:val="0"/>
    <w:tblPr>
      <w:tblCellMar>
        <w:top w:w="0" w:type="dxa"/>
        <w:left w:w="108" w:type="dxa"/>
        <w:bottom w:w="0" w:type="dxa"/>
        <w:right w:w="108" w:type="dxa"/>
      </w:tblCellMar>
    </w:tblPr>
  </w:style>
  <w:style w:type="paragraph" w:styleId="7">
    <w:name w:val="Body Text"/>
    <w:basedOn w:val="1"/>
    <w:link w:val="57"/>
    <w:qFormat/>
    <w:uiPriority w:val="0"/>
    <w:pPr>
      <w:spacing w:before="180" w:after="180"/>
      <w:ind w:firstLine="560" w:firstLineChars="200"/>
      <w:jc w:val="both"/>
    </w:pPr>
  </w:style>
  <w:style w:type="paragraph" w:styleId="12">
    <w:name w:val="List 3"/>
    <w:basedOn w:val="1"/>
    <w:qFormat/>
    <w:uiPriority w:val="0"/>
    <w:pPr>
      <w:ind w:left="100" w:leftChars="400" w:hanging="200" w:hangingChars="200"/>
    </w:pPr>
  </w:style>
  <w:style w:type="paragraph" w:styleId="13">
    <w:name w:val="List Number 2"/>
    <w:basedOn w:val="1"/>
    <w:qFormat/>
    <w:uiPriority w:val="0"/>
    <w:pPr>
      <w:numPr>
        <w:ilvl w:val="0"/>
        <w:numId w:val="2"/>
      </w:numPr>
    </w:pPr>
  </w:style>
  <w:style w:type="paragraph" w:styleId="14">
    <w:name w:val="table of authorities"/>
    <w:basedOn w:val="1"/>
    <w:next w:val="1"/>
    <w:qFormat/>
    <w:uiPriority w:val="0"/>
    <w:pPr>
      <w:ind w:left="420" w:leftChars="200"/>
    </w:pPr>
  </w:style>
  <w:style w:type="paragraph" w:styleId="15">
    <w:name w:val="List Bullet 4"/>
    <w:basedOn w:val="1"/>
    <w:qFormat/>
    <w:uiPriority w:val="0"/>
    <w:pPr>
      <w:numPr>
        <w:ilvl w:val="0"/>
        <w:numId w:val="3"/>
      </w:numPr>
    </w:pPr>
  </w:style>
  <w:style w:type="paragraph" w:styleId="16">
    <w:name w:val="List Number"/>
    <w:basedOn w:val="1"/>
    <w:qFormat/>
    <w:uiPriority w:val="0"/>
    <w:pPr>
      <w:numPr>
        <w:ilvl w:val="0"/>
        <w:numId w:val="4"/>
      </w:numPr>
    </w:pPr>
  </w:style>
  <w:style w:type="paragraph" w:styleId="17">
    <w:name w:val="caption"/>
    <w:basedOn w:val="1"/>
    <w:qFormat/>
    <w:uiPriority w:val="0"/>
    <w:pPr>
      <w:spacing w:before="0" w:after="120"/>
    </w:pPr>
    <w:rPr>
      <w:i/>
    </w:rPr>
  </w:style>
  <w:style w:type="paragraph" w:styleId="18">
    <w:name w:val="List Bullet"/>
    <w:basedOn w:val="1"/>
    <w:qFormat/>
    <w:uiPriority w:val="0"/>
    <w:pPr>
      <w:numPr>
        <w:ilvl w:val="0"/>
        <w:numId w:val="5"/>
      </w:numPr>
      <w:ind w:left="0" w:firstLine="0" w:firstLineChars="0"/>
    </w:pPr>
  </w:style>
  <w:style w:type="paragraph" w:styleId="19">
    <w:name w:val="Document Map"/>
    <w:basedOn w:val="1"/>
    <w:qFormat/>
    <w:uiPriority w:val="0"/>
    <w:pPr>
      <w:shd w:val="clear" w:color="auto" w:fill="000080"/>
    </w:pPr>
  </w:style>
  <w:style w:type="paragraph" w:styleId="20">
    <w:name w:val="annotation text"/>
    <w:basedOn w:val="1"/>
    <w:qFormat/>
    <w:uiPriority w:val="0"/>
    <w:pPr>
      <w:jc w:val="left"/>
    </w:pPr>
  </w:style>
  <w:style w:type="paragraph" w:styleId="21">
    <w:name w:val="List Bullet 3"/>
    <w:basedOn w:val="1"/>
    <w:qFormat/>
    <w:uiPriority w:val="0"/>
    <w:pPr>
      <w:numPr>
        <w:ilvl w:val="0"/>
        <w:numId w:val="6"/>
      </w:numPr>
    </w:pPr>
  </w:style>
  <w:style w:type="paragraph" w:styleId="22">
    <w:name w:val="List Number 3"/>
    <w:basedOn w:val="1"/>
    <w:qFormat/>
    <w:uiPriority w:val="0"/>
    <w:pPr>
      <w:numPr>
        <w:ilvl w:val="0"/>
        <w:numId w:val="7"/>
      </w:numPr>
    </w:pPr>
  </w:style>
  <w:style w:type="paragraph" w:styleId="23">
    <w:name w:val="List 2"/>
    <w:basedOn w:val="1"/>
    <w:qFormat/>
    <w:uiPriority w:val="0"/>
    <w:pPr>
      <w:ind w:left="100" w:leftChars="200" w:hanging="200" w:hangingChars="200"/>
    </w:pPr>
  </w:style>
  <w:style w:type="paragraph" w:styleId="24">
    <w:name w:val="List Continue"/>
    <w:basedOn w:val="1"/>
    <w:qFormat/>
    <w:uiPriority w:val="0"/>
    <w:pPr>
      <w:numPr>
        <w:ilvl w:val="0"/>
        <w:numId w:val="8"/>
      </w:numPr>
      <w:spacing w:after="120" w:afterLines="0" w:afterAutospacing="0"/>
      <w:ind w:left="0" w:leftChars="200" w:firstLine="0" w:firstLineChars="0"/>
    </w:pPr>
  </w:style>
  <w:style w:type="paragraph" w:styleId="25">
    <w:name w:val="Block Text"/>
    <w:basedOn w:val="7"/>
    <w:next w:val="7"/>
    <w:unhideWhenUsed/>
    <w:qFormat/>
    <w:uiPriority w:val="9"/>
    <w:pPr>
      <w:spacing w:before="100" w:after="100"/>
      <w:ind w:left="480" w:right="480" w:firstLine="0"/>
    </w:pPr>
  </w:style>
  <w:style w:type="paragraph" w:styleId="26">
    <w:name w:val="List Bullet 2"/>
    <w:basedOn w:val="1"/>
    <w:qFormat/>
    <w:uiPriority w:val="0"/>
    <w:pPr>
      <w:numPr>
        <w:ilvl w:val="0"/>
        <w:numId w:val="9"/>
      </w:numPr>
    </w:pPr>
  </w:style>
  <w:style w:type="paragraph" w:styleId="27">
    <w:name w:val="List Bullet 5"/>
    <w:basedOn w:val="1"/>
    <w:qFormat/>
    <w:uiPriority w:val="0"/>
    <w:pPr>
      <w:numPr>
        <w:ilvl w:val="0"/>
        <w:numId w:val="10"/>
      </w:numPr>
    </w:pPr>
  </w:style>
  <w:style w:type="paragraph" w:styleId="28">
    <w:name w:val="List Number 4"/>
    <w:basedOn w:val="1"/>
    <w:qFormat/>
    <w:uiPriority w:val="0"/>
    <w:pPr>
      <w:numPr>
        <w:ilvl w:val="0"/>
        <w:numId w:val="11"/>
      </w:numPr>
    </w:pPr>
  </w:style>
  <w:style w:type="paragraph" w:styleId="29">
    <w:name w:val="Date"/>
    <w:next w:val="7"/>
    <w:qFormat/>
    <w:uiPriority w:val="0"/>
    <w:pPr>
      <w:keepNext/>
      <w:keepLines/>
      <w:spacing w:after="200"/>
      <w:jc w:val="center"/>
    </w:pPr>
    <w:rPr>
      <w:rFonts w:ascii="微软雅黑" w:hAnsi="微软雅黑" w:eastAsia="微软雅黑" w:cstheme="minorBidi"/>
      <w:sz w:val="24"/>
      <w:szCs w:val="24"/>
      <w:lang w:val="en-US" w:eastAsia="en-US" w:bidi="ar-SA"/>
    </w:rPr>
  </w:style>
  <w:style w:type="paragraph" w:styleId="30">
    <w:name w:val="endnote text"/>
    <w:basedOn w:val="1"/>
    <w:qFormat/>
    <w:uiPriority w:val="0"/>
    <w:pPr>
      <w:snapToGrid w:val="0"/>
      <w:jc w:val="left"/>
    </w:pPr>
  </w:style>
  <w:style w:type="paragraph" w:styleId="31">
    <w:name w:val="Balloon Text"/>
    <w:basedOn w:val="1"/>
    <w:qFormat/>
    <w:uiPriority w:val="0"/>
    <w:pPr>
      <w:ind w:firstLine="0" w:firstLineChars="0"/>
    </w:pPr>
    <w:rPr>
      <w:sz w:val="18"/>
    </w:rPr>
  </w:style>
  <w:style w:type="paragraph" w:styleId="32">
    <w:name w:val="footer"/>
    <w:basedOn w:val="1"/>
    <w:qFormat/>
    <w:uiPriority w:val="0"/>
    <w:pPr>
      <w:tabs>
        <w:tab w:val="center" w:pos="4153"/>
        <w:tab w:val="right" w:pos="8306"/>
      </w:tabs>
      <w:snapToGrid w:val="0"/>
      <w:jc w:val="left"/>
    </w:pPr>
    <w:rPr>
      <w:sz w:val="18"/>
    </w:rPr>
  </w:style>
  <w:style w:type="paragraph" w:styleId="3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34">
    <w:name w:val="toc 1"/>
    <w:basedOn w:val="1"/>
    <w:next w:val="1"/>
    <w:qFormat/>
    <w:uiPriority w:val="0"/>
  </w:style>
  <w:style w:type="paragraph" w:styleId="35">
    <w:name w:val="Subtitle"/>
    <w:basedOn w:val="36"/>
    <w:next w:val="7"/>
    <w:qFormat/>
    <w:uiPriority w:val="0"/>
    <w:pPr>
      <w:keepNext/>
      <w:keepLines/>
      <w:spacing w:before="240" w:after="240"/>
      <w:jc w:val="center"/>
    </w:pPr>
    <w:rPr>
      <w:rFonts w:ascii="微软雅黑" w:hAnsi="微软雅黑"/>
      <w:sz w:val="30"/>
      <w:szCs w:val="30"/>
    </w:rPr>
  </w:style>
  <w:style w:type="paragraph" w:styleId="36">
    <w:name w:val="Title"/>
    <w:basedOn w:val="1"/>
    <w:qFormat/>
    <w:uiPriority w:val="0"/>
    <w:pPr>
      <w:spacing w:before="240" w:beforeLines="0" w:beforeAutospacing="0" w:after="60" w:afterLines="0" w:afterAutospacing="0"/>
      <w:jc w:val="center"/>
      <w:outlineLvl w:val="0"/>
    </w:pPr>
    <w:rPr>
      <w:rFonts w:ascii="Arial" w:hAnsi="Arial"/>
      <w:b/>
      <w:sz w:val="32"/>
    </w:rPr>
  </w:style>
  <w:style w:type="paragraph" w:styleId="37">
    <w:name w:val="List Number 5"/>
    <w:basedOn w:val="1"/>
    <w:qFormat/>
    <w:uiPriority w:val="0"/>
    <w:pPr>
      <w:numPr>
        <w:ilvl w:val="0"/>
        <w:numId w:val="12"/>
      </w:numPr>
    </w:pPr>
  </w:style>
  <w:style w:type="paragraph" w:styleId="38">
    <w:name w:val="List"/>
    <w:basedOn w:val="1"/>
    <w:qFormat/>
    <w:uiPriority w:val="0"/>
    <w:pPr>
      <w:ind w:left="200" w:hanging="200" w:hangingChars="200"/>
    </w:pPr>
  </w:style>
  <w:style w:type="paragraph" w:styleId="39">
    <w:name w:val="footnote text"/>
    <w:basedOn w:val="1"/>
    <w:unhideWhenUsed/>
    <w:qFormat/>
    <w:uiPriority w:val="9"/>
    <w:rPr>
      <w:rFonts w:ascii="微软雅黑" w:hAnsi="微软雅黑" w:eastAsia="微软雅黑"/>
    </w:rPr>
  </w:style>
  <w:style w:type="paragraph" w:styleId="40">
    <w:name w:val="List 5"/>
    <w:basedOn w:val="1"/>
    <w:qFormat/>
    <w:uiPriority w:val="0"/>
    <w:pPr>
      <w:ind w:left="100" w:leftChars="800" w:hanging="200" w:hangingChars="200"/>
    </w:pPr>
  </w:style>
  <w:style w:type="paragraph" w:styleId="41">
    <w:name w:val="table of figures"/>
    <w:basedOn w:val="1"/>
    <w:next w:val="1"/>
    <w:qFormat/>
    <w:uiPriority w:val="0"/>
    <w:pPr>
      <w:ind w:leftChars="0" w:firstLine="0" w:firstLineChars="0"/>
      <w:jc w:val="left"/>
    </w:pPr>
    <w:rPr>
      <w:rFonts w:ascii="微软雅黑" w:hAnsi="微软雅黑" w:eastAsia="微软雅黑"/>
    </w:rPr>
  </w:style>
  <w:style w:type="paragraph" w:styleId="42">
    <w:name w:val="List 4"/>
    <w:basedOn w:val="1"/>
    <w:qFormat/>
    <w:uiPriority w:val="0"/>
    <w:pPr>
      <w:ind w:left="100" w:leftChars="600" w:hanging="200" w:hangingChars="200"/>
    </w:pPr>
  </w:style>
  <w:style w:type="paragraph" w:styleId="43">
    <w:name w:val="List Continue 2"/>
    <w:basedOn w:val="1"/>
    <w:qFormat/>
    <w:uiPriority w:val="0"/>
    <w:pPr>
      <w:spacing w:after="120" w:afterLines="0" w:afterAutospacing="0"/>
      <w:ind w:left="840" w:leftChars="400"/>
    </w:pPr>
  </w:style>
  <w:style w:type="paragraph" w:styleId="4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sz w:val="24"/>
    </w:rPr>
  </w:style>
  <w:style w:type="paragraph" w:styleId="45">
    <w:name w:val="Normal (Web)"/>
    <w:basedOn w:val="1"/>
    <w:qFormat/>
    <w:uiPriority w:val="0"/>
    <w:pPr>
      <w:spacing w:before="-2147483648" w:beforeAutospacing="1" w:after="-2147483648" w:afterAutospacing="1"/>
      <w:ind w:left="0" w:right="0" w:firstLine="560" w:firstLineChars="200"/>
      <w:jc w:val="both"/>
    </w:pPr>
    <w:rPr>
      <w:rFonts w:ascii="微软雅黑" w:hAnsi="微软雅黑" w:eastAsia="微软雅黑"/>
      <w:lang w:eastAsia="zh-CN" w:bidi="ar"/>
    </w:rPr>
  </w:style>
  <w:style w:type="paragraph" w:styleId="46">
    <w:name w:val="List Continue 3"/>
    <w:basedOn w:val="1"/>
    <w:qFormat/>
    <w:uiPriority w:val="0"/>
    <w:pPr>
      <w:spacing w:after="120" w:afterLines="0" w:afterAutospacing="0"/>
      <w:ind w:left="1260" w:leftChars="600"/>
    </w:pPr>
  </w:style>
  <w:style w:type="paragraph" w:styleId="47">
    <w:name w:val="index 1"/>
    <w:basedOn w:val="1"/>
    <w:next w:val="1"/>
    <w:qFormat/>
    <w:uiPriority w:val="0"/>
  </w:style>
  <w:style w:type="paragraph" w:styleId="48">
    <w:name w:val="index 2"/>
    <w:basedOn w:val="1"/>
    <w:next w:val="1"/>
    <w:qFormat/>
    <w:uiPriority w:val="0"/>
    <w:pPr>
      <w:ind w:left="200" w:leftChars="200"/>
    </w:pPr>
  </w:style>
  <w:style w:type="paragraph" w:styleId="49">
    <w:name w:val="annotation subject"/>
    <w:basedOn w:val="20"/>
    <w:next w:val="20"/>
    <w:qFormat/>
    <w:uiPriority w:val="0"/>
    <w:rPr>
      <w:b/>
    </w:rPr>
  </w:style>
  <w:style w:type="character" w:styleId="52">
    <w:name w:val="endnote reference"/>
    <w:basedOn w:val="51"/>
    <w:qFormat/>
    <w:uiPriority w:val="0"/>
    <w:rPr>
      <w:vertAlign w:val="superscript"/>
    </w:rPr>
  </w:style>
  <w:style w:type="character" w:styleId="53">
    <w:name w:val="page number"/>
    <w:basedOn w:val="51"/>
    <w:qFormat/>
    <w:uiPriority w:val="0"/>
  </w:style>
  <w:style w:type="character" w:styleId="54">
    <w:name w:val="Emphasis"/>
    <w:basedOn w:val="51"/>
    <w:qFormat/>
    <w:uiPriority w:val="0"/>
    <w:rPr>
      <w:i/>
    </w:rPr>
  </w:style>
  <w:style w:type="character" w:styleId="55">
    <w:name w:val="line number"/>
    <w:basedOn w:val="51"/>
    <w:qFormat/>
    <w:uiPriority w:val="0"/>
  </w:style>
  <w:style w:type="character" w:styleId="56">
    <w:name w:val="Hyperlink"/>
    <w:basedOn w:val="57"/>
    <w:qFormat/>
    <w:uiPriority w:val="0"/>
    <w:rPr>
      <w:color w:val="0070C0"/>
      <w:u w:val="single"/>
    </w:rPr>
  </w:style>
  <w:style w:type="character" w:customStyle="1" w:styleId="57">
    <w:name w:val="Body Text Char"/>
    <w:basedOn w:val="51"/>
    <w:link w:val="7"/>
    <w:qFormat/>
    <w:uiPriority w:val="0"/>
    <w:rPr>
      <w:rFonts w:ascii="微软雅黑" w:hAnsi="微软雅黑" w:eastAsia="微软雅黑"/>
    </w:rPr>
  </w:style>
  <w:style w:type="character" w:styleId="58">
    <w:name w:val="annotation reference"/>
    <w:basedOn w:val="51"/>
    <w:qFormat/>
    <w:uiPriority w:val="0"/>
    <w:rPr>
      <w:sz w:val="21"/>
    </w:rPr>
  </w:style>
  <w:style w:type="character" w:styleId="59">
    <w:name w:val="footnote reference"/>
    <w:basedOn w:val="57"/>
    <w:qFormat/>
    <w:uiPriority w:val="0"/>
    <w:rPr>
      <w:vertAlign w:val="superscript"/>
    </w:rPr>
  </w:style>
  <w:style w:type="paragraph" w:customStyle="1" w:styleId="60">
    <w:name w:val="First Paragraph"/>
    <w:basedOn w:val="7"/>
    <w:next w:val="7"/>
    <w:qFormat/>
    <w:uiPriority w:val="0"/>
    <w:pPr>
      <w:ind w:firstLine="720" w:firstLineChars="200"/>
      <w:jc w:val="both"/>
    </w:pPr>
  </w:style>
  <w:style w:type="paragraph" w:customStyle="1" w:styleId="61">
    <w:name w:val="Compact"/>
    <w:basedOn w:val="7"/>
    <w:qFormat/>
    <w:uiPriority w:val="0"/>
    <w:pPr>
      <w:spacing w:before="36" w:after="36"/>
    </w:pPr>
  </w:style>
  <w:style w:type="paragraph" w:customStyle="1" w:styleId="62">
    <w:name w:val="Author"/>
    <w:next w:val="7"/>
    <w:qFormat/>
    <w:uiPriority w:val="0"/>
    <w:pPr>
      <w:keepNext/>
      <w:keepLines/>
      <w:spacing w:after="200"/>
      <w:jc w:val="center"/>
    </w:pPr>
    <w:rPr>
      <w:rFonts w:ascii="微软雅黑" w:hAnsi="微软雅黑" w:eastAsia="微软雅黑" w:cstheme="minorBidi"/>
      <w:sz w:val="24"/>
      <w:szCs w:val="24"/>
      <w:lang w:val="en-US" w:eastAsia="en-US" w:bidi="ar-SA"/>
    </w:rPr>
  </w:style>
  <w:style w:type="paragraph" w:customStyle="1" w:styleId="63">
    <w:name w:val="Abstract Title"/>
    <w:basedOn w:val="1"/>
    <w:next w:val="64"/>
    <w:qFormat/>
    <w:uiPriority w:val="0"/>
    <w:pPr>
      <w:keepNext/>
      <w:keepLines/>
      <w:spacing w:before="300" w:after="0"/>
      <w:jc w:val="center"/>
    </w:pPr>
    <w:rPr>
      <w:b/>
      <w:color w:val="345A8A"/>
      <w:sz w:val="20"/>
      <w:szCs w:val="20"/>
    </w:rPr>
  </w:style>
  <w:style w:type="paragraph" w:customStyle="1" w:styleId="64">
    <w:name w:val="Abstract"/>
    <w:basedOn w:val="1"/>
    <w:next w:val="7"/>
    <w:qFormat/>
    <w:uiPriority w:val="0"/>
    <w:pPr>
      <w:keepNext/>
      <w:keepLines/>
      <w:spacing w:before="100" w:after="300"/>
    </w:pPr>
    <w:rPr>
      <w:rFonts w:ascii="微软雅黑" w:hAnsi="微软雅黑" w:eastAsia="微软雅黑"/>
      <w:sz w:val="20"/>
      <w:szCs w:val="20"/>
    </w:rPr>
  </w:style>
  <w:style w:type="paragraph" w:customStyle="1" w:styleId="65">
    <w:name w:val="Bibliography"/>
    <w:basedOn w:val="1"/>
    <w:qFormat/>
    <w:uiPriority w:val="0"/>
  </w:style>
  <w:style w:type="paragraph" w:customStyle="1" w:styleId="66">
    <w:name w:val="Footnote Block Text"/>
    <w:unhideWhenUsed/>
    <w:qFormat/>
    <w:uiPriority w:val="9"/>
    <w:pPr>
      <w:spacing w:before="100" w:after="100"/>
      <w:ind w:left="480" w:right="480" w:firstLine="0"/>
    </w:pPr>
    <w:rPr>
      <w:rFonts w:asciiTheme="minorHAnsi" w:hAnsiTheme="minorHAnsi" w:eastAsiaTheme="minorHAnsi" w:cstheme="minorBidi"/>
      <w:sz w:val="24"/>
      <w:szCs w:val="24"/>
      <w:lang w:val="en-US" w:eastAsia="en-US" w:bidi="ar-SA"/>
    </w:rPr>
  </w:style>
  <w:style w:type="table" w:customStyle="1" w:styleId="6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68">
    <w:name w:val="Definition Term"/>
    <w:basedOn w:val="1"/>
    <w:next w:val="69"/>
    <w:qFormat/>
    <w:uiPriority w:val="0"/>
    <w:pPr>
      <w:keepNext/>
      <w:keepLines/>
      <w:spacing w:after="0"/>
    </w:pPr>
    <w:rPr>
      <w:rFonts w:ascii="微软雅黑" w:hAnsi="微软雅黑" w:eastAsia="微软雅黑"/>
      <w:b/>
    </w:rPr>
  </w:style>
  <w:style w:type="paragraph" w:customStyle="1" w:styleId="69">
    <w:name w:val="Definition"/>
    <w:basedOn w:val="1"/>
    <w:qFormat/>
    <w:uiPriority w:val="0"/>
    <w:rPr>
      <w:rFonts w:ascii="微软雅黑" w:hAnsi="微软雅黑" w:eastAsia="微软雅黑"/>
    </w:rPr>
  </w:style>
  <w:style w:type="paragraph" w:customStyle="1" w:styleId="70">
    <w:name w:val="Table Caption"/>
    <w:basedOn w:val="17"/>
    <w:qFormat/>
    <w:uiPriority w:val="0"/>
    <w:pPr>
      <w:keepNext/>
    </w:pPr>
    <w:rPr>
      <w:rFonts w:ascii="微软雅黑" w:hAnsi="微软雅黑" w:eastAsia="微软雅黑"/>
    </w:rPr>
  </w:style>
  <w:style w:type="paragraph" w:customStyle="1" w:styleId="71">
    <w:name w:val="Image Caption"/>
    <w:basedOn w:val="17"/>
    <w:qFormat/>
    <w:uiPriority w:val="0"/>
    <w:rPr>
      <w:rFonts w:ascii="微软雅黑" w:hAnsi="微软雅黑" w:eastAsia="微软雅黑"/>
    </w:rPr>
  </w:style>
  <w:style w:type="paragraph" w:customStyle="1" w:styleId="72">
    <w:name w:val="Figure"/>
    <w:basedOn w:val="1"/>
    <w:qFormat/>
    <w:uiPriority w:val="0"/>
  </w:style>
  <w:style w:type="paragraph" w:customStyle="1" w:styleId="73">
    <w:name w:val="Captioned Figure"/>
    <w:basedOn w:val="72"/>
    <w:qFormat/>
    <w:uiPriority w:val="0"/>
    <w:pPr>
      <w:keepNext/>
    </w:pPr>
  </w:style>
  <w:style w:type="character" w:customStyle="1" w:styleId="74">
    <w:name w:val="Verbatim Char"/>
    <w:basedOn w:val="57"/>
    <w:qFormat/>
    <w:uiPriority w:val="0"/>
    <w:rPr>
      <w:rFonts w:ascii="Copperplate" w:hAnsi="Copperplate"/>
      <w:sz w:val="22"/>
    </w:rPr>
  </w:style>
  <w:style w:type="character" w:customStyle="1" w:styleId="75">
    <w:name w:val="Section Number"/>
    <w:basedOn w:val="57"/>
    <w:qFormat/>
    <w:uiPriority w:val="0"/>
  </w:style>
  <w:style w:type="paragraph" w:customStyle="1" w:styleId="76">
    <w:name w:val="TOC Heading"/>
    <w:basedOn w:val="2"/>
    <w:next w:val="7"/>
    <w:unhideWhenUsed/>
    <w:qFormat/>
    <w:uiPriority w:val="39"/>
    <w:pPr>
      <w:tabs>
        <w:tab w:val="left" w:pos="0"/>
      </w:tabs>
      <w:spacing w:before="240" w:line="259" w:lineRule="auto"/>
      <w:outlineLvl w:val="9"/>
    </w:pPr>
    <w:rPr>
      <w:rFonts w:asciiTheme="majorHAnsi" w:hAnsiTheme="majorHAnsi" w:eastAsiaTheme="majorEastAsia" w:cstheme="majorBidi"/>
      <w:b w:val="0"/>
      <w:color w:val="366091" w:themeColor="accent1" w:themeShade="BF"/>
    </w:rPr>
  </w:style>
  <w:style w:type="paragraph" w:customStyle="1" w:styleId="77">
    <w:name w:val="Source Code"/>
    <w:qFormat/>
    <w:uiPriority w:val="0"/>
    <w:pPr>
      <w:wordWrap w:val="0"/>
    </w:pPr>
    <w:rPr>
      <w:rFonts w:asciiTheme="minorHAnsi" w:hAnsiTheme="minorHAnsi" w:eastAsiaTheme="minorHAnsi" w:cstheme="minorBidi"/>
    </w:rPr>
  </w:style>
  <w:style w:type="character" w:customStyle="1" w:styleId="78">
    <w:name w:val="KeywordTok"/>
    <w:qFormat/>
    <w:uiPriority w:val="0"/>
    <w:rPr>
      <w:b/>
      <w:color w:val="007020"/>
    </w:rPr>
  </w:style>
  <w:style w:type="character" w:customStyle="1" w:styleId="79">
    <w:name w:val="DataTypeTok"/>
    <w:qFormat/>
    <w:uiPriority w:val="0"/>
    <w:rPr>
      <w:color w:val="902000"/>
    </w:rPr>
  </w:style>
  <w:style w:type="character" w:customStyle="1" w:styleId="80">
    <w:name w:val="DecValTok"/>
    <w:qFormat/>
    <w:uiPriority w:val="0"/>
    <w:rPr>
      <w:color w:val="40A070"/>
    </w:rPr>
  </w:style>
  <w:style w:type="character" w:customStyle="1" w:styleId="81">
    <w:name w:val="BaseNTok"/>
    <w:qFormat/>
    <w:uiPriority w:val="0"/>
    <w:rPr>
      <w:color w:val="40A070"/>
    </w:rPr>
  </w:style>
  <w:style w:type="character" w:customStyle="1" w:styleId="82">
    <w:name w:val="FloatTok"/>
    <w:qFormat/>
    <w:uiPriority w:val="0"/>
    <w:rPr>
      <w:color w:val="40A070"/>
    </w:rPr>
  </w:style>
  <w:style w:type="character" w:customStyle="1" w:styleId="83">
    <w:name w:val="ConstantTok"/>
    <w:qFormat/>
    <w:uiPriority w:val="0"/>
    <w:rPr>
      <w:color w:val="880000"/>
    </w:rPr>
  </w:style>
  <w:style w:type="character" w:customStyle="1" w:styleId="84">
    <w:name w:val="CharTok"/>
    <w:qFormat/>
    <w:uiPriority w:val="0"/>
    <w:rPr>
      <w:color w:val="4070A0"/>
    </w:rPr>
  </w:style>
  <w:style w:type="character" w:customStyle="1" w:styleId="85">
    <w:name w:val="SpecialCharTok"/>
    <w:qFormat/>
    <w:uiPriority w:val="0"/>
    <w:rPr>
      <w:color w:val="4070A0"/>
    </w:rPr>
  </w:style>
  <w:style w:type="character" w:customStyle="1" w:styleId="86">
    <w:name w:val="StringTok"/>
    <w:qFormat/>
    <w:uiPriority w:val="0"/>
    <w:rPr>
      <w:color w:val="4070A0"/>
    </w:rPr>
  </w:style>
  <w:style w:type="character" w:customStyle="1" w:styleId="87">
    <w:name w:val="VerbatimStringTok"/>
    <w:qFormat/>
    <w:uiPriority w:val="0"/>
    <w:rPr>
      <w:color w:val="4070A0"/>
    </w:rPr>
  </w:style>
  <w:style w:type="character" w:customStyle="1" w:styleId="88">
    <w:name w:val="SpecialStringTok"/>
    <w:qFormat/>
    <w:uiPriority w:val="0"/>
    <w:rPr>
      <w:color w:val="BB6688"/>
    </w:rPr>
  </w:style>
  <w:style w:type="character" w:customStyle="1" w:styleId="89">
    <w:name w:val="ImportTok"/>
    <w:qFormat/>
    <w:uiPriority w:val="0"/>
    <w:rPr>
      <w:b/>
      <w:color w:val="008000"/>
    </w:rPr>
  </w:style>
  <w:style w:type="character" w:customStyle="1" w:styleId="90">
    <w:name w:val="CommentTok"/>
    <w:qFormat/>
    <w:uiPriority w:val="0"/>
    <w:rPr>
      <w:i/>
      <w:color w:val="60A0B0"/>
    </w:rPr>
  </w:style>
  <w:style w:type="character" w:customStyle="1" w:styleId="91">
    <w:name w:val="DocumentationTok"/>
    <w:qFormat/>
    <w:uiPriority w:val="0"/>
    <w:rPr>
      <w:i/>
      <w:color w:val="BA2121"/>
    </w:rPr>
  </w:style>
  <w:style w:type="character" w:customStyle="1" w:styleId="92">
    <w:name w:val="AnnotationTok"/>
    <w:qFormat/>
    <w:uiPriority w:val="0"/>
    <w:rPr>
      <w:b/>
      <w:i/>
      <w:color w:val="60A0B0"/>
    </w:rPr>
  </w:style>
  <w:style w:type="character" w:customStyle="1" w:styleId="93">
    <w:name w:val="CommentVarTok"/>
    <w:qFormat/>
    <w:uiPriority w:val="0"/>
    <w:rPr>
      <w:b/>
      <w:i/>
      <w:color w:val="60A0B0"/>
    </w:rPr>
  </w:style>
  <w:style w:type="character" w:customStyle="1" w:styleId="94">
    <w:name w:val="OtherTok"/>
    <w:qFormat/>
    <w:uiPriority w:val="0"/>
    <w:rPr>
      <w:color w:val="007020"/>
    </w:rPr>
  </w:style>
  <w:style w:type="character" w:customStyle="1" w:styleId="95">
    <w:name w:val="FunctionTok"/>
    <w:qFormat/>
    <w:uiPriority w:val="0"/>
    <w:rPr>
      <w:color w:val="06287E"/>
    </w:rPr>
  </w:style>
  <w:style w:type="character" w:customStyle="1" w:styleId="96">
    <w:name w:val="VariableTok"/>
    <w:qFormat/>
    <w:uiPriority w:val="0"/>
    <w:rPr>
      <w:color w:val="19177C"/>
    </w:rPr>
  </w:style>
  <w:style w:type="character" w:customStyle="1" w:styleId="97">
    <w:name w:val="ControlFlowTok"/>
    <w:qFormat/>
    <w:uiPriority w:val="0"/>
    <w:rPr>
      <w:b/>
      <w:color w:val="007020"/>
    </w:rPr>
  </w:style>
  <w:style w:type="character" w:customStyle="1" w:styleId="98">
    <w:name w:val="OperatorTok"/>
    <w:qFormat/>
    <w:uiPriority w:val="0"/>
    <w:rPr>
      <w:color w:val="666666"/>
    </w:rPr>
  </w:style>
  <w:style w:type="character" w:customStyle="1" w:styleId="99">
    <w:name w:val="BuiltInTok"/>
    <w:qFormat/>
    <w:uiPriority w:val="0"/>
    <w:rPr>
      <w:color w:val="008000"/>
    </w:rPr>
  </w:style>
  <w:style w:type="character" w:customStyle="1" w:styleId="100">
    <w:name w:val="ExtensionTok"/>
    <w:qFormat/>
    <w:uiPriority w:val="0"/>
  </w:style>
  <w:style w:type="character" w:customStyle="1" w:styleId="101">
    <w:name w:val="PreprocessorTok"/>
    <w:qFormat/>
    <w:uiPriority w:val="0"/>
    <w:rPr>
      <w:color w:val="BC7A00"/>
    </w:rPr>
  </w:style>
  <w:style w:type="character" w:customStyle="1" w:styleId="102">
    <w:name w:val="AttributeTok"/>
    <w:qFormat/>
    <w:uiPriority w:val="0"/>
    <w:rPr>
      <w:color w:val="7D9029"/>
    </w:rPr>
  </w:style>
  <w:style w:type="character" w:customStyle="1" w:styleId="103">
    <w:name w:val="RegionMarkerTok"/>
    <w:qFormat/>
    <w:uiPriority w:val="0"/>
  </w:style>
  <w:style w:type="character" w:customStyle="1" w:styleId="104">
    <w:name w:val="InformationTok"/>
    <w:qFormat/>
    <w:uiPriority w:val="0"/>
    <w:rPr>
      <w:b/>
      <w:i/>
      <w:color w:val="60A0B0"/>
    </w:rPr>
  </w:style>
  <w:style w:type="character" w:customStyle="1" w:styleId="105">
    <w:name w:val="WarningTok"/>
    <w:qFormat/>
    <w:uiPriority w:val="0"/>
    <w:rPr>
      <w:b/>
      <w:i/>
      <w:color w:val="60A0B0"/>
    </w:rPr>
  </w:style>
  <w:style w:type="character" w:customStyle="1" w:styleId="106">
    <w:name w:val="AlertTok"/>
    <w:qFormat/>
    <w:uiPriority w:val="0"/>
    <w:rPr>
      <w:b/>
      <w:color w:val="FF0000"/>
    </w:rPr>
  </w:style>
  <w:style w:type="character" w:customStyle="1" w:styleId="107">
    <w:name w:val="ErrorTok"/>
    <w:qFormat/>
    <w:uiPriority w:val="0"/>
    <w:rPr>
      <w:b/>
      <w:color w:val="FF0000"/>
    </w:rPr>
  </w:style>
  <w:style w:type="character" w:customStyle="1" w:styleId="108">
    <w:name w:val="NormalTok"/>
    <w:qFormat/>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10</Pages>
  <Words>450</Words>
  <Characters>502</Characters>
  <Lines>12</Lines>
  <Paragraphs>8</Paragraphs>
  <TotalTime>12</TotalTime>
  <ScaleCrop>false</ScaleCrop>
  <LinksUpToDate>false</LinksUpToDate>
  <CharactersWithSpaces>502</CharactersWithSpaces>
  <Application>WPS Office WWO_wpscloud_20250925191819-314b3f48ed</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2024-11-15T15:05:00Z</dcterms:created>
  <dc:creator>bowen</dc:creator>
  <cp:lastModifiedBy>张运哲</cp:lastModifiedBy>
  <dcterms:modified xsi:type="dcterms:W3CDTF">2025-10-06T01:08:04Z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2052-12.9.0.23117</vt:lpwstr>
  </property>
  <property fmtid="{D5CDD505-2E9C-101B-9397-08002B2CF9AE}" pid="3" name="ICV">
    <vt:lpwstr>9B53EFC52E00FD2AF4A5E268DEA393FA_43</vt:lpwstr>
  </property>
  <property fmtid="{D5CDD505-2E9C-101B-9397-08002B2CF9AE}" pid="4" name="KSOTemplateDocerSaveRecord">
    <vt:lpwstr>eyJoZGlkIjoiNzI4YmNmYThhZjA0NTVhODllNDhjMGZiNmFkMDJjN2YiLCJ1c2VySWQiOiIxNjA5OTI0MDI0In0=</vt:lpwstr>
  </property>
</Properties>
</file>