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2C044">
      <w:pPr>
        <w:pStyle w:val="2"/>
        <w:ind w:left="0" w:leftChars="0" w:firstLine="0" w:firstLineChars="0"/>
      </w:pPr>
      <w:bookmarkStart w:id="2" w:name="_GoBack"/>
      <w:bookmarkEnd w:id="2"/>
      <w:r>
        <w:t>高速纵剪线上料小车技术手册</w:t>
      </w:r>
    </w:p>
    <w:p w14:paraId="634DDDBE">
      <w:pPr>
        <w:pStyle w:val="3"/>
      </w:pPr>
      <w:r>
        <w:t>一、设备概述</w:t>
      </w:r>
    </w:p>
    <w:p w14:paraId="095854BF">
      <w:pPr>
        <w:pStyle w:val="4"/>
      </w:pPr>
      <w:r>
        <w:t>1.1 设备用途与功能定位</w:t>
      </w:r>
    </w:p>
    <w:p w14:paraId="28AFB15D">
      <w:r>
        <w:t>高速纵剪线上料小车是纵剪机组不可或缺的关键辅助设备，其核心功能是实现钢卷在生产线中的自动化转运与精准定位。在纵剪生产线工艺流程中，上料小车承接从储料台到开卷机的钢卷输送任务，通过与液压机械手、开卷机等设备的协同作业，构建起连续、高效的物料流转链路。具体而言，设备首先接收来自生产线控制系统的上料指令，通过液压或电动驱动系统将钢卷从储料台平稳托起，随后沿预设轨道行驶至开卷机前方，通过横向对中与纵向定位机制，将钢卷轴线与开卷机卷筒轴线精准对齐，最终完成钢卷向开卷机的传递。这一过程中，上料小车需同时满足重载运输的稳定性、毫米级定位精度以及与生产线其他设备的信号联锁要求，直接影响纵剪机组的换卷效率、分切精度及整体生产连续性。在高速纵剪生产线中，上料小车的作业节拍通常需与机组分切速度匹配，例如在1.5-6×1600型高速数控纵剪机组中，上料小车的单次循环时间需控制在3分钟以内，以保障生产线200m/min以上的运行速度。</w:t>
      </w:r>
    </w:p>
    <w:p w14:paraId="30474FC2">
      <w:pPr>
        <w:pStyle w:val="4"/>
      </w:pPr>
      <w:r>
        <w:t>1.2 设备技术特点与应用范围</w:t>
      </w:r>
    </w:p>
    <w:p w14:paraId="01E23290">
      <w:r>
        <w:t>高速纵剪线上料小车的技术特点体现在重载设计、高精度定位与自动化控制三个核心维度。重载设计方面，设备采用V型钢结构焊接框架，配合加强筋板与退火处理工艺，可满足30t级钢卷的承载需求，车体框架的应力分布通过有限元分析优化，确保在满载工况下最大变形量不超过2mm。高精度定位依赖双重导向机制，横向通过液压油缸驱动实现±5mm的对中精度，纵向通过编码器与限位开关组合控制，停靠定位误差≤±2mm，可适应钢卷直径Φ800-1800mm、宽度1000-1550mm的规格范围。自动化控制层面，设备集成PLC与HMI系统，支持手动/自动模式切换，自动模式下可通过预设程序与开卷机、纠偏装置等设备实现信号联锁，例如卸料完成后自动触发开卷机卷筒涨紧信号。</w:t>
      </w:r>
    </w:p>
    <w:p w14:paraId="715A7F3C">
      <w:r>
        <w:t>设备的应用范围覆盖各类金属卷材的纵剪分切场景，主要适配于1.5-6×1600mm、0.2-2.0×1650mm等规格的高速纵剪机组，可处理碳钢、不锈钢、镀锌板等多种材质的钢卷。在冷轧带钢生产线、汽车板加工线、家电板材分切等领域应用广泛，尤其适用于对换卷效率要求较高的连续生产场景。与传统人工上料或简易轨道车相比，该设备具有以下技术优势：一是负载能力提升50%以上，可适配更大规格钢卷；二是定位精度从±10mm提升至±2mm，减少开卷过程中的材料浪费；三是自动化程度高，可降低人工干预70%，同时通过故障自诊断功能缩短停机时间。</w:t>
      </w:r>
    </w:p>
    <w:p w14:paraId="2814695E">
      <w:pPr>
        <w:pStyle w:val="3"/>
      </w:pPr>
      <w:r>
        <w:t>二、机械结构组成</w:t>
      </w:r>
    </w:p>
    <w:p w14:paraId="0857F00A">
      <w:pPr>
        <w:pStyle w:val="4"/>
      </w:pPr>
      <w:r>
        <w:t>2.1 车体框架</w:t>
      </w:r>
    </w:p>
    <w:p w14:paraId="745885BD">
      <w:r>
        <w:t>车体框架作为上料小车的承载基础，采用V型钢结构焊接设计，主体材质选用Q355B高强度钢板，板材厚度根据负载等级差异化配置，30t级车型的框架主体钢板厚度为16mm，关键受力部位（如支撑腿与横梁连接处）采用20mm厚钢板并进行局部补强。焊接工艺采用二氧化碳气体保护焊，焊后进行整体退火处理，消除焊接内应力，确保框架在长期重载工况下的结构稳定性。框架表面覆盖5mm厚可更换尼龙衬板，衬板采用螺栓固定，硬度达到邵氏D85，可有效避免钢卷与金属框架直接接触导致的表面划伤。</w:t>
      </w:r>
    </w:p>
    <w:p w14:paraId="6F632C15">
      <w:r>
        <w:t>框架结构设计遵循轻量化与高强度平衡原则，通过拓扑优化技术在非关键区域开设减重孔，整体重量控制在8t以内（30t级车型）。底部安装4组行走轮组件，轮距根据轨道宽度设计为1800mm，轨距适配生产线标准轨道（通常为600mm或900mm）。框架两侧设置防护栏杆，高度1200mm，栏杆间距≤300mm，符合机械安全防护标准。此外，框架上集成液压管路走向槽、电气线缆桥架及传感器安装支架，确保设备整体布局紧凑，便于维护。</w:t>
      </w:r>
    </w:p>
    <w:p w14:paraId="78E84A65">
      <w:pPr>
        <w:pStyle w:val="4"/>
      </w:pPr>
      <w:r>
        <w:t>2.2 驱动系统</w:t>
      </w:r>
    </w:p>
    <w:p w14:paraId="788002E1">
      <w:r>
        <w:t>驱动系统分为行走机构与升降机构两部分，共同实现钢卷的空间位置调整。行走机构采用液压驱动方案，动力源为2台型号为A2FO125的轴向柱塞液压马达，额定工作压力16MPa，输出转速1500r/min，通过链传动将动力传递至车轮轴。传动链条选用16A-2双排滚子链，节距25.4mm，张紧度通过调整螺杆实现，下垂量控制在20mm/1m以内。车轮轴采用45号钢调质处理，硬度达到HB220-250，轴径根据负载设计为Φ120mm，两端装配日本NSK双列圆锥滚子轴承（型号30220），轴承游隙控制在0.02-0.05mm，确保旋转精度。行走轮采用锻钢材质，轮面淬火处理至HRC45-50，轮径Φ350mm，轮宽80mm，与P43钢轨配合，行走速度通过比例调速阀控制，范围0-6m/min，加速时间≤2s，避免启动冲击对钢卷稳定性的影响。</w:t>
      </w:r>
    </w:p>
    <w:p w14:paraId="3EFAB4A2">
      <w:r>
        <w:t>升降机构采用双液压缸同步驱动设计，液压缸型号为HOB80×600，缸径80mm，活塞杆直径50mm，行程600mm，工作压力10-12MPa，可驱动载料平台实现0-600mm的高度调整，以适配不同开卷机中心高（如800mm标准机型）。液压缸活塞杆采用40Cr材质，表面镀铬处理，镀层厚度0.05-0.08mm，粗糙度Ra0.8μm，确保密封件寿命。为保障同步性，两液压缸采用刚性连接梁机械同步，同时配置位移传感器（型号BTL5-E10-M0250-P-S32）实时监测两侧高度差，当差值超过2mm时，PLC系统自动触发调整指令。升降机构的液压回路中设置液压锁（型号SV10PA1-40），确保平台在停止状态下的位置锁定，满负荷状态下5分钟内沉降量≤0.5mm。</w:t>
      </w:r>
    </w:p>
    <w:p w14:paraId="637966C0">
      <w:pPr>
        <w:pStyle w:val="4"/>
      </w:pPr>
      <w:r>
        <w:t>2.3 载料平台</w:t>
      </w:r>
    </w:p>
    <w:p w14:paraId="2C7B28F1">
      <w:r>
        <w:t>载料平台是直接承载钢卷的核心部件，采用双辊支承结构，通过V形托料架与支承辊的组合实现钢卷的稳定放置。V形托料架的夹角设计为90°，两侧安装Φ150mm支承辊，辊子采用42CrMo材质，经调质处理（硬度HB280-320）后表面镀硬铬，镀层厚度0.08mm，表面粗糙度Ra0.4μm，既保证耐磨性又避免划伤钢卷表面。支承辊通过深沟球轴承（型号6206）与托料架连接，轴承润滑采用终身润滑设计，密封形式为双唇口骨架油封，防止粉尘进入。</w:t>
      </w:r>
    </w:p>
    <w:p w14:paraId="009A9854">
      <w:r>
        <w:t>针对不同规格钢卷，载料平台配置可调节侧导板，导板宽度通过手动丝杠或电动推杆调整，调节范围1000-1550mm，导板内侧粘贴聚氨酯缓冲垫（厚度10mm，邵氏硬度60），避免钢卷侧向撞击。平台底部与升降机构通过螺栓刚性连接，连接处设置定位销（Φ20mm）确保安装精度。对于30t级重载机型，V形托料架底部增加“米”字形加强筋板，筋板厚度12mm，与框架横梁形成三角形支撑结构，降低承载时的变形量。此外，平台两侧安装激光对中传感器（型号SICK DT500），激光光斑中心与支承辊轴线等高，用于检测钢卷边缘位置，为横向对中提供反馈信号。</w:t>
      </w:r>
    </w:p>
    <w:p w14:paraId="12534B2A">
      <w:pPr>
        <w:pStyle w:val="4"/>
      </w:pPr>
      <w:r>
        <w:t>2.4 导向定位装置</w:t>
      </w:r>
    </w:p>
    <w:p w14:paraId="7341AE32">
      <w:r>
        <w:t>导向定位装置是保障上料小车运行精度的关键系统，由纵向导向机构与横向对中机构组成。纵向导向通过车体两侧的导向轮与轨道配合实现，每侧安装2组导向轮，轮径Φ120mm，轮面宽度30mm，采用耐磨铸铁材质（HT300），与轨道侧面的接触压力控制在0.5MPa以内。导向轮轴采用45号钢调质处理，轴承选用双列角接触球轴承（型号7205AC），确保导向轮的径向与轴向刚度。轨道安装精度要求平行度偏差≤0.3mm/m，轨距偏差±1mm，通过调整轨道底部垫片实现，轨道侧面安装耐磨条（材质MC尼龙），厚度10mm，降低导向轮与轨道的摩擦系数。</w:t>
      </w:r>
    </w:p>
    <w:p w14:paraId="0033795B">
      <w:r>
        <w:t>横向对中机构采用液压油缸驱动，油缸型号为HOB63×200，行程200mm，工作压力8-10MPa，通过活塞杆推动活动底座带动载料平台横向移动。对中位置检测依赖安装在载料平台两侧的漫反射光电传感器（型号E3Z-D61），传感器检测距离50-100mm，响应时间≤1ms，当钢卷边缘遮挡两侧传感器光束时，PLC判定对中完成。为提高对中精度，系统设置三级减速控制：当检测到钢卷边缘时，对中速度从50mm/s降至20mm/s；接近目标位置5mm时，速度降至5mm/s；最终通过位置闭环控制实现±5mm的对中误差。</w:t>
      </w:r>
    </w:p>
    <w:p w14:paraId="49D32751">
      <w:r>
        <w:t>纵向定位通过增量式编码器（型号Omron E6B2-CWZ6C，1024线）与限位开关组合实现。编码器安装在行走轮轴端，实时反馈小车位移量，PLC通过高速计数模块对脉冲信号进行处理，计算当前位置坐标。轨道两端设置电感式接近开关（型号TL-N5ME1）作为极限位置保护，定位精度±1mm，当小车接近极限位置时，系统触发减速指令，速度从6m/min降至1m/min，最终通过机械限位块（聚氨酯材质，厚度50mm）实现物理缓冲。正常工作位置的定位则通过光电开关（型号E3F3-R61）与挡块配合，定位误差≤±2mm，满足开卷机对钢卷轴线对齐的要求。</w:t>
      </w:r>
    </w:p>
    <w:p w14:paraId="6E86CCB8">
      <w:pPr>
        <w:pStyle w:val="3"/>
      </w:pPr>
      <w:r>
        <w:t>三、功能与技术参数</w:t>
      </w:r>
    </w:p>
    <w:p w14:paraId="0824243D">
      <w:pPr>
        <w:pStyle w:val="4"/>
      </w:pPr>
      <w:r>
        <w:t>3.1 核心功能</w:t>
      </w:r>
    </w:p>
    <w:p w14:paraId="4A32C3BB">
      <w:r>
        <w:t>高速纵剪线上料小车的核心功能围绕钢卷的“转运-定位-对接”全流程展开，具体包括以下三个方面：</w:t>
      </w:r>
    </w:p>
    <w:p w14:paraId="4A3FAF8F">
      <w:r>
        <w:t>物料转运功能是设备的基础能力，通过驱动系统实现钢卷在储料台与开卷机之间的直线运输。作业时，小车首先行驶至储料台下方，升降机构将载料平台举升，使钢卷脱离储料台支撑，随后行走机构驱动小车沿轨道移动至开卷机区域。转运过程中，设备通过多重安全机制保障钢卷稳定，如V形托料架的防侧翻设计、行走速度的平滑加减速控制（加速度≤0.1m/s²），以及过载保护（当检测到负载超过额定值110%时自动停机）。针对不同重量的钢卷，系统可自动匹配行走速度，重载（≥20t）时速度≤3m/min，轻载（&lt;10t）时速度可达6m/min，平衡运输效率与安全性。</w:t>
      </w:r>
    </w:p>
    <w:p w14:paraId="50CE5FD3">
      <w:r>
        <w:t>精准定位功能是保障后续分切精度的关键，包括横向对中与纵向停靠两个维度。横向对中通过液压油缸驱动载料平台左右移动，利用光电传感器检测钢卷边缘位置，与开卷机卷筒轴线进行比对，控制精度±5mm。纵向停靠则通过编码器反馈的位移信号与预设位置进行闭环控制，当小车接近目标位置时，系统自动执行三级减速（6m/min→3m/min→0.5m/min），最终停靠误差≤±2mm。定位完成后，载料平台根据开卷机卷筒高度进行升降调整，使钢卷轴线与卷筒轴线处于同一水平面，调整范围0-600mm，满足不同开卷机中心高（如600mm、800mm、1000mm）的适配需求。</w:t>
      </w:r>
    </w:p>
    <w:p w14:paraId="7982C168">
      <w:r>
        <w:t>协同作业功能实现设备与生产线其他单元的自动化联动，通过PLC与生产线控制系统的信号交互，构建无缝衔接的生产流程。在自动模式下，小车接收上料指令后，可自动识别储料台上的钢卷规格（通过RFID或人工预设），并调用对应的运输参数；到达开卷机位置后，向开卷机发送“准备就绪”信号，待开卷机卷筒伸出并涨紧钢卷后，小车载料平台下降，完成卸料并发送“卸料完成”信号，触发开卷机启动程序。此外，设备还具备与液压机械手的协同能力，当储料台钢卷重量超过小车负载时，可接收机械手的辅助上料信号，实现钢卷的分段转移。</w:t>
      </w:r>
    </w:p>
    <w:p w14:paraId="52479237">
      <w:pPr>
        <w:pStyle w:val="4"/>
      </w:pPr>
      <w:r>
        <w:t>3.2 关键技术参数</w:t>
      </w:r>
    </w:p>
    <w:p w14:paraId="2976564E">
      <w:r>
        <w:t>高速纵剪线上料小车的关键技术参数如下，涵盖机械性能、控制精度、环境适应等多个维度，为设备选型与日常维护提供参考依据：</w:t>
      </w:r>
    </w:p>
    <w:tbl>
      <w:tblPr>
        <w:tblStyle w:val="50"/>
        <w:tblW w:w="0" w:type="auto"/>
        <w:tblInd w:w="0" w:type="dxa"/>
        <w:tblLayout w:type="fixed"/>
        <w:tblCellMar>
          <w:top w:w="0" w:type="dxa"/>
          <w:left w:w="0" w:type="dxa"/>
          <w:bottom w:w="0" w:type="dxa"/>
          <w:right w:w="0" w:type="dxa"/>
        </w:tblCellMar>
      </w:tblPr>
      <w:tblGrid>
        <w:gridCol w:w="4320"/>
        <w:gridCol w:w="4320"/>
      </w:tblGrid>
      <w:tr w14:paraId="28FC92F5">
        <w:tblPrEx>
          <w:tblCellMar>
            <w:top w:w="0" w:type="dxa"/>
            <w:left w:w="0" w:type="dxa"/>
            <w:bottom w:w="0" w:type="dxa"/>
            <w:right w:w="0" w:type="dxa"/>
          </w:tblCellMar>
        </w:tblPrEx>
        <w:tc>
          <w:tcPr>
            <w:tcW w:w="0" w:type="auto"/>
            <w:vAlign w:val="center"/>
          </w:tcPr>
          <w:p w14:paraId="0ABFD8D1">
            <w:pPr>
              <w:jc w:val="center"/>
              <w:rPr>
                <w:b/>
              </w:rPr>
            </w:pPr>
            <w:r>
              <w:rPr>
                <w:b/>
              </w:rPr>
              <w:t>参数类别</w:t>
            </w:r>
          </w:p>
        </w:tc>
        <w:tc>
          <w:tcPr>
            <w:tcW w:w="0" w:type="auto"/>
            <w:vAlign w:val="center"/>
          </w:tcPr>
          <w:p w14:paraId="4C89E917">
            <w:pPr>
              <w:jc w:val="center"/>
              <w:rPr>
                <w:b/>
              </w:rPr>
            </w:pPr>
            <w:r>
              <w:rPr>
                <w:b/>
              </w:rPr>
              <w:t>具体参数</w:t>
            </w:r>
          </w:p>
        </w:tc>
      </w:tr>
      <w:tr w14:paraId="381B9AF3">
        <w:tblPrEx>
          <w:tblCellMar>
            <w:top w:w="0" w:type="dxa"/>
            <w:left w:w="0" w:type="dxa"/>
            <w:bottom w:w="0" w:type="dxa"/>
            <w:right w:w="0" w:type="dxa"/>
          </w:tblCellMar>
        </w:tblPrEx>
        <w:tc>
          <w:tcPr>
            <w:tcW w:w="0" w:type="auto"/>
            <w:vAlign w:val="center"/>
          </w:tcPr>
          <w:p w14:paraId="094DD1FB">
            <w:r>
              <w:t>基本参数</w:t>
            </w:r>
          </w:p>
        </w:tc>
        <w:tc>
          <w:tcPr>
            <w:tcW w:w="0" w:type="auto"/>
            <w:vAlign w:val="center"/>
          </w:tcPr>
          <w:p w14:paraId="47A1033F">
            <w:r>
              <w:t>设备型号：ZSC-30；外形尺寸（长×宽×高）：4500×2200×1800mm；设备重量：8t</w:t>
            </w:r>
          </w:p>
        </w:tc>
      </w:tr>
      <w:tr w14:paraId="17CE9E46">
        <w:tblPrEx>
          <w:tblCellMar>
            <w:top w:w="0" w:type="dxa"/>
            <w:left w:w="0" w:type="dxa"/>
            <w:bottom w:w="0" w:type="dxa"/>
            <w:right w:w="0" w:type="dxa"/>
          </w:tblCellMar>
        </w:tblPrEx>
        <w:tc>
          <w:tcPr>
            <w:tcW w:w="0" w:type="auto"/>
            <w:vAlign w:val="center"/>
          </w:tcPr>
          <w:p w14:paraId="4E0E31BE">
            <w:r>
              <w:t>负载能力</w:t>
            </w:r>
          </w:p>
        </w:tc>
        <w:tc>
          <w:tcPr>
            <w:tcW w:w="0" w:type="auto"/>
            <w:vAlign w:val="center"/>
          </w:tcPr>
          <w:p w14:paraId="7E7EED69">
            <w:r>
              <w:t>额定负载：30t；最大允许负载：33t（短期）；适配钢卷规格：直径Φ800-1800mm，宽度1000-1550mm</w:t>
            </w:r>
          </w:p>
        </w:tc>
      </w:tr>
      <w:tr w14:paraId="3EDDE1C2">
        <w:tblPrEx>
          <w:tblCellMar>
            <w:top w:w="0" w:type="dxa"/>
            <w:left w:w="0" w:type="dxa"/>
            <w:bottom w:w="0" w:type="dxa"/>
            <w:right w:w="0" w:type="dxa"/>
          </w:tblCellMar>
        </w:tblPrEx>
        <w:tc>
          <w:tcPr>
            <w:tcW w:w="0" w:type="auto"/>
            <w:vAlign w:val="center"/>
          </w:tcPr>
          <w:p w14:paraId="2D4E93FD">
            <w:r>
              <w:t>行走系统</w:t>
            </w:r>
          </w:p>
        </w:tc>
        <w:tc>
          <w:tcPr>
            <w:tcW w:w="0" w:type="auto"/>
            <w:vAlign w:val="center"/>
          </w:tcPr>
          <w:p w14:paraId="6DE9AE43">
            <w:r>
              <w:t>行走速度：0-6m/min（可调）；行走轨道：P43钢轨；轨道间距：600mm/900mm（可选）；行走电机功率：2.2kW×2（液压马达驱动）</w:t>
            </w:r>
          </w:p>
        </w:tc>
      </w:tr>
      <w:tr w14:paraId="6C949CDC">
        <w:tblPrEx>
          <w:tblCellMar>
            <w:top w:w="0" w:type="dxa"/>
            <w:left w:w="0" w:type="dxa"/>
            <w:bottom w:w="0" w:type="dxa"/>
            <w:right w:w="0" w:type="dxa"/>
          </w:tblCellMar>
        </w:tblPrEx>
        <w:tc>
          <w:tcPr>
            <w:tcW w:w="0" w:type="auto"/>
            <w:vAlign w:val="center"/>
          </w:tcPr>
          <w:p w14:paraId="2F15D651">
            <w:r>
              <w:t>升降系统</w:t>
            </w:r>
          </w:p>
        </w:tc>
        <w:tc>
          <w:tcPr>
            <w:tcW w:w="0" w:type="auto"/>
            <w:vAlign w:val="center"/>
          </w:tcPr>
          <w:p w14:paraId="07AF25CD">
            <w:r>
              <w:t>升降行程：0-600mm；升降速度：0-3m/min；工作压力：10-12MPa；液压缸数量：2个（同步驱动）</w:t>
            </w:r>
          </w:p>
        </w:tc>
      </w:tr>
      <w:tr w14:paraId="7F970C3A">
        <w:tblPrEx>
          <w:tblCellMar>
            <w:top w:w="0" w:type="dxa"/>
            <w:left w:w="0" w:type="dxa"/>
            <w:bottom w:w="0" w:type="dxa"/>
            <w:right w:w="0" w:type="dxa"/>
          </w:tblCellMar>
        </w:tblPrEx>
        <w:tc>
          <w:tcPr>
            <w:tcW w:w="0" w:type="auto"/>
            <w:vAlign w:val="center"/>
          </w:tcPr>
          <w:p w14:paraId="4D07C4FE">
            <w:r>
              <w:t>定位精度</w:t>
            </w:r>
          </w:p>
        </w:tc>
        <w:tc>
          <w:tcPr>
            <w:tcW w:w="0" w:type="auto"/>
            <w:vAlign w:val="center"/>
          </w:tcPr>
          <w:p w14:paraId="3E283E86">
            <w:r>
              <w:t>横向对中精度：±5mm；纵向停靠精度：±2mm；升降同步精度：≤2mm（两侧高度差）</w:t>
            </w:r>
          </w:p>
        </w:tc>
      </w:tr>
      <w:tr w14:paraId="6727C248">
        <w:tblPrEx>
          <w:tblCellMar>
            <w:top w:w="0" w:type="dxa"/>
            <w:left w:w="0" w:type="dxa"/>
            <w:bottom w:w="0" w:type="dxa"/>
            <w:right w:w="0" w:type="dxa"/>
          </w:tblCellMar>
        </w:tblPrEx>
        <w:tc>
          <w:tcPr>
            <w:tcW w:w="0" w:type="auto"/>
            <w:vAlign w:val="center"/>
          </w:tcPr>
          <w:p w14:paraId="029A9A04">
            <w:r>
              <w:t>控制系统</w:t>
            </w:r>
          </w:p>
        </w:tc>
        <w:tc>
          <w:tcPr>
            <w:tcW w:w="0" w:type="auto"/>
            <w:vAlign w:val="center"/>
          </w:tcPr>
          <w:p w14:paraId="178F799A">
            <w:r>
              <w:t>PLC型号：西门子S7-1214C DC/DC/DC；HMI：威纶通MT8102iE（10.1英寸）；控制模式：手动/自动切换</w:t>
            </w:r>
          </w:p>
        </w:tc>
      </w:tr>
      <w:tr w14:paraId="2110BFF0">
        <w:tblPrEx>
          <w:tblCellMar>
            <w:top w:w="0" w:type="dxa"/>
            <w:left w:w="0" w:type="dxa"/>
            <w:bottom w:w="0" w:type="dxa"/>
            <w:right w:w="0" w:type="dxa"/>
          </w:tblCellMar>
        </w:tblPrEx>
        <w:tc>
          <w:tcPr>
            <w:tcW w:w="0" w:type="auto"/>
            <w:vAlign w:val="center"/>
          </w:tcPr>
          <w:p w14:paraId="15098676">
            <w:r>
              <w:t>传感器配置</w:t>
            </w:r>
          </w:p>
        </w:tc>
        <w:tc>
          <w:tcPr>
            <w:tcW w:w="0" w:type="auto"/>
            <w:vAlign w:val="center"/>
          </w:tcPr>
          <w:p w14:paraId="75210499">
            <w:r>
              <w:t>编码器：1024线增量式；接近开关：电感式（检测距离5mm）；光电传感器：漫反射式（响应时间≤1ms）</w:t>
            </w:r>
          </w:p>
        </w:tc>
      </w:tr>
      <w:tr w14:paraId="402EFC9D">
        <w:tblPrEx>
          <w:tblCellMar>
            <w:top w:w="0" w:type="dxa"/>
            <w:left w:w="0" w:type="dxa"/>
            <w:bottom w:w="0" w:type="dxa"/>
            <w:right w:w="0" w:type="dxa"/>
          </w:tblCellMar>
        </w:tblPrEx>
        <w:tc>
          <w:tcPr>
            <w:tcW w:w="0" w:type="auto"/>
            <w:vAlign w:val="center"/>
          </w:tcPr>
          <w:p w14:paraId="1AE043B4">
            <w:r>
              <w:t>环境适应</w:t>
            </w:r>
          </w:p>
        </w:tc>
        <w:tc>
          <w:tcPr>
            <w:tcW w:w="0" w:type="auto"/>
            <w:vAlign w:val="center"/>
          </w:tcPr>
          <w:p w14:paraId="2CFFF88F">
            <w:r>
              <w:t>工作温度：-10~45℃；相对湿度：≤85%（无凝露）；防护等级：IP54（车体），IP65（电机及驱动部件）</w:t>
            </w:r>
          </w:p>
        </w:tc>
      </w:tr>
      <w:tr w14:paraId="4FF04107">
        <w:tblPrEx>
          <w:tblCellMar>
            <w:top w:w="0" w:type="dxa"/>
            <w:left w:w="0" w:type="dxa"/>
            <w:bottom w:w="0" w:type="dxa"/>
            <w:right w:w="0" w:type="dxa"/>
          </w:tblCellMar>
        </w:tblPrEx>
        <w:tc>
          <w:tcPr>
            <w:tcW w:w="0" w:type="auto"/>
            <w:vAlign w:val="center"/>
          </w:tcPr>
          <w:p w14:paraId="5BFB9656">
            <w:r>
              <w:t>安全标准</w:t>
            </w:r>
          </w:p>
        </w:tc>
        <w:tc>
          <w:tcPr>
            <w:tcW w:w="0" w:type="auto"/>
            <w:vAlign w:val="center"/>
          </w:tcPr>
          <w:p w14:paraId="227EDF15">
            <w:r>
              <w:t>符合GB/T 15706-2012《机械安全 设计通则》；急停响应时间：≤0.5s；噪音等级：≤85dB（1m处测量）</w:t>
            </w:r>
          </w:p>
        </w:tc>
      </w:tr>
    </w:tbl>
    <w:p w14:paraId="3AE5751F">
      <w:pPr>
        <w:pStyle w:val="3"/>
      </w:pPr>
      <w:r>
        <w:t>四、机械工作原理</w:t>
      </w:r>
    </w:p>
    <w:p w14:paraId="79706C57">
      <w:pPr>
        <w:pStyle w:val="4"/>
      </w:pPr>
      <w:r>
        <w:t>4.1 行走动作原理</w:t>
      </w:r>
    </w:p>
    <w:p w14:paraId="16F3EF23">
      <w:r>
        <w:t>上料小车的行走动作通过液压驱动系统实现动力传递，其核心原理是液压马达将液压能转化为机械能，经传动机构驱动车轮转动，从而带动车体沿轨道移动。液压动力源来自车载液压站，由电机（功率5.5kW）驱动齿轮泵（型号CB-FC10）输出压力油，系统工作压力通过溢流阀（型号YF-L10H4）设定为16MPa，流量通过比例调速阀（型号2FRM6B36-3X/10QMV）调节，实现行走速度的无级控制。</w:t>
      </w:r>
    </w:p>
    <w:p w14:paraId="2A149EF6">
      <w:r>
        <w:t>动力传递路径具体为：液压站输出的压力油经电磁换向阀（型号4WE6E6X/EG24N9K4）进入液压马达（A2FO125），马达输出轴通过联轴器与主动链轮连接，主动链轮通过双排滚子链（16A-2）带动从动链轮转动，从动链轮与车轮轴刚性连接，最终驱动行走轮沿轨道滚动。为确保两侧车轮同步，左右行走机构采用机械同步轴连接，同步轴通过十字万向节吸收轨道不平行度导致的角度偏差，允许最大夹角1°。</w:t>
      </w:r>
    </w:p>
    <w:p w14:paraId="22A271A3">
      <w:r>
        <w:t>行走速度的控制通过PLC与比例调速阀的闭环反馈实现。操作面板上设置速度调节旋钮，对应0-6m/min的速度范围，PLC根据旋钮输入信号输出4-20mA控制电流至比例阀，比例阀根据电流大小调整开度，改变进入液压马达的流量，从而调节转速。同时，车轮轴端安装的编码器实时检测行走速度，将脉冲信号反馈至PLC，形成速度闭环控制，当实际速度与设定值偏差超过±0.2m/min时，PLC自动修正输出电流，确保速度稳定性。</w:t>
      </w:r>
    </w:p>
    <w:p w14:paraId="38877B75">
      <w:r>
        <w:t>行走方向的切换通过电磁换向阀的阀芯位置控制，当需要前进时，PLC控制换向阀左侧电磁铁得电，压力油进入液压马达正向油口，驱动马达正转；后退时右侧电磁铁得电，压力油进入反向油口，马达反转。为防止换向冲击，系统设置0.5秒的换向延时，确保液压马达在转速接近零时切换方向。轨道两端的限位开关作为安全保护，当小车触发限位信号时，PLC立即切断换向阀电流，同时启动制动阀（型号DBW10B1-5X/315-6EG24N9K4），通过液压制动使小车在0.5m内停止。</w:t>
      </w:r>
    </w:p>
    <w:p w14:paraId="76036B37">
      <w:pPr>
        <w:pStyle w:val="4"/>
      </w:pPr>
      <w:r>
        <w:t>4.2 升降动作原理</w:t>
      </w:r>
    </w:p>
    <w:p w14:paraId="30EFEB96">
      <w:r>
        <w:t>升降动作的核心是液压缸驱动载料平台实现垂直方向的位置调整，其工作原理基于帕斯卡定律，即液压系统中的压力在密闭容器内均匀传递，通过控制液压缸的伸缩量实现平台的升降。升降机构的液压回路与行走系统共用液压站，通过电磁换向阀（型号4WE10D3X/OFCG24N9K4）实现油路切换，工作压力设定为12MPa，通过压力传感器（型号PT124B-210）实时监测，当压力超过14MPa时溢流阀卸荷，保护系统安全。</w:t>
      </w:r>
    </w:p>
    <w:p w14:paraId="39128732">
      <w:r>
        <w:t>液压缸的伸缩控制通过电磁换向阀的位通状态实现：当需要升平台时，换向阀得电处于左位，压力油经单向阀进入液压缸无杆腔，推动活塞杆伸出，带动载料平台上升；需要降平台时，换向阀得电处于右位，压力油进入有杆腔，同时无杆腔油液经节流阀（型号L-10H1-30）回油箱，活塞杆缩回，平台下降。升降速度通过节流阀调整，上升速度设定为3m/min，下降速度设定为2m/min，下降速度较慢主要是为了保证钢卷放置时的平稳性。</w:t>
      </w:r>
    </w:p>
    <w:p w14:paraId="0A7599B8">
      <w:r>
        <w:t>升降位置的精确控制通过位移传感器与PLC的闭环反馈实现。液压缸活塞杆顶部安装磁致伸缩位移传感器（型号BTL5-E10-M0250-P-S32），传感器探测杆随活塞杆同步移动，实时输出4-20mA位移信号（对应0-600mm行程），PLC将该信号与设定高度进行比较，当实际位置接近目标位置时（差值≤10mm），自动减小电磁换向阀开度，降低升降速度至0.5m/min，实现缓速定位，最终位置精度控制在±1mm以内。</w:t>
      </w:r>
    </w:p>
    <w:p w14:paraId="7AFBA5FD">
      <w:r>
        <w:t>为防止升降过程中平台倾斜，系统设置同步控制机制。两侧液压缸油路采用并联方式，并在油路中安装同步阀（型号FSS10-3-1X/），通过流量分配确保两侧液压缸进油量一致，允许最大流量差≤3%。同时，位移传感器分别检测两侧液压缸的行程，当两侧高度差超过2mm时，PLC控制比例节流阀（一侧开大、一侧关小）进行动态调整，直至差值≤1mm。此外，液压回路中设置液压锁（SV10PA1-40），当系统失电或停止供油时，液压锁自动关闭油路，防止平台因自重下降，确保停车时的位置锁定。</w:t>
      </w:r>
    </w:p>
    <w:p w14:paraId="610A8EDD">
      <w:pPr>
        <w:pStyle w:val="4"/>
      </w:pPr>
      <w:r>
        <w:t>4.3 对中定位原理</w:t>
      </w:r>
    </w:p>
    <w:p w14:paraId="4DAA21F4">
      <w:r>
        <w:t>上料小车的对中定位功能旨在实现钢卷轴线与开卷机卷筒轴线的精准对齐，其核心原理是通过传感器检测钢卷边缘位置，结合机械执行机构的闭环控制，消除钢卷在横向（与轨道垂直方向）的位置偏差。对中定位系统由检测单元、控制单元和执行单元三部分组成，检测单元包括两组漫反射光电传感器，对称安装在载料平台两侧；控制单元为PLC控制器，内置对中控制算法；执行单元为横向驱动液压缸，推动载料平台沿导轨横向移动。</w:t>
      </w:r>
    </w:p>
    <w:p w14:paraId="27ABE0D0">
      <w:r>
        <w:t>对中检测的工作原理基于光电传感器的光束遮挡特性。传感器发射的红外光束（波长660nm）垂直照射钢卷侧面，当光束未被遮挡时，接收端输出高电平（24V）；被遮挡时输出低电平（0V）。两组传感器的安装间距根据最大钢卷宽度设定（如1550mm），检测距离通过调节支架可在50-100mm范围内调整，确保检测精度。PLC通过采集两侧传感器的输出信号，判断钢卷边缘位置，例如当左侧传感器遮光而右侧未遮光时，判定钢卷偏左；两侧均遮光时判定钢卷居中；两侧均未遮光时判定钢卷未放置到位或规格超限。</w:t>
      </w:r>
    </w:p>
    <w:p w14:paraId="623303C9">
      <w:r>
        <w:t>对中控制算法采用“分段逼近”策略，分为粗调与精调两个阶段。粗调阶段：当PLC检测到钢卷存在横向偏差（如左侧传感器遮光、右侧未遮光），控制横向液压缸快速移动（速度10mm/s）；当偏差减小至50mm以内时，进入精调阶段，液压缸速度降至2mm/s，同时PLC通过传感器信号的边沿触发（遮光/透光的临界点）计算精确位置。对中目标位置通过HMI预设，对应开卷机卷筒轴线的横向坐标，PLC将钢卷当前位置与目标位置进行比较，计算偏差量ΔX，通过PID算法输出控制信号至比例方向阀（型号4WRA6W30-2X/G24K4/V），比例阀根据信号大小调整开度，控制液压缸的伸缩量，直至ΔX≤±5mm，完成对中。</w:t>
      </w:r>
    </w:p>
    <w:p w14:paraId="5A33AAA8">
      <w:r>
        <w:t>对中过程中的抗干扰措施包括：传感器镜头安装防尘罩，每班次清洁一次；信号线缆采用双绞屏蔽线，屏蔽层单端接地（接地电阻≤4Ω）；PLC程序中设置信号滤波功能，对传感器输出信号进行100ms的延时判断，避免钢卷表面油污或氧化皮导致的误检测。此外，系统支持“手动对中”模式，当自动对中出现故障时，操作人员可通过操作面板上的左右按钮控制液压缸动作，按钮点动一次对应1mm的移动量，便于精确调整。对中完成后，PLC向开卷机发送“对中完成”信号，允许开卷机执行后续的卷筒伸出与涨紧动作。</w:t>
      </w:r>
    </w:p>
    <w:p w14:paraId="69E63ACE">
      <w:pPr>
        <w:pStyle w:val="3"/>
      </w:pPr>
      <w:r>
        <w:t>五、电气控制系统</w:t>
      </w:r>
    </w:p>
    <w:p w14:paraId="4007E0AF">
      <w:pPr>
        <w:pStyle w:val="4"/>
      </w:pPr>
      <w:r>
        <w:t>5.1 PLC控制架构</w:t>
      </w:r>
    </w:p>
    <w:p w14:paraId="7EE7434A">
      <w:r>
        <w:t>高速纵剪线上料小车的电气控制系统以PLC为核心，构建起集逻辑控制、运动控制与数据交互于一体的自动化平台。PLC选用西门子S7-1214C DC/DC/DC型号，该控制器集成14点数字量输入（DI）、10点数字量输出（DO）、2点模拟量输入（AI）和1点模拟量输出（AO），并可通过扩展模块（如SM 1223 DI16/DQ16）扩展I/O点数，满足复杂控制需求。PLC的工作电压为DC 24V，功耗≤25W，运行温度范围-25~+60℃，适应车间工业环境。</w:t>
      </w:r>
    </w:p>
    <w:p w14:paraId="64F17D7E">
      <w:r>
        <w:t>控制逻辑采用模块化编程思想，主程序（OB1）负责调用各功能块（FB/FC），实现流程控制；中断程序（OB35）处理周期性任务，如速度闭环控制（周期100ms）、传感器信号采集（周期50ms）；故障处理程序（OB82、OB86）负责诊断模块故障、通讯故障等异常情况。核心功能块包括：FB1（行走控制），实现速度设定、方向切换、限位保护逻辑；FB2（升降控制），处理升降位置闭环与同步控制；FB3（对中控制），执行钢卷边缘检测与横向调整算法；FB4（故障诊断），监测系统各部件状态，生成故障代码。</w:t>
      </w:r>
    </w:p>
    <w:p w14:paraId="585FB4ED">
      <w:r>
        <w:t>I/O端口分配遵循功能模块化原则，数字量输入包括：急停按钮信号（I0.0）、限位开关信号（I0.1-I0.4）、传感器检测信号（I0.5-I0.7）、操作模式切换信号（I1.0-I1.1）等；数字量输出包括：液压阀控制信号（Q0.0-Q0.3）、电机启停信号（Q0.4-Q0.5）、报警指示灯信号（Q0.6-Q0.7）等；模拟量输入接收编码器速度反馈（AIW0）、位移传感器位置反馈（AIW2）；模拟量输出控制比例调速阀（AQW0）、比例方向阀（AQW2）。端口接线采用端子排连接，数字量信号使用单股硬线（截面积1.5mm²），模拟量信号使用双绞屏蔽线（截面积0.75mm²），并在PLC侧做好接地处理。</w:t>
      </w:r>
    </w:p>
    <w:p w14:paraId="332D8335">
      <w:r>
        <w:t>通讯系统采用工业以太网实现数据交互，PLC通过PROFINET接口与HMI（威纶通MT8102iE）连接，通讯协议为Modbus TCP/IP，数据刷新周期100ms，实现操作指令下发与设备状态上传。同时，PLC通过以太网模块（CP1243-1）接入生产线工业总线，与开卷机、液压站等设备进行信号联锁，例如接收开卷机“就绪”信号（I2.0），发送“对中完成”信号（Q2.0）。为保障通讯稳定性，网络拓扑采用星型结构，使用屏蔽网线（超五类），两端安装终端电阻（120Ω），通讯距离控制在100m以内。</w:t>
      </w:r>
    </w:p>
    <w:p w14:paraId="16DC2C8B">
      <w:r>
        <w:t>控制程序的安全设计包括多重互锁逻辑：行走电机正反转输出（Q0.4与Q0.5）设置硬件互锁，通过接触器辅助触点实现电气互锁，防止电源短路；升降与行走动作设置软件互锁，当升降机构未达到最低位置时，禁止行走动作（I3.0常闭触点串联行走输出回路）；极限位置保护采用“三级防护”，一级为软件限位（PLC内部设定位置边界），二级为接近开关（I0.1-I0.2），三级为机械限位块，确保设备运行安全。</w:t>
      </w:r>
    </w:p>
    <w:p w14:paraId="0491FAFA">
      <w:pPr>
        <w:pStyle w:val="4"/>
      </w:pPr>
      <w:r>
        <w:t>5.2 传感器配置与信号处理</w:t>
      </w:r>
    </w:p>
    <w:p w14:paraId="28776488">
      <w:r>
        <w:t>上料小车的传感器系统构成了设备的“感知神经”，通过各类传感器实时监测位置、速度、物料状态等关键参数，为控制系统提供决策依据。传感器配置遵循“冗余检测、精准可靠”原则，主要包括位置检测类、速度检测类和物料检测类三大类型，各类传感器的技术参数与安装要求如下：</w:t>
      </w:r>
    </w:p>
    <w:p w14:paraId="43E49354">
      <w:r>
        <w:t>位置检测传感器用于获取小车及载料平台的实时位置信息，包括：（1）增量式编码器（Omron E6B2-CWZ6C），安装在行走轮轴端，通过弹性联轴器与轴连接，分辨率1024线/转，输出A、B两相正交脉冲信号，PLC通过高速计数模块（HSC1）对脉冲进行计数，每脉冲对应小车位移0.1mm（根据车轮直径Φ350mm计算：周长=π×350≈1099.56mm，每转脉冲1024，脉冲当量=1099.56/1024≈1.07mm/脉冲，经PLC内部倍频后达0.1mm/脉冲）；（2）磁致伸缩位移传感器（BTL5-E10-M0250-P-S32），安装在升降液压缸活塞杆顶部，检测范围0-600mm，输出4-20mA模拟信号，对应0-600mm行程，线性度误差±0.05%FS，用于升降位置闭环控制；（3）电感式接近开关（TL-N5ME1），共4个，分别安装在轨道两端（极限位置）和开卷机定位点，检测距离5mm，响应频率1kHz，输出NPN常开信号，用于位置限位与定位触发。</w:t>
      </w:r>
    </w:p>
    <w:p w14:paraId="19AF959A">
      <w:r>
        <w:t>速度检测传感器主要为行走速度闭环控制提供反馈，除编码器通过脉冲频率换算速度外（速度=脉冲频率×脉冲当量/60），还配置霍尔速度传感器（型号CS-1），安装在液压马达出油口，通过检测油液流速间接测量马达转速，输出0-10V模拟信号，与编码器信号形成冗余检测，当两者速度偏差超过0.5m/min时，PLC触发报警（故障代码E012）。</w:t>
      </w:r>
    </w:p>
    <w:p w14:paraId="555FE041">
      <w:r>
        <w:t>物料检测传感器用于判断钢卷状态，包括：（1）漫反射光电传感器（E3Z-D61），2个，对称安装在载料平台两侧，检测距离50-100mm，光斑直径Φ5mm，用于钢卷边缘对中检测，输出NPN常开信号，响应时间≤1ms；（2）压力传感器（PT124B-210），安装在载料平台支撑腿下方，量程0-50t，输出4-20mA信号，用于钢卷重量检测与超载保护，当检测值&gt;33t时，PLC切断升降输出（Q0.2）并报警；（3）激光测距传感器（SICK DT500），1个，安装在小车前端，检测距离0.1-3m，精度±0.5mm，用于检测开卷机卷筒位置，辅助纵向定位。</w:t>
      </w:r>
    </w:p>
    <w:p w14:paraId="4C0402C9">
      <w:r>
        <w:t>传感器信号处理是保障检测精度的关键环节，PLC程序中采用多重滤波算法：对光电传感器信号进行“延时确认”处理，当信号持续稳定100ms后才判定有效，避免钢卷表面反光或粉尘导致的误触发；对编码器脉冲信号采用“平均值滤波”，连续采集10个脉冲周期，去除最大值与最小值后取平均，降低机械振动导致的计数误差；对模拟量信号（如位移、压力）采用“一阶低通滤波”，滤波系数α=0.2（当前值=0.2×新采样值+0.8×上一时刻值），消除电磁干扰引起的信号波动。</w:t>
      </w:r>
    </w:p>
    <w:p w14:paraId="53C259D7">
      <w:r>
        <w:t>传感器的安装与布线需满足抗干扰要求：电感式接近开关与动力电缆间距≥300mm，避免磁场干扰；光电传感器镜头保持清洁，每日班前用无尘布擦拭；模拟量信号线采用双绞屏蔽线，屏蔽层单端接地（PLC侧），接地电阻≤4Ω；编码器线缆穿金属波纹管敷设，两端接地，形成法拉第笼屏蔽。定期校准计划包括：每周检查光电传感器检测距离，每月用标准砝码校准压力传感器（5t、10t、20t三点校准），每季度用激光干涉仪校准编码器位移精度。</w:t>
      </w:r>
    </w:p>
    <w:p w14:paraId="1BD1C46D">
      <w:pPr>
        <w:pStyle w:val="4"/>
      </w:pPr>
      <w:r>
        <w:t>5.3 人机交互界面（HMI）</w:t>
      </w:r>
    </w:p>
    <w:p w14:paraId="2A45F510">
      <w:r>
        <w:t>人机交互界面（HMI）是操作人员与上料小车之间的信息交互窗口，通过可视化界面实现设备状态监控、参数设置与故障诊断，其设计遵循“直观、高效、易用”原则，采用10.1英寸威纶通MT8102iE触摸屏，分辨率1024×600，亮度350cd/m²，支持多点触控，工作温度-10~60℃，防护等级IP65（前面板），适应车间粉尘与振动环境。</w:t>
      </w:r>
    </w:p>
    <w:p w14:paraId="04C661BA">
      <w:r>
        <w:t>HMI界面布局采用“层级导航”结构，主界面为“设备总览”，通过图标与文字结合的方式显示关键信息，包括：当前工作模式（自动/手动，绿色指示灯表示自动，红色表示手动）、小车位置坐标（X轴：0-10m，Y轴：0-600mm）、运行速度（0-6m/min，数字显示+进度条）、钢卷重量（0-30t，单位t）、系统状态（正常/报警，正常时显示蓝色“运行中”，报警时显示红色故障代码）。主界面下方设置快捷按钮，包括“参数设置”“故障诊断”“I/O监控”“历史数据”，点击即可进入对应功能界面。</w:t>
      </w:r>
    </w:p>
    <w:p w14:paraId="7A96DE51">
      <w:r>
        <w:t>“参数设置”界面用于配置设备运行参数，按功能分为“行走参数”“升降参数”“对中参数”三个标签页。行走参数包括：最大速度（3-6m/min）、加速时间（1-3s）、减速时间（1-3s）、空载速度补偿（0-5%）；升降参数包括：上升速度（2-3m/min）、下降速度（1-2m/min）、同步允许偏差（1-3mm）、最低限位（0-50mm）；对中参数包括：对中精度（3-5mm）、粗调速度（5-10mm/s）、精调速度（1-3mm/s）、传感器检测距离（50-100mm）。参数修改需输入密码（三级权限：操作员、技术员、管理员），修改后点击“保存”按钮生效，系统自动记录参数修改日志（包含修改时间、操作员、旧值/新值）。</w:t>
      </w:r>
    </w:p>
    <w:p w14:paraId="5F665423">
      <w:r>
        <w:t>“故障诊断”界面是设备维护的核心工具，分为“当前故障”与“历史故障”两个区域。当前故障区域以红色字体显示实时故障信息，包括故障代码（如E001）、故障描述（如“左限位开关触发”）、发生时间（精确到秒）、建议处理措施（如“检查轨道是否有异物”）；历史故障区域以表格形式显示最近50条故障记录，包含故障代码、发生时间、持续时间、处理状态（未处理/已处理），支持按故障代码或时间筛选。界面下方设置“故障复位”按钮，当故障排除后，点击按钮清除当前故障状态，设备恢复待机。</w:t>
      </w:r>
    </w:p>
    <w:p w14:paraId="1869898F">
      <w:r>
        <w:t>“I/O监控”界面用于实时查看PLC输入输出端口状态，采用虚拟指示灯形式，绿色表示“ON”，灰色表示“OFF”。输入端口按功能分组显示：急停信号（I0.0）、限位信号（I0.1-I0.4）、传感器信号（I0.5-I0.7）、模式切换（I1.0-I1.1）；输出端口包括：行走控制（Q0.0-Q0.1）、升降控制（Q0.2-Q0.3）、电磁阀（Q0.4-Q0.6）、报警灯（Q0.7）。点击端口名称可查看详细信息（如地址、信号类型、当前值），便于快速定位电气故障。</w:t>
      </w:r>
    </w:p>
    <w:p w14:paraId="7A6D16B7">
      <w:r>
        <w:t>HMI与PLC的通讯通过Modbus TCP/IP协议实现，HMI作为客户端，PLC作为服务器，通讯端口502，数据交换采用“请求-响应”模式。HMI定期（100ms）向PLC发送数据请求，读取设备状态参数；当操作人员进行参数修改或操作时，HMI将指令数据写入PLC对应寄存器，PLC执行相应控制逻辑后返回执行结果。为提高通讯可靠性，系统设置“通讯超时”检测（300ms），当连续3次通讯失败时，HMI显示“通讯故障”报警，并触发蜂鸣器提示。</w:t>
      </w:r>
    </w:p>
    <w:p w14:paraId="7C498826">
      <w:pPr>
        <w:pStyle w:val="3"/>
      </w:pPr>
      <w:r>
        <w:t>六、常见故障分析与处理</w:t>
      </w:r>
    </w:p>
    <w:p w14:paraId="6FA50202">
      <w:pPr>
        <w:pStyle w:val="4"/>
      </w:pPr>
      <w:r>
        <w:t>6.1 机械系统故障</w:t>
      </w:r>
    </w:p>
    <w:p w14:paraId="7DCE4EA2">
      <w:r>
        <w:t>机械系统故障是上料小车最常见的故障类型，主要表现为运行不稳定、定位不准、异响振动及结构损坏，其成因与处理对策如下：</w:t>
      </w:r>
    </w:p>
    <w:p w14:paraId="4D3AC367">
      <w:r>
        <w:t>运行不稳定表现为小车沿轨道行驶时出现左右晃动或跑偏，严重时车轮与轨道侧面摩擦产生火花。根本成因包括：轨道安装精度不足，平行度偏差超过0.3mm/m，导致小车行驶时两侧轮缘受力不均；导向轮磨损，轮缘厚度从原10mm磨损至5mm以下，无法有效约束车体横向位移；行走轮轮径不一致，左右轮径差超过0.5mm，导致两侧行走速度不同步。处理对策需分步骤实施：首先使用激光干涉仪检测轨道平行度，通过调整轨道底部垫片使平行度≤0.3mm/m；其次拆检导向轮，测量轮缘厚度，磨损超限时更换导向轮（材质HT300，轮径Φ120mm）；最后使用千分尺测量行走轮直径，对偏差超标的车轮进行机械加工，确保左右轮径差≤0.2mm。预防措施包括每周检查轨道清洁度（清除铁屑与油污），每月测量导向轮间隙（正常值0.1-0.3mm），每季度对行走轮进行动平衡测试（不平衡量≤5g·mm）。</w:t>
      </w:r>
    </w:p>
    <w:p w14:paraId="4490ADD8">
      <w:r>
        <w:t>定位不准故障分为横向对中偏差超差（&gt;±5mm）与纵向停靠偏差超差（&gt;±2mm）。横向对中偏差的常见成因：光电传感器检测位置偏移，镜头与钢卷边缘距离不在50-100mm范围内；对中液压缸活塞杆弯曲，直线度偏差超过0.5mm/m；载料平台V型架变形，两侧支承辊高度差超过1mm。处理时先调整传感器位置，使用标准样板校准检测距离，确保光束中心与钢卷边缘对齐；再拆检液压缸，测量活塞杆直线度，超差时进行校直或更换；最后通过水平仪检测V型架水平度，变形时采用火焰校正或更换托料架。纵向停靠偏差主要因编码器信号丢失或限位开关位置偏移，需检查编码器线缆屏蔽层接地是否良好（接地电阻≤4Ω），重新调整限位开关挡块位置，确保触发时小车与目标位置偏差≤1mm。</w:t>
      </w:r>
    </w:p>
    <w:p w14:paraId="69C8651E">
      <w:r>
        <w:t>异响与振动故障通常伴随异常噪音（如“咔嗒”声、“嗡嗡”声）和车身振动（振幅&gt;0.1mm）。齿轮啮合异响多因链条张紧度不足，下垂量超过20mm/1m，需调整张紧螺杆，使下垂量控制在15-20mm；轴承异响是由于润滑不足或滚珠磨损，拆检轴承（型号30220），若发现滚珠表面有麻点或剥落，需更换轴承并加注锂基润滑脂（NLGI 2级）；液压马达异响可能是进油口滤油器堵塞，压差超过0.3MPa，应更换滤芯（200目）并清洗滤油器壳体。振动故障的成因包括：车轮轮面不均匀磨损（圆度误差&gt;0.1mm）、车体框架螺栓松动（预紧力矩不足80N·m）、液压管路共振（管路固定间距过大）。处理对策：对磨损车轮进行车削加工，确保圆度误差≤0.05mm；使用扭矩扳手复紧框架螺栓（M12螺栓预紧力矩80-100N·m）；在液压管路中加装减震喉（型号KXT-10），固定间距控制在500mm以内。</w:t>
      </w:r>
    </w:p>
    <w:p w14:paraId="60F93243">
      <w:r>
        <w:t>结构损坏故障多由过载或维护缺失导致，如载料平台变形、液压缸活塞杆弯曲、行走轮脱轨。载料平台变形常因超载（&gt;33t）或钢卷偏载（偏心距&gt;100mm），需采用应力释放工艺校正变形，严重时更换平台（材质Q355B）；活塞杆弯曲多因升降时受到侧向力（如钢卷撞击），应更换活塞杆（40Cr材质，镀铬处理）并检查升降同步性；行走轮脱轨的根本原因是轨道对接处错位（高差&gt;1mm）或车轮轮缘磨损（厚度&lt;5mm），处理时打磨轨道对接处（平滑过渡），更换轮缘磨损的行走轮，并安装防脱轨护轨（高度50mm）。预防措施包括严格执行负载限制，设置钢卷重量检测（压力传感器），每月检查轨道对接精度，每半年对关键结构件进行超声波探伤。</w:t>
      </w:r>
    </w:p>
    <w:p w14:paraId="276B2A84">
      <w:pPr>
        <w:pStyle w:val="4"/>
      </w:pPr>
      <w:r>
        <w:t>6.2 电气系统故障</w:t>
      </w:r>
    </w:p>
    <w:p w14:paraId="60CA84F0">
      <w:r>
        <w:t>电气系统故障主要涉及动力系统、传感器与执行元件，其故障现象明确，诊断流程需结合电气原理图与测量工具逐步排查。</w:t>
      </w:r>
    </w:p>
    <w:p w14:paraId="18E64987">
      <w:r>
        <w:t>动力系统异常表现为小车无法启动、启动后立即停机或运行中突然断电。电机无法启动的常见成因：电源缺相（三相电压不平衡度&gt;5%）、电机绕组绝缘老化（绝缘电阻&lt;0.5MΩ）、热继电器过载保护动作（整定电流设置过小）。处理时首先使用万用表测量三相电源电压（正常值380V±10%），若缺相应检查进线断路器（型号NM1-100H/3300）；其次用兆欧表测量电机绕组绝缘电阻，低于0.5MΩ时需烘干绕组或重绕线圈；最后检查热继电器（型号JR36-20）整定电流，应设置为电机额定电流的1.1-1.25倍（电机额定电流12A时，整定值13-15A）。电机运行中停机可能是变频器过载保护（过流、过压），需查看变频器显示屏故障代码（如“OC”表示过流），检查电机负载是否过重（如轨道卡滞），或调整变频器参数（如延长加速时间至3s）。</w:t>
      </w:r>
    </w:p>
    <w:p w14:paraId="2CFE24FF">
      <w:r>
        <w:t>传感器失效故障导致设备检测信号错误，直接影响自动化流程。光电传感器误检测（如“无料卷却显示有料卷”）的成因：镜头被粉尘覆盖（透光率&lt;80%）、检测距离超出50-100mm范围、输出信号线接地不良。处理时用无尘布蘸酒精清洁镜头，调整传感器支架使检测距离在60-80mm，测量信号线对地电阻（应&gt;1MΩ），重新做单端接地（PLC侧）。编码器信号丢失表现为小车位置显示跳变或不变，主要因编码器线缆断线（多发生在接头处）、联轴器松动（导致轴端打滑）、高速计数模块故障（PLC输入点损坏）。排查步骤：用示波器检测编码器输出脉冲（A、B相波形应对称），若波形缺失则检查线缆通断；用手转动车轮，观察编码器轴是否同步转动，松动时紧固联轴器；更换高速计数模块（如FX3U-1HC）后测试，确认信号恢复。接近开关无信号可能是感应距离偏移（&gt;5mm）或线圈烧毁（测量线圈电阻，正常值500-1500Ω），调整开关位置使感应距离3-4mm，线圈烧毁时更换接近开关（型号TL-N5ME1）。</w:t>
      </w:r>
    </w:p>
    <w:p w14:paraId="1F54D686">
      <w:r>
        <w:t>执行元件故障影响设备动作响应，如电磁阀卡滞、液压油缸泄漏、指示灯不亮。电磁阀卡滞表现为对应动作无响应（如升降不动作），成因是阀芯被油污堵塞或电磁铁烧毁。处理时拆解电磁阀（型号4WE6E6X），用煤油清洗阀芯与阀孔，检查阀芯是否有划伤（有划伤时更换阀芯）；测量电磁铁线圈电阻（正常值300-600Ω），烧毁时更换线圈（电压DC24V）。液压油缸泄漏分为内泄漏与外泄漏，外泄漏可见油缸表面油迹，多因活塞杆密封件老化（聚氨酯U形圈变硬），需更换密封件（型号UNP50×65×8）；内泄漏通过保压试验判断，满负荷时5分钟压降&gt;0.5MPa，需拆解油缸更换活塞密封件。指示灯故障多为灯泡烧毁或接线松动，更换同型号LED指示灯（DC24V，红色/绿色），检查端子排接线（紧固力矩0.8-1.2N·m）。</w:t>
      </w:r>
    </w:p>
    <w:p w14:paraId="1A3A90F3">
      <w:r>
        <w:t>电气系统的预防维护重点在于定期检测与环境控制：每周用红外测温仪检测电机温度（≤65℃），每月测量电源电压波动（≤±10%），每季度检查电气柜内湿度（≤60%，加装除湿机），每年对传感器进行校准（使用标准信号发生器输出4-20mA信号）。建立电气元件台账，记录关键部件（如PLC模块、变频器）的使用时间，达到寿命周期（如PLC模块5年）前进行预防性更换。</w:t>
      </w:r>
    </w:p>
    <w:p w14:paraId="7B73A89E">
      <w:pPr>
        <w:pStyle w:val="4"/>
      </w:pPr>
      <w:r>
        <w:t>6.3 控制系统故障</w:t>
      </w:r>
    </w:p>
    <w:p w14:paraId="7285C918">
      <w:r>
        <w:t>控制系统故障涉及PLC程序、参数配置与通讯链路，故障排查需结合编程软件与诊断工具，定位逻辑错误或硬件异常。</w:t>
      </w:r>
    </w:p>
    <w:p w14:paraId="790FDA2C">
      <w:r>
        <w:t>PLC程序异常表现为设备动作逻辑混乱（如未装料即行走）、循环流程中断或无响应。程序丢失或损坏是常见成因，多因PLC电池电压不足（&lt;3V）导致程序存储器数据丢失，需更换锂电池（型号CR2032，电压≥3V）并重新下载程序（从备份文件恢复）。逻辑错误可能是梯形图中触点/线圈配置错误（如互锁触点接反），使用编程软件（如TIA Portal）在线监控程序运行状态，重点检查顺控指令（SFC）的状态转移条件，例如装料阶段未触发定时器T0（设定5s）导致无法进入送料阶段，需修正定时器参数或检查触发条件（如料卷检测信号I0.5是否闭合）。模块故障表现为特定I/O点无信号，如数字量输入模块（SM 1223）某通道始终为ON，需更换模块并重新组态硬件配置（在PLC编程软件中匹配模块型号与地址）。</w:t>
      </w:r>
    </w:p>
    <w:p w14:paraId="39D0D662">
      <w:r>
        <w:t>参数配置错误导致设备运行特性异常，如速度震荡、定位超差或报警误触发。伺服电机速度震荡多因PID参数设置不当（比例增益P过大、积分时间I过小），需进入PLC参数设置界面，逐步调整P（从0.5开始，每次增加0.1）和I（从100ms开始，每次增加50ms），直至速度稳定（波动≤±0.2m/min）。编码器分辨率与PLC组态不匹配会导致计数偏差，例如编码器实际分辨率1024线，而PLC组态为512线，需在硬件配置中修改编码器参数（通道1分辨率设为1024）。报警误触发可能是传感器阈值设置错误，如压力传感器报警阈值设为30t（额定负载），应调整为33t（110%额定负载），避免正常负载下误报警。参数恢复措施：当参数混乱时，可通过HMI“参数恢复”功能加载出厂默认参数，再根据实际工况微调。</w:t>
      </w:r>
    </w:p>
    <w:p w14:paraId="32D189FD">
      <w:r>
        <w:t>通讯故障导致设备与生产线控制系统失联，表现为HMI显示“通讯失败”、联锁信号无响应或数据刷新中断。PROFINET通讯中断的成因：网线接头松动（水晶头接触不良）、IP地址冲突（多台设备IP相同）、工业交换机故障（端口指示灯不亮）。排查步骤：使用网线测试仪检测网线通断（8芯全通），通过HMI查看设备IP地址（如192.168.0.10），确保与交换机在同一网段且无冲突；更换交换机端口测试，故障依旧时更换交换机（型号SCALANCE XB005）。PLC与HMI通讯故障多因Modbus协议参数错误（端口号非502、数据位/停止位设置不符），在HMI编程软件（EBPro）中检查通讯参数，确保与PLC一致（数据位8、停止位1、无校验）。预防通讯故障的措施包括使用工业级网线（超五类屏蔽），定期检查接头紧固度，每半年对交换机进行断电重启，避免长期运行导致的内存溢出。</w:t>
      </w:r>
    </w:p>
    <w:p w14:paraId="727C615E">
      <w:pPr>
        <w:pStyle w:val="4"/>
      </w:pPr>
      <w:r>
        <w:t>6.4 液压系统故障</w:t>
      </w:r>
    </w:p>
    <w:p w14:paraId="1B94F4DF">
      <w:r>
        <w:t>液压系统故障直接影响设备的动力输出，主要表现为动作缓慢、无力或失控，需结合液压原理图与压力测试进行诊断。</w:t>
      </w:r>
    </w:p>
    <w:p w14:paraId="690DFDA4">
      <w:r>
        <w:t>升降动作缓慢或无力的核心原因是系统压力不足或流量不够，正常工作压力应维持在10-12MPa。当液压站压力表显示压力&lt;8MPa时，首先检查液压油位，若低于液位计3/4处，补充46#抗磨液压油（粘度指数VI≥140）；其次拆卸回油滤油器（型号WU-100×100-J），检查滤芯污染情况，若压差超过0.3MPa（通过压差发讯器判断），更换滤芯（200目滤网）；最后检测液压缸内泄漏，进行保压试验：将载料平台升至最高位置，关闭截止阀，观察5分钟内压力降，若&gt;0.5MPa，拆检液压缸更换密封件（聚氨酯U形圈+防尘圈组合）。流量不足的原因可能是齿轮泵磨损（容积效率&lt;85%），需测量泵出口流量（正常50L/min），低于40L/min时更换齿轮泵（型号CB-FC10）。</w:t>
      </w:r>
    </w:p>
    <w:p w14:paraId="358BD541">
      <w:r>
        <w:t>液压阀卡滞导致动作失控，如升降平台无法停止或换向延迟。电磁换向阀（4WE6E6X）卡滞多因液压油污染（颗粒度&gt;NAS 8级），阀芯被铁屑或胶质堵塞，处理时拆解阀块，用煤油清洗阀芯与阀孔，用细砂纸（800目）打磨轻微划伤，装配时在阀芯表面涂抹液压油（46#）润滑；若阀孔严重划伤（深度&gt;0.1mm），需更换阀块。溢流阀（YF-L10H4）卡滞会导致系统压力不稳定（波动&gt;±1MPa），拆检溢流阀弹簧（自由长度60mm，刚度2N/mm），若弹簧疲劳变形（长度缩短&gt;5mm），更换弹簧并调整压力至16MPa。预防液压阀故障的关键是控制油液清洁度，每季度用200目滤网过滤液压油，每年更换全部液压油并清洗油箱（用面团粘除铁屑）。</w:t>
      </w:r>
    </w:p>
    <w:p w14:paraId="0513653B">
      <w:r>
        <w:t>液压管路故障包括泄漏、振动与爆裂，接头泄漏多因密封圈老化（丁腈橡胶变硬发脆）或接头松动（预紧力矩不足），更换密封圈（型号O型圈，硬度70 Shore A），用扭矩扳手紧固接头（M16接头预紧力矩35-40N·m）；管路振动是由于管路固定间距过大（&gt;1m）或液压冲击，需加装管夹（间距500mm），在换向阀出口安装蓄能器（型号NXQ-10/31.5-L-Y）吸收冲击；管路爆裂多因长期过载（压力超过31.5MPa）或老化（使用超过5年），应更换高压软管（型号钢丝编织胶管，耐压31.5MPa），并在系统中设置压力继电器（型号HED40P15/315Z14L24），当压力超过18MPa时切断泵电源。</w:t>
      </w:r>
    </w:p>
    <w:p w14:paraId="0F66A70C">
      <w:r>
        <w:t>液压油污染与老化是系统性故障的根源，油液污染度超过NAS 8级时，会加速阀类元件磨损，需定期检测油液品质：外观呈透明淡黄色（浑浊或发黑需更换），水分含量&lt;0.1%（用水分检测仪检测），粘度变化率&lt;10%（与新油对比）。换油周期：一般工况下2000小时，恶劣工况（粉尘多、温差大）1000小时，换油时需彻底清洗油箱、滤油器和管路，避免新旧油混合。</w:t>
      </w:r>
    </w:p>
    <w:p w14:paraId="7638C423">
      <w:pPr>
        <w:pStyle w:val="3"/>
      </w:pPr>
      <w:r>
        <w:t>七、维护保养规程</w:t>
      </w:r>
    </w:p>
    <w:p w14:paraId="338F403B">
      <w:pPr>
        <w:pStyle w:val="4"/>
      </w:pPr>
      <w:r>
        <w:t>7.1 日常点检项目</w:t>
      </w:r>
    </w:p>
    <w:p w14:paraId="7B9DA1A6">
      <w:r>
        <w:t>日常点检是预防故障的基础工作，需在每班开机前（15分钟）和停机后（10分钟）执行，由操作人员按“点检表”逐项检查并记录，重点关注设备关键部位的状态与参数。</w:t>
      </w:r>
    </w:p>
    <w:p w14:paraId="2644A475">
      <w:r>
        <w:t>机械系统点检内容包括：车体框架有无变形或裂纹（目视检查，重点关注焊接部位），连接螺栓是否松动（用扳手试拧M12以上螺栓，预紧力矩80-100N·m），行走轮与轨道接触是否良好（有无偏磨、啃轨现象），轨道表面有无异物（铁屑、油污，用压缩空气吹扫）。驱动系统检查：链条张紧度（下垂量15-20mm/1m，用直尺测量），链节有无卡滞（手动转动链轮，感觉阻力均匀），液压马达有无渗漏（表面无油迹，接头处无滴漏）。载料平台检查：V型架支承辊转动是否灵活（手动转动无卡滞），侧导板调整是否顺畅（丝杠无锈蚀，润滑良好），尼龙衬板有无磨损（厚度≥3mm，否则更换）。</w:t>
      </w:r>
    </w:p>
    <w:p w14:paraId="636B0203">
      <w:r>
        <w:t>液压系统点检重点关注压力、油位与泄漏：液压站压力表显示是否在10-12MPa（空载时），液位计油位是否在3/4处（不足时补充46#抗磨液压油），油温是否正常（35-55℃，用红外测温仪测量）。管路与阀件检查：各油管接头有无渗漏（用纸巾擦拭检查，无油迹），液压阀安装面有无油污（判断阀体密封是否失效），液压锁是否可靠（平台静置5分钟无沉降）。执行元件检查：液压缸活塞杆有无划伤（表面镀铬层无剥落），防尘罩是否完好（无破损，防止粉尘进入）。</w:t>
      </w:r>
    </w:p>
    <w:p w14:paraId="55E7564D">
      <w:r>
        <w:t>电气系统点检包括电源、控制元件与传感器：电源电压（380V±10%，用万用表测量三相电压），急停按钮是否有效（按下后设备无法启动），操作面板指示灯是否正常（电源灯亮绿色，故障灯不亮）。传感器检查：光电传感器镜头清洁（无粉尘，用无尘布擦拭），接近开关感应距离（3-4mm，用金属片测试，指示灯亮），编码器线缆有无破损（屏蔽层无断裂，接头牢固）。控制箱检查：内部有无凝露（用干燥空气吹扫），端子排有无松动（目视检查，无烧蚀痕迹），散热风扇是否工作（开机后风扇转动）。</w:t>
      </w:r>
    </w:p>
    <w:p w14:paraId="394D8770">
      <w:r>
        <w:t>安全装置点检确保作业防护有效：安全护栏是否完好（高度1200mm，无变形），警示标识是否清晰（“当心碾压”“注意碰头”等标识无脱落），极限位置机械限位是否牢固（聚氨酯缓冲块无碎裂），安全光幕是否灵敏（遮挡时光幕指示灯亮，设备停止动作）。</w:t>
      </w:r>
    </w:p>
    <w:p w14:paraId="63A39D2C">
      <w:pPr>
        <w:pStyle w:val="4"/>
      </w:pPr>
      <w:r>
        <w:t>7.2 定期维护计划</w:t>
      </w:r>
    </w:p>
    <w:p w14:paraId="4933FFD3">
      <w:r>
        <w:t>定期维护按周期分为周维护、月维护、季度维护与年度维护，由技术员或维修人员执行，需停机进行，维护后填写“维护记录表”，作为设备管理档案。</w:t>
      </w:r>
    </w:p>
    <w:p w14:paraId="5BAF6DA5">
      <w:r>
        <w:t>周维护（每周五白班）内容：清洁设备表面油污与粉尘（用中性清洁剂擦拭），检查液压油滤芯压差（未报警，压差≤0.3MPa），润滑链条（用毛刷涂抹锂基润滑脂NLGI 2级，每节链节滴油2-3滴），清理轨道杂物（用磁性吸盘收集铁屑）。重点部位润滑：行走轮轴承（每月加注一次润滑脂，型号ZL-3，用量为轴承腔1/3），载料平台支承辊轴承（每两周加注一次，黄油枪打2-3枪）。</w:t>
      </w:r>
    </w:p>
    <w:p w14:paraId="46B92272">
      <w:r>
        <w:t>月维护（每月最后一个工作日）进行精度检查与调整：测量轨道平行度（用激光干涉仪，≤0.3mm/m，调整垫片），校准编码器零点（将小车开至原点，复位PLC位置计数器），检查对中精度（用标准钢卷测试，对中偏差≤±5mm，调整传感器位置）。机械部件检查：行走轮轮缘磨损量（≤0.5mm，千分尺测量），导向轮间隙（0.1-0.3mm，塞尺测量），V型架水平度（≤0.1mm/m，水平仪测量）。液压系统维护：检查液压油污染度（用比色法，颜色透明淡黄色，无异味），更换回油滤油器滤芯（型号WU-100×100-J），测试液压锁保压性能（5分钟压降≤0.5MPa）。</w:t>
      </w:r>
    </w:p>
    <w:p w14:paraId="085CDF3D">
      <w:r>
        <w:t>季度维护（每3个月）开展深度检查与部件更换：液压系统换油（当油液污染度&gt;NAS 8级时），清洗油箱内壁（用面团粘除铁屑，滤网过滤新油）；机械系统更换易损件：链条销轴（每20节检查1个，发现松动或变形立即更换），导向轮轴承（拆检，转动无异响，否则更换）；电气系统检查：PLC程序备份（用U盘导出，存储至服务器），传感器校准（光电传感器用标准样板校准检测距离，编码器用激光干涉仪校准精度）。结构件检查：车体框架焊接部位探伤（用着色渗透剂检查，无裂纹）；载料平台应力测试（满载时用应变仪测量关键部位应力，≤200MPa）。</w:t>
      </w:r>
    </w:p>
    <w:p w14:paraId="42F8C51A">
      <w:r>
        <w:t>年度维护（每年12月）进行全面检修与性能评估，需停机2-3天：机械系统解体检查：行走轮拆卸（检查轮面磨损，圆度误差≤0.05mm，超差时车削或更换），液压马达拆解（检查内部零件磨损，叶片与定子间隙≤0.1mm），液压缸密封件更换（全部U形圈、防尘圈，材质聚氨酯）。电气系统更新：老化线缆更换（使用超过5年的控制线缆，截面积1.5mm²），PLC电池更换（CR2032锂电池，电压≥3V），HMI触摸屏校准（用校准笔校准触摸精度）。性能测试：空载试运行（各动作循环3次，无异常），满载测试（加载30t钢卷，运行、升降、对中各3次，参数达标），联锁功能测试（与开卷机信号交互正常）。根据年度维护结果，制定下一年度备件采购计划（如行走轮、液压阀、传感器等易损件）。</w:t>
      </w:r>
    </w:p>
    <w:p w14:paraId="5CCBF011">
      <w:pPr>
        <w:pStyle w:val="4"/>
      </w:pPr>
      <w:r>
        <w:t>7.3 润滑管理规范</w:t>
      </w:r>
    </w:p>
    <w:p w14:paraId="2E2FE57A">
      <w:r>
        <w:t>润滑管理是保障设备运动部件寿命的关键，需严格执行“五定”原则（定点、定质、定量、定时、定人），建立润滑台账，记录润滑部位、油品型号、用量与时间。</w:t>
      </w:r>
    </w:p>
    <w:p w14:paraId="329C925B">
      <w:r>
        <w:t>润滑点分布及要求：行走系统润滑点包括主动链轮轴轴承（型号30220，每月加注锂基润滑脂NLGI 2级，用量50g/点）、从动链轮轴轴承（同主动链轮）、行走轮轴承（型号6206，每季度加注润滑脂，用量30g/点）。驱动系统润滑点：液压马达输出轴轴承（每年拆检时加注极压锂基脂NLGI 3级），链条（每周涂抹锂基润滑脂，用量100g/次，均匀涂抹在链节销轴处）。载料平台润滑点：支承辊轴承（每月加注钙基润滑脂NLGI 2级，用量20g/点，共4个），侧导板调整丝杠（每周涂抹二硫化钼润滑脂，用量50g/次，确保调整顺畅）。</w:t>
      </w:r>
    </w:p>
    <w:p w14:paraId="7030A879">
      <w:r>
        <w:t>润滑油品管理规定：液压油使用46#抗磨液压油（黏度指数VI≥140，倾点≤-15℃），需符合GB 11118.1标准；润滑脂按部位选用：轴承用锂基润滑脂（NLGI 2级，滴点≥180℃），低速重载部位用极压锂基脂（NLGI 3级），丝杠用二硫化钼润滑脂（固体润滑剂含量≥15%）。油品存储需密封（防止水分与杂质混入），使用前过滤（200目滤网），不同品牌油品禁止混用（避免化学反应）。</w:t>
      </w:r>
    </w:p>
    <w:p w14:paraId="2C814567">
      <w:r>
        <w:t>润滑作业规范：加注润滑脂前需清洁油嘴（用抹布擦净，防止杂物进入），使用专用黄油枪（每个润滑点对应一把，避免交叉污染），加注时缓慢加压，直至新油从缝隙溢出（表示旧油排出）。液压油更换时需排空系统旧油（打开油箱底部放油阀），清洗油箱（用绸布擦拭，禁用棉纱），加注新油至液位计3/4处，开机后循环10分钟，再补充至标准油位。</w:t>
      </w:r>
    </w:p>
    <w:p w14:paraId="2FAF4EE1">
      <w:r>
        <w:t>润滑状态监测：定期检查润滑效果，链条润滑良好时运行无异响，轴承温度≤65℃（红外测温仪测量）；液压油定期取样送检（每季度一次），检测指标包括黏度变化率（≤10%）、水分含量（≤0.1%）、污染度（≤NAS 8级）。发现润滑不良时，分析原因（油品错误、用量不足、周期过长），及时纠正并调整润滑计划。</w:t>
      </w:r>
    </w:p>
    <w:p w14:paraId="1CEEDAA2">
      <w:pPr>
        <w:pStyle w:val="3"/>
      </w:pPr>
      <w:r>
        <w:t>八、安全操作规程</w:t>
      </w:r>
    </w:p>
    <w:p w14:paraId="45DA0BF4">
      <w:pPr>
        <w:pStyle w:val="4"/>
      </w:pPr>
      <w:r>
        <w:t>8.1 操作前准备</w:t>
      </w:r>
    </w:p>
    <w:p w14:paraId="7E07DFC4">
      <w:r>
        <w:t>操作前准备工作需在设备开机前15分钟完成，由操作人员执行，确保设备处于安全可运行状态，准备不充分禁止开机。</w:t>
      </w:r>
    </w:p>
    <w:p w14:paraId="38841C33">
      <w:r>
        <w:t>环境检查：作业区域无障碍物（轨道两侧1m内无杂物，通道畅通），照明充足（照度≥300lux，检查灯具无损坏），地面无油污（用锯末清理，防止滑倒）。安全防护检查：安全护栏安装牢固（高度1200mm，无缺口），安全光幕清洁无遮挡（镜头无粉尘，光幕区域无工件），警示标识清晰（“禁止跨越轨道”“当心机械伤人”等标识无模糊）。</w:t>
      </w:r>
    </w:p>
    <w:p w14:paraId="5431D606">
      <w:r>
        <w:t>设备状态检查：车体框架无明显变形或裂纹（目视检查焊接部位），行走轮与轨道接触良好（无偏磨、脱轨风险），载料平台尼龙衬板完好（厚度≥3mm）。液压系统检查：液压站油位在液位计3/4处（不足时补充46#抗磨液压油），油温正常（35-55℃，冬季油温低时需预热10分钟），管路无渗漏（接头处无油迹）。电气系统检查：电源电压380V±10%（用万用表测量），急停按钮处于释放状态（红色蘑菇头弹出），操作面板指示灯正常（电源灯亮，故障灯灭）。</w:t>
      </w:r>
    </w:p>
    <w:p w14:paraId="18DF0B9B">
      <w:r>
        <w:t>物料检查：钢卷规格与设备负载匹配（重量≤30t，直径≤1800mm，宽度≤1550mm），钢卷放置平稳（储料台中心与小车轨道对齐），捆带已拆除（防止上料时捆带断裂伤人）。若钢卷存在偏心（偏心距&gt;100mm）或变形（椭圆度&gt;5%），需提前告知技术员，评估是否适合上料。</w:t>
      </w:r>
    </w:p>
    <w:p w14:paraId="4721A39D">
      <w:r>
        <w:t>工具与文件准备：操作人员需佩戴个人防护用品（安全帽、防护鞋、防护手套），准备对讲机（充满电，频道与主控室一致），查阅上一班次“设备运行记录”（了解设备有无遗留故障），确认当日生产计划（钢卷规格、上料顺序）。</w:t>
      </w:r>
    </w:p>
    <w:p w14:paraId="1131A865">
      <w:r>
        <w:t>开机前确认：与主控室联系，确认生产线处于“准备”状态；检查HMI显示是否正常（无通讯故障、无报警代码）；切换“手动/自动”开关至“手动”，点动测试各动作（行走、升降、对中），确认方向正确、动作平稳；测试安全联锁（按下急停按钮，设备所有动作停止）。确认无误后，通知周围人员远离设备，准备开机。</w:t>
      </w:r>
    </w:p>
    <w:p w14:paraId="317BBFA7">
      <w:pPr>
        <w:pStyle w:val="4"/>
      </w:pPr>
      <w:r>
        <w:t>8.2 操作流程</w:t>
      </w:r>
    </w:p>
    <w:p w14:paraId="500F20AC">
      <w:r>
        <w:t>操作流程分为自动模式与手动模式两种，正常生产时优先使用自动模式，设备调试或故障处理时使用手动模式，操作人员需严格按规程执行，禁止违章操作。</w:t>
      </w:r>
    </w:p>
    <w:p w14:paraId="7DACD75E">
      <w:r>
        <w:t>自动模式操作步骤：在HMI主界面点击“自动模式”按钮（权限验证：输入操作员密码），进入自动运行界面；选择上料任务（从储料台A或B取料，输送至开卷机1或2）；点击“启动”按钮，设备执行自动流程：①小车行驶至储料台下方（根据HMI显示位置确认）；②升降平台上升，托起钢卷（压力传感器显示重量，确认无超载）；③小车行驶至开卷机区域（速度自动匹配负载，重载≤3m/min）；④横向对中（HMI显示对中偏差≤±5mm）；⑤纵向停靠（定位偏差≤±2mm）；⑥升降平台下降，钢卷放置于开卷机卷筒；⑦小车返回储料台，等待下一个任务。自动运行中，操作人员需监控HMI状态，若出现报警（如“对中失败”），立即按下“暂停”按钮，排除故障后点击“继续”。</w:t>
      </w:r>
    </w:p>
    <w:p w14:paraId="1FE82BBC">
      <w:r>
        <w:t>手动模式操作步骤：在HMI点击“手动模式”按钮，进入手动控制界面；操作“行走”摇杆（或按钮），控制小车前进/后退（速度≤2m/min），通过HMI位置坐标将小车移动至目标位置；操作“升降”按钮，控制平台上升/下降（速度≤1m/min），观察液位计与压力表，避免超程或超载；操作“对中”按钮，控制载料平台左移/右移（速度≤5mm/s），通过光电传感器指示灯判断对中状态。手动操作时，需一人操作、一人监护，监护人员站在安全区域，观察设备周围有无人员或障碍物，发现异常立即呼喊“停”，操作人员立即松开按钮。</w:t>
      </w:r>
    </w:p>
    <w:p w14:paraId="3166747D">
      <w:r>
        <w:t>换卷操作特殊要求：当一卷钢卷分切完成，开卷机发送“换卷”信号，小车自动行驶至开卷机下方；待开卷机卷筒收缩、钢卷放置于小车平台后，点击“返回”按钮，小车将空卷送至废料区；更换新钢卷时，需确认新钢卷规格与生产计划一致，放置于储料台中心位置，避免偏心导致上料时晃动。</w:t>
      </w:r>
    </w:p>
    <w:p w14:paraId="06C957FD">
      <w:r>
        <w:t>停机操作流程：生产结束或需要长时间停机时，在HMI点击“停止”按钮，设备停止当前任务；将小车行驶至“待机位”（轨道中间位置），升降平台降至最低；关闭操作面板电源开关，断开设备主断路器（挂“禁止合闸”警示牌）；清理作业区域（收集铁屑、擦拭设备表面油污），填写“设备运行记录”（记录生产数量、设备状态、有无异常）。</w:t>
      </w:r>
    </w:p>
    <w:p w14:paraId="59515302">
      <w:pPr>
        <w:pStyle w:val="4"/>
      </w:pPr>
      <w:r>
        <w:t>8.3 应急处理</w:t>
      </w:r>
    </w:p>
    <w:p w14:paraId="5BC73334">
      <w:r>
        <w:t>应急处理是应对设备突发故障或危险情况的关键措施，操作人员需保持冷静，优先保障人员安全，再采取措施控制设备状态，禁止在未确保安全的情况下强行处理。</w:t>
      </w:r>
    </w:p>
    <w:p w14:paraId="37CC0A39">
      <w:r>
        <w:t>设备卡滞应急处理：当小车行走中卡滞（如轨道有异物、车轮脱轨），立即按下操作面板“急停”按钮（或现场急停按钮），切断设备电源（断开主断路器）；检查卡滞原因：若为轨道异物，用工具清除异物（戴防护手套，禁止用手直接接触）；若为车轮脱轨，通知维修人员，使用千斤顶顶起车体，调整车轮位置，重新落轨；排除故障后，点动测试行走动作（低速），确认正常后方可恢复运行。</w:t>
      </w:r>
    </w:p>
    <w:p w14:paraId="19E5D389">
      <w:r>
        <w:t>液压系统泄漏应急处理：发现液压油泄漏（如油管爆裂、接头渗漏），立即停机并切断液压站电源（防止油液持续喷出）；穿戴防护用品（耐油手套、护目镜），用吸油棉覆盖泄漏点（防止油液扩散），放置接油盘收集泄漏油液；通知维修人员更换损坏管路或密封件，清理地面油污（用专用清洁剂，禁止用水冲洗）；更换完成后，补充液压油至标准液位，开机试运行（空载循环3次），检查无泄漏后方可生产。</w:t>
      </w:r>
    </w:p>
    <w:p w14:paraId="56CED0F3">
      <w:r>
        <w:t>电气火灾应急处理：若设备电气柜冒烟或出现火花，立即切断总电源（拉下车间总闸），使用二氧化碳灭火器灭火（禁止用水或泡沫灭火器，防止触电）；灭火时保持安全距离（≥1.5m），对准火源根部喷射；火灾扑灭后，打开柜门通风（30分钟），由电工检查电气元件（如变频器、接触器），确认无复燃风险后，更换损坏部件，测试绝缘电阻（≥1MΩ），方可重新送电。</w:t>
      </w:r>
    </w:p>
    <w:p w14:paraId="5F1A527F">
      <w:r>
        <w:t>人员紧急撤离：当发生设备失控、重大泄漏或火灾等紧急情况，操作人员立即按下最近的急停按钮，大声呼喊“紧急撤离”，通知周围人员沿安全通道疏散至集合点；撤离时注意脚下，禁止乘坐电梯，携带重要文件（如应急预案、联系方式）；到达集合点后，清点人数，向负责人报告情况，等待进一步指令。</w:t>
      </w:r>
    </w:p>
    <w:p w14:paraId="5AE6C883">
      <w:pPr>
        <w:pStyle w:val="3"/>
      </w:pPr>
      <w:r>
        <w:t>九、故障诊断与排除流程</w:t>
      </w:r>
    </w:p>
    <w:p w14:paraId="3599B26E">
      <w:pPr>
        <w:pStyle w:val="4"/>
      </w:pPr>
      <w:r>
        <w:t>9.1 故障诊断基本原则</w:t>
      </w:r>
    </w:p>
    <w:p w14:paraId="0A3530A0">
      <w:r>
        <w:t>故障诊断需遵循“先外后内、先简后繁、先静后动”的原则，通过观察、测量、分析逐步定位故障点，避免盲目拆解导致二次损坏。</w:t>
      </w:r>
    </w:p>
    <w:p w14:paraId="7D3DF7E5">
      <w:r>
        <w:t>先外后内原则：优先检查设备外部可见的故障迹象，如是否有漏油、异响、变形或异物卡滞，再考虑内部部件（如液压马达、PLC模块）故障。例如，小车无法行走时，先检查轨道是否有铁屑卡滞（外部），再拆检内部链条或电机。</w:t>
      </w:r>
    </w:p>
    <w:p w14:paraId="27A15D23">
      <w:r>
        <w:t>先简后繁原则：从最简单、最可能的原因入手，逐步排查复杂因素。例如，传感器无信号，先检查电源是否正常（简单），再检查线缆是否断线（较复杂），最后考虑传感器内部损坏（复杂）。</w:t>
      </w:r>
    </w:p>
    <w:p w14:paraId="4C371FAC">
      <w:r>
        <w:t>先静后动原则：先进行静态检查（断电情况下），再进行动态测试（通电运行）。静态检查包括：目视检查部件状态、测量电阻或电压、手动测试机械活动部件；动态测试包括：观察动作过程、监测参数变化、模拟故障条件。例如，液压系统压力不足，先静态检查油位和滤芯（断电），再动态测量泵出口压力（通电）。</w:t>
      </w:r>
    </w:p>
    <w:p w14:paraId="7964397E">
      <w:r>
        <w:t>数据对比原则：将故障时的参数与正常参数对比，判断异常。例如，正常工作压力12MPa，故障时8MPa，说明系统存在泄漏或泵效率下降；正常行走电流10A，故障时15A，说明负载过大或电机故障。</w:t>
      </w:r>
    </w:p>
    <w:p w14:paraId="5B368544">
      <w:r>
        <w:t>安全第一原则：所有诊断操作必须在确保安全的前提下进行，断电操作时挂“禁止合闸”警示牌，带电测试时使用绝缘工具，液压系统操作时释放系统压力（打开卸荷阀），高空作业时系安全带。</w:t>
      </w:r>
    </w:p>
    <w:p w14:paraId="3435C89F">
      <w:pPr>
        <w:pStyle w:val="4"/>
      </w:pPr>
      <w:r>
        <w:t>9.2 典型故障排除流程</w:t>
      </w:r>
    </w:p>
    <w:p w14:paraId="0646FD49">
      <w:r>
        <w:t>以下为五种典型故障的标准化排除流程，操作人员可按步骤执行，快速定位并解决问题。</w:t>
      </w:r>
    </w:p>
    <w:p w14:paraId="725B16C3">
      <w:r>
        <w:t>故障一：小车无法启动（自动/手动模式均无动作）</w:t>
      </w:r>
    </w:p>
    <w:p w14:paraId="77646D60">
      <w:r>
        <w:t>排除流程：</w:t>
      </w:r>
    </w:p>
    <w:p w14:paraId="08C48BE8">
      <w:pPr>
        <w:numPr>
          <w:ilvl w:val="0"/>
          <w:numId w:val="13"/>
        </w:numPr>
        <w:spacing w:before="0" w:beforeAutospacing="1" w:after="0" w:afterAutospacing="1"/>
        <w:ind w:left="720" w:hanging="360"/>
      </w:pPr>
      <w:r>
        <w:t>检查急停按钮状态：操作面板急停按钮是否按下（红色蘑菇头按下），若按下，顺时针旋转释放；检查主控室急停按钮，确保全部释放。</w:t>
      </w:r>
    </w:p>
    <w:p w14:paraId="4D0DFB9A">
      <w:pPr>
        <w:numPr>
          <w:ilvl w:val="0"/>
          <w:numId w:val="13"/>
        </w:numPr>
        <w:spacing w:before="0" w:beforeAutospacing="1" w:after="0" w:afterAutospacing="1"/>
        <w:ind w:left="720" w:hanging="360"/>
      </w:pPr>
      <w:r>
        <w:t>测量电源电压：用万用表测量进线断路器输出端三相电压，正常值380V±10%，若缺相或电压过低（&lt;342V），通知电工检查电网。</w:t>
      </w:r>
    </w:p>
    <w:p w14:paraId="21DD5560">
      <w:pPr>
        <w:numPr>
          <w:ilvl w:val="0"/>
          <w:numId w:val="13"/>
        </w:numPr>
        <w:spacing w:before="0" w:beforeAutospacing="1" w:after="0" w:afterAutospacing="1"/>
        <w:ind w:left="720" w:hanging="360"/>
      </w:pPr>
      <w:r>
        <w:t>检查PLC运行状态：观察PLC电源指示灯（PWR）是否亮绿色，若不亮，检查24V直流电源模块输出（正常值24V±5%），模块故障时更换。</w:t>
      </w:r>
    </w:p>
    <w:p w14:paraId="72D7260A">
      <w:pPr>
        <w:numPr>
          <w:ilvl w:val="0"/>
          <w:numId w:val="13"/>
        </w:numPr>
        <w:spacing w:before="0" w:beforeAutospacing="1" w:after="0" w:afterAutospacing="1"/>
        <w:ind w:left="720" w:hanging="360"/>
      </w:pPr>
      <w:r>
        <w:t>检查安全联锁信号：在HMI“I/O监控”界面，查看“安全光幕”“防护门”等联锁信号是否为“ON”（绿色），若为“OFF”（灰色），检查光幕是否被遮挡、防护门是否关闭。</w:t>
      </w:r>
    </w:p>
    <w:p w14:paraId="41BB59A9">
      <w:pPr>
        <w:numPr>
          <w:ilvl w:val="0"/>
          <w:numId w:val="13"/>
        </w:numPr>
        <w:spacing w:before="0" w:beforeAutospacing="1" w:after="0" w:afterAutospacing="1"/>
        <w:ind w:left="720" w:hanging="360"/>
      </w:pPr>
      <w:r>
        <w:t>检查电机过载保护：查看电机热继电器是否动作（复位按钮弹出），若动作，按下复位按钮，测量电机三相电流（空载≤8A），电流正常则重新启动，仍过载则检查电机绕组（绝缘电阻≥0.5MΩ）。</w:t>
      </w:r>
    </w:p>
    <w:p w14:paraId="7D8CA504">
      <w:r>
        <w:t>故障二：升降平台无法上升（HMI显示“升降超时”报警）</w:t>
      </w:r>
    </w:p>
    <w:p w14:paraId="161E7D2A">
      <w:r>
        <w:t>排除流程：</w:t>
      </w:r>
    </w:p>
    <w:p w14:paraId="5F7624AF">
      <w:pPr>
        <w:numPr>
          <w:ilvl w:val="0"/>
          <w:numId w:val="14"/>
        </w:numPr>
        <w:spacing w:before="0" w:beforeAutospacing="1" w:after="0" w:afterAutospacing="1"/>
        <w:ind w:left="720" w:hanging="360"/>
      </w:pPr>
      <w:r>
        <w:t>检查液压站压力：观察液压站压力表，空载时应≥10MPa，若压力&lt;8MPa，检查溢流阀设定压力（逆时针旋转压力降低，顺时针升高，调至12MPa）。</w:t>
      </w:r>
    </w:p>
    <w:p w14:paraId="45739D60">
      <w:pPr>
        <w:numPr>
          <w:ilvl w:val="0"/>
          <w:numId w:val="14"/>
        </w:numPr>
        <w:spacing w:before="0" w:beforeAutospacing="1" w:after="0" w:afterAutospacing="1"/>
        <w:ind w:left="720" w:hanging="360"/>
      </w:pPr>
      <w:r>
        <w:t>检查液压油位与油质：液位计油位低于1/2时，补充46#抗磨液压油；油液浑浊或发黑时，更换液压油并清洗油箱。</w:t>
      </w:r>
    </w:p>
    <w:p w14:paraId="282BB928">
      <w:pPr>
        <w:numPr>
          <w:ilvl w:val="0"/>
          <w:numId w:val="14"/>
        </w:numPr>
        <w:spacing w:before="0" w:beforeAutospacing="1" w:after="0" w:afterAutospacing="1"/>
        <w:ind w:left="720" w:hanging="360"/>
      </w:pPr>
      <w:r>
        <w:t>检查电磁换向阀：在HMI手动模式下，点击“上升”按钮，听换向阀是否有“咔嗒”声（电磁铁动作），无声音则测量电磁铁线圈电压（DC24V），无电压检查PLC输出点（Q0.2），有电压则线圈烧毁，更换电磁阀。</w:t>
      </w:r>
    </w:p>
    <w:p w14:paraId="1648300D">
      <w:pPr>
        <w:numPr>
          <w:ilvl w:val="0"/>
          <w:numId w:val="14"/>
        </w:numPr>
        <w:spacing w:before="0" w:beforeAutospacing="1" w:after="0" w:afterAutospacing="1"/>
        <w:ind w:left="720" w:hanging="360"/>
      </w:pPr>
      <w:r>
        <w:t>检查液压锁：拆检液压锁（SV10PA1-40），若阀芯卡滞，用煤油清洗；弹簧失效时更换弹簧（自由长度40mm）。</w:t>
      </w:r>
    </w:p>
    <w:p w14:paraId="67755AE6">
      <w:pPr>
        <w:numPr>
          <w:ilvl w:val="0"/>
          <w:numId w:val="14"/>
        </w:numPr>
        <w:spacing w:before="0" w:beforeAutospacing="1" w:after="0" w:afterAutospacing="1"/>
        <w:ind w:left="720" w:hanging="360"/>
      </w:pPr>
      <w:r>
        <w:t>检查液压缸：若以上正常，拆检液压缸，测量活塞杆是否弯曲（直线度≤0.5mm/m），密封件是否老化（更换U形圈）。</w:t>
      </w:r>
    </w:p>
    <w:p w14:paraId="15CC2635">
      <w:r>
        <w:t>故障三：横向对中偏差超差（HMI显示“对中偏差8mm”报警）</w:t>
      </w:r>
    </w:p>
    <w:p w14:paraId="30D4BFD2">
      <w:r>
        <w:t>排除流程：</w:t>
      </w:r>
    </w:p>
    <w:p w14:paraId="525CEAA7">
      <w:pPr>
        <w:numPr>
          <w:ilvl w:val="0"/>
          <w:numId w:val="15"/>
        </w:numPr>
        <w:spacing w:before="0" w:beforeAutospacing="1" w:after="0" w:afterAutospacing="1"/>
        <w:ind w:left="720" w:hanging="360"/>
      </w:pPr>
      <w:r>
        <w:t>校准光电传感器：用标准样板（宽度1200mm）放置于载料平台，调整传感器支架，使光束中心与样板边缘对齐，检测距离50-100mm。</w:t>
      </w:r>
    </w:p>
    <w:p w14:paraId="1B8C93A5">
      <w:pPr>
        <w:numPr>
          <w:ilvl w:val="0"/>
          <w:numId w:val="15"/>
        </w:numPr>
        <w:spacing w:before="0" w:beforeAutospacing="1" w:after="0" w:afterAutospacing="1"/>
        <w:ind w:left="720" w:hanging="360"/>
      </w:pPr>
      <w:r>
        <w:t>检查对中液压缸：点动“对中左移/右移”，观察活塞杆运动是否平稳，有无卡顿，若有，拆检液压缸，更换弯曲活塞杆或磨损导向套。</w:t>
      </w:r>
    </w:p>
    <w:p w14:paraId="758B74BE">
      <w:pPr>
        <w:numPr>
          <w:ilvl w:val="0"/>
          <w:numId w:val="15"/>
        </w:numPr>
        <w:spacing w:before="0" w:beforeAutospacing="1" w:after="0" w:afterAutospacing="1"/>
        <w:ind w:left="720" w:hanging="360"/>
      </w:pPr>
      <w:r>
        <w:t>检查载料平台水平度：用水平仪测量平台横向水平度，偏差&gt;0.5mm/m时，调整平台底部垫片，使水平度≤0.3mm/m。</w:t>
      </w:r>
    </w:p>
    <w:p w14:paraId="4C945CF1">
      <w:pPr>
        <w:numPr>
          <w:ilvl w:val="0"/>
          <w:numId w:val="15"/>
        </w:numPr>
        <w:spacing w:before="0" w:beforeAutospacing="1" w:after="0" w:afterAutospacing="1"/>
        <w:ind w:left="720" w:hanging="360"/>
      </w:pPr>
      <w:r>
        <w:t>检查PLC参数：在HMI“参数设置”界面，查看“对中精度”是否设为5mm，“精调速度”是否设为2mm/s，参数错误时修正并保存。</w:t>
      </w:r>
    </w:p>
    <w:p w14:paraId="0A411B4C">
      <w:pPr>
        <w:numPr>
          <w:ilvl w:val="0"/>
          <w:numId w:val="15"/>
        </w:numPr>
        <w:spacing w:before="0" w:beforeAutospacing="1" w:after="0" w:afterAutospacing="1"/>
        <w:ind w:left="720" w:hanging="360"/>
      </w:pPr>
      <w:r>
        <w:t>更换传感器：若以上步骤无效，更换光电传感器（型号E3Z-D61），重新校准后测试。</w:t>
      </w:r>
    </w:p>
    <w:p w14:paraId="3080FC18">
      <w:r>
        <w:t>故障四：行走过程中异响（金属摩擦声，伴随振动）</w:t>
      </w:r>
    </w:p>
    <w:p w14:paraId="4C3430D2">
      <w:r>
        <w:t>排除流程：</w:t>
      </w:r>
    </w:p>
    <w:p w14:paraId="0CA37FCC">
      <w:pPr>
        <w:numPr>
          <w:ilvl w:val="0"/>
          <w:numId w:val="16"/>
        </w:numPr>
        <w:spacing w:before="0" w:beforeAutospacing="1" w:after="0" w:afterAutospacing="1"/>
        <w:ind w:left="720" w:hanging="360"/>
      </w:pPr>
      <w:r>
        <w:t>检查轨道状态：目视检查轨道表面有无凸起、凹陷或异物（如焊渣、铁屑），用角磨机打磨轨道不平整处，清除异物。</w:t>
      </w:r>
    </w:p>
    <w:p w14:paraId="4409C159">
      <w:pPr>
        <w:numPr>
          <w:ilvl w:val="0"/>
          <w:numId w:val="16"/>
        </w:numPr>
        <w:spacing w:before="0" w:beforeAutospacing="1" w:after="0" w:afterAutospacing="1"/>
        <w:ind w:left="720" w:hanging="360"/>
      </w:pPr>
      <w:r>
        <w:t>检查行走轮与轨道接触：观察行走轮轮面是否与轨道完全接触，有无偏磨（轮缘单侧磨损），调整导向轮位置（通过调节螺杆），使车轮居中。</w:t>
      </w:r>
    </w:p>
    <w:p w14:paraId="4E851197">
      <w:pPr>
        <w:numPr>
          <w:ilvl w:val="0"/>
          <w:numId w:val="16"/>
        </w:numPr>
        <w:spacing w:before="0" w:beforeAutospacing="1" w:after="0" w:afterAutospacing="1"/>
        <w:ind w:left="720" w:hanging="360"/>
      </w:pPr>
      <w:r>
        <w:t>检查链条张紧度：测量链条下垂量，超过20mm/1m时，调整张紧装置（顺时针旋转张紧螺杆），至下垂量15-20mm。</w:t>
      </w:r>
    </w:p>
    <w:p w14:paraId="286CB4A7">
      <w:pPr>
        <w:numPr>
          <w:ilvl w:val="0"/>
          <w:numId w:val="16"/>
        </w:numPr>
        <w:spacing w:before="0" w:beforeAutospacing="1" w:after="0" w:afterAutospacing="1"/>
        <w:ind w:left="720" w:hanging="360"/>
      </w:pPr>
      <w:r>
        <w:t>检查轴承润滑：拆检行走轮轴承（型号30220），转动有无异响，手感有无卡滞，无润滑脂时加注锂基润滑脂（NLGI 2级），轴承损坏时更换。</w:t>
      </w:r>
    </w:p>
    <w:p w14:paraId="7FD62913">
      <w:pPr>
        <w:numPr>
          <w:ilvl w:val="0"/>
          <w:numId w:val="16"/>
        </w:numPr>
        <w:spacing w:before="0" w:beforeAutospacing="1" w:after="0" w:afterAutospacing="1"/>
        <w:ind w:left="720" w:hanging="360"/>
      </w:pPr>
      <w:r>
        <w:t>检查电机与减速器同心度：测量电机输出轴与减速器输入轴的径向跳动（≤0.1mm），超差时松开电机固定螺栓，调整位置后重新紧固。</w:t>
      </w:r>
    </w:p>
    <w:p w14:paraId="33C3C1FB">
      <w:r>
        <w:t>故障五：HMI显示“通讯故障”（界面无数据刷新）</w:t>
      </w:r>
    </w:p>
    <w:p w14:paraId="6A7D8D37">
      <w:r>
        <w:t>排除流程：</w:t>
      </w:r>
    </w:p>
    <w:p w14:paraId="1D150252">
      <w:pPr>
        <w:numPr>
          <w:ilvl w:val="0"/>
          <w:numId w:val="17"/>
        </w:numPr>
        <w:spacing w:before="0" w:beforeAutospacing="1" w:after="0" w:afterAutospacing="1"/>
        <w:ind w:left="720" w:hanging="360"/>
      </w:pPr>
      <w:r>
        <w:t>检查网线连接：拔插PLC与HMI之间的网线接头（RJ45），确保听到“咔嗒”声（接头卡紧）；检查网线有无破损（屏蔽层无断裂）。</w:t>
      </w:r>
    </w:p>
    <w:p w14:paraId="412C21DF">
      <w:pPr>
        <w:numPr>
          <w:ilvl w:val="0"/>
          <w:numId w:val="17"/>
        </w:numPr>
        <w:spacing w:before="0" w:beforeAutospacing="1" w:after="0" w:afterAutospacing="1"/>
        <w:ind w:left="720" w:hanging="360"/>
      </w:pPr>
      <w:r>
        <w:t>检查IP地址设置：在HMI“系统设置”界面，查看设备IP地址（如192.168.0.10），用电脑ping该地址（命令“ping 192.168.0.10 -t”），若超时则IP冲突，修改为唯一地址。</w:t>
      </w:r>
    </w:p>
    <w:p w14:paraId="13D80EDA">
      <w:pPr>
        <w:numPr>
          <w:ilvl w:val="0"/>
          <w:numId w:val="17"/>
        </w:numPr>
        <w:spacing w:before="0" w:beforeAutospacing="1" w:after="0" w:afterAutospacing="1"/>
        <w:ind w:left="720" w:hanging="360"/>
      </w:pPr>
      <w:r>
        <w:t>检查交换机状态：观察工业交换机对应端口指示灯（绿色常亮表示连接，闪烁表示数据传输）；更换交换机端口测试，故障依旧时更换网线。</w:t>
      </w:r>
    </w:p>
    <w:p w14:paraId="0B2971A6">
      <w:pPr>
        <w:numPr>
          <w:ilvl w:val="0"/>
          <w:numId w:val="17"/>
        </w:numPr>
        <w:spacing w:before="0" w:beforeAutospacing="1" w:after="0" w:afterAutospacing="1"/>
        <w:ind w:left="720" w:hanging="360"/>
      </w:pPr>
      <w:r>
        <w:t>重启设备：依次关闭HMI、PLC电源，等待30秒后重新上电，观察通讯是否恢复。</w:t>
      </w:r>
    </w:p>
    <w:p w14:paraId="5C80B6D5">
      <w:pPr>
        <w:numPr>
          <w:ilvl w:val="0"/>
          <w:numId w:val="17"/>
        </w:numPr>
        <w:spacing w:before="0" w:beforeAutospacing="1" w:after="0" w:afterAutospacing="1"/>
        <w:ind w:left="720" w:hanging="360"/>
      </w:pPr>
      <w:r>
        <w:t>检查通讯模块：若以上无效，拆检PLC以太网模块（CP1243-1），观察指示灯是否正常（LINK灯亮），模块故障时更换。</w:t>
      </w:r>
    </w:p>
    <w:p w14:paraId="6BCCA8E8">
      <w:pPr>
        <w:pStyle w:val="3"/>
      </w:pPr>
      <w:r>
        <w:t>十、技术资料与附录</w:t>
      </w:r>
    </w:p>
    <w:p w14:paraId="317D5F82">
      <w:pPr>
        <w:pStyle w:val="4"/>
      </w:pPr>
      <w:r>
        <w:t>10.1 技术参数汇总表</w:t>
      </w:r>
    </w:p>
    <w:tbl>
      <w:tblPr>
        <w:tblStyle w:val="50"/>
        <w:tblW w:w="0" w:type="auto"/>
        <w:tblInd w:w="0" w:type="dxa"/>
        <w:tblLayout w:type="fixed"/>
        <w:tblCellMar>
          <w:top w:w="0" w:type="dxa"/>
          <w:left w:w="0" w:type="dxa"/>
          <w:bottom w:w="0" w:type="dxa"/>
          <w:right w:w="0" w:type="dxa"/>
        </w:tblCellMar>
      </w:tblPr>
      <w:tblGrid>
        <w:gridCol w:w="4320"/>
        <w:gridCol w:w="4320"/>
      </w:tblGrid>
      <w:tr w14:paraId="45D4EC45">
        <w:tblPrEx>
          <w:tblCellMar>
            <w:top w:w="0" w:type="dxa"/>
            <w:left w:w="0" w:type="dxa"/>
            <w:bottom w:w="0" w:type="dxa"/>
            <w:right w:w="0" w:type="dxa"/>
          </w:tblCellMar>
        </w:tblPrEx>
        <w:tc>
          <w:tcPr>
            <w:tcW w:w="0" w:type="auto"/>
            <w:vAlign w:val="center"/>
          </w:tcPr>
          <w:p w14:paraId="7964CA4B">
            <w:pPr>
              <w:jc w:val="center"/>
              <w:rPr>
                <w:b/>
              </w:rPr>
            </w:pPr>
            <w:r>
              <w:rPr>
                <w:b/>
              </w:rPr>
              <w:t>参数类别</w:t>
            </w:r>
          </w:p>
        </w:tc>
        <w:tc>
          <w:tcPr>
            <w:tcW w:w="0" w:type="auto"/>
            <w:vAlign w:val="center"/>
          </w:tcPr>
          <w:p w14:paraId="455C989C">
            <w:pPr>
              <w:jc w:val="center"/>
              <w:rPr>
                <w:b/>
              </w:rPr>
            </w:pPr>
            <w:r>
              <w:rPr>
                <w:b/>
              </w:rPr>
              <w:t>具体参数</w:t>
            </w:r>
          </w:p>
        </w:tc>
      </w:tr>
      <w:tr w14:paraId="19EA59F6">
        <w:tblPrEx>
          <w:tblCellMar>
            <w:top w:w="0" w:type="dxa"/>
            <w:left w:w="0" w:type="dxa"/>
            <w:bottom w:w="0" w:type="dxa"/>
            <w:right w:w="0" w:type="dxa"/>
          </w:tblCellMar>
        </w:tblPrEx>
        <w:tc>
          <w:tcPr>
            <w:tcW w:w="0" w:type="auto"/>
            <w:vAlign w:val="center"/>
          </w:tcPr>
          <w:p w14:paraId="54E6CDE3">
            <w:r>
              <w:t>基本参数</w:t>
            </w:r>
          </w:p>
        </w:tc>
        <w:tc>
          <w:tcPr>
            <w:tcW w:w="0" w:type="auto"/>
            <w:vAlign w:val="center"/>
          </w:tcPr>
          <w:p w14:paraId="41013A98">
            <w:r>
              <w:t>型号：ZSC-30；外形尺寸：4500×2200×1800mm；重量：8t；颜色：RAL5010（蓝色）</w:t>
            </w:r>
          </w:p>
        </w:tc>
      </w:tr>
      <w:tr w14:paraId="3557AD2E">
        <w:tblPrEx>
          <w:tblCellMar>
            <w:top w:w="0" w:type="dxa"/>
            <w:left w:w="0" w:type="dxa"/>
            <w:bottom w:w="0" w:type="dxa"/>
            <w:right w:w="0" w:type="dxa"/>
          </w:tblCellMar>
        </w:tblPrEx>
        <w:tc>
          <w:tcPr>
            <w:tcW w:w="0" w:type="auto"/>
            <w:vAlign w:val="center"/>
          </w:tcPr>
          <w:p w14:paraId="73A9ADFB">
            <w:r>
              <w:t>负载能力</w:t>
            </w:r>
          </w:p>
        </w:tc>
        <w:tc>
          <w:tcPr>
            <w:tcW w:w="0" w:type="auto"/>
            <w:vAlign w:val="center"/>
          </w:tcPr>
          <w:p w14:paraId="5755B2FE">
            <w:r>
              <w:t>额定负载：30t；最大直径：1800mm；最小直径：800mm；最大宽度：1550mm；最小宽度：1000mm</w:t>
            </w:r>
          </w:p>
        </w:tc>
      </w:tr>
      <w:tr w14:paraId="4D50E6A9">
        <w:tc>
          <w:tcPr>
            <w:tcW w:w="0" w:type="auto"/>
            <w:vAlign w:val="center"/>
          </w:tcPr>
          <w:p w14:paraId="47563819">
            <w:r>
              <w:t>行走性能</w:t>
            </w:r>
          </w:p>
        </w:tc>
        <w:tc>
          <w:tcPr>
            <w:tcW w:w="0" w:type="auto"/>
            <w:vAlign w:val="center"/>
          </w:tcPr>
          <w:p w14:paraId="7F3D5E5A">
            <w:r>
              <w:t>速度范围：0-6m/min；轨道类型：P43钢轨；轨距：600mm/900mm（可选）；定位精度：±2mm</w:t>
            </w:r>
          </w:p>
        </w:tc>
      </w:tr>
      <w:tr w14:paraId="298FC076">
        <w:tblPrEx>
          <w:tblCellMar>
            <w:top w:w="0" w:type="dxa"/>
            <w:left w:w="0" w:type="dxa"/>
            <w:bottom w:w="0" w:type="dxa"/>
            <w:right w:w="0" w:type="dxa"/>
          </w:tblCellMar>
        </w:tblPrEx>
        <w:tc>
          <w:tcPr>
            <w:tcW w:w="0" w:type="auto"/>
            <w:vAlign w:val="center"/>
          </w:tcPr>
          <w:p w14:paraId="1DCFBCDA">
            <w:r>
              <w:t>升降性能</w:t>
            </w:r>
          </w:p>
        </w:tc>
        <w:tc>
          <w:tcPr>
            <w:tcW w:w="0" w:type="auto"/>
            <w:vAlign w:val="center"/>
          </w:tcPr>
          <w:p w14:paraId="25FFCE0F">
            <w:r>
              <w:t>行程：0-600mm；速度：上升3m/min，下降2m/min；同步精度：≤2mm；停驻沉降：≤0.5mm/5min</w:t>
            </w:r>
          </w:p>
        </w:tc>
      </w:tr>
      <w:tr w14:paraId="02D5F430">
        <w:tblPrEx>
          <w:tblCellMar>
            <w:top w:w="0" w:type="dxa"/>
            <w:left w:w="0" w:type="dxa"/>
            <w:bottom w:w="0" w:type="dxa"/>
            <w:right w:w="0" w:type="dxa"/>
          </w:tblCellMar>
        </w:tblPrEx>
        <w:tc>
          <w:tcPr>
            <w:tcW w:w="0" w:type="auto"/>
            <w:vAlign w:val="center"/>
          </w:tcPr>
          <w:p w14:paraId="37752F9E">
            <w:r>
              <w:t>对中性能</w:t>
            </w:r>
          </w:p>
        </w:tc>
        <w:tc>
          <w:tcPr>
            <w:tcW w:w="0" w:type="auto"/>
            <w:vAlign w:val="center"/>
          </w:tcPr>
          <w:p w14:paraId="556BC547">
            <w:r>
              <w:t>对中范围：±100mm；对中精度：±5mm；对中速度：粗调10mm/s，精调2mm/s</w:t>
            </w:r>
          </w:p>
        </w:tc>
      </w:tr>
      <w:tr w14:paraId="2C7CED2D">
        <w:tblPrEx>
          <w:tblCellMar>
            <w:top w:w="0" w:type="dxa"/>
            <w:left w:w="0" w:type="dxa"/>
            <w:bottom w:w="0" w:type="dxa"/>
            <w:right w:w="0" w:type="dxa"/>
          </w:tblCellMar>
        </w:tblPrEx>
        <w:tc>
          <w:tcPr>
            <w:tcW w:w="0" w:type="auto"/>
            <w:vAlign w:val="center"/>
          </w:tcPr>
          <w:p w14:paraId="43A9657A">
            <w:r>
              <w:t>液压系统</w:t>
            </w:r>
          </w:p>
        </w:tc>
        <w:tc>
          <w:tcPr>
            <w:tcW w:w="0" w:type="auto"/>
            <w:vAlign w:val="center"/>
          </w:tcPr>
          <w:p w14:paraId="76D11A55">
            <w:r>
              <w:t>工作压力：10-12MPa；液压油：46#抗磨液压油；油箱容积：200L；过滤精度：10μm</w:t>
            </w:r>
          </w:p>
        </w:tc>
      </w:tr>
      <w:tr w14:paraId="34DA5169">
        <w:tc>
          <w:tcPr>
            <w:tcW w:w="0" w:type="auto"/>
            <w:vAlign w:val="center"/>
          </w:tcPr>
          <w:p w14:paraId="0BBE8512">
            <w:r>
              <w:t>电气系统</w:t>
            </w:r>
          </w:p>
        </w:tc>
        <w:tc>
          <w:tcPr>
            <w:tcW w:w="0" w:type="auto"/>
            <w:vAlign w:val="center"/>
          </w:tcPr>
          <w:p w14:paraId="41387750">
            <w:r>
              <w:t>PLC：西门子S7-1214C；HMI：威纶通MT8102iE；电机功率：行走2.2kW×2，液压5.5kW</w:t>
            </w:r>
          </w:p>
        </w:tc>
      </w:tr>
      <w:tr w14:paraId="7A09E81A">
        <w:tblPrEx>
          <w:tblCellMar>
            <w:top w:w="0" w:type="dxa"/>
            <w:left w:w="0" w:type="dxa"/>
            <w:bottom w:w="0" w:type="dxa"/>
            <w:right w:w="0" w:type="dxa"/>
          </w:tblCellMar>
        </w:tblPrEx>
        <w:tc>
          <w:tcPr>
            <w:tcW w:w="0" w:type="auto"/>
            <w:vAlign w:val="center"/>
          </w:tcPr>
          <w:p w14:paraId="64CCF080">
            <w:r>
              <w:t>环境适应</w:t>
            </w:r>
          </w:p>
        </w:tc>
        <w:tc>
          <w:tcPr>
            <w:tcW w:w="0" w:type="auto"/>
            <w:vAlign w:val="center"/>
          </w:tcPr>
          <w:p w14:paraId="24B3D7BF">
            <w:r>
              <w:t>温度：-10~45℃；湿度：≤85%（无凝露）；防护等级：IP54（车体），IP65（电机）</w:t>
            </w:r>
          </w:p>
        </w:tc>
      </w:tr>
    </w:tbl>
    <w:p w14:paraId="5F2CC9B3">
      <w:pPr>
        <w:pStyle w:val="4"/>
      </w:pPr>
      <w:r>
        <w:t>10.2 备件清单</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591A8B0F">
        <w:tblPrEx>
          <w:tblCellMar>
            <w:top w:w="0" w:type="dxa"/>
            <w:left w:w="0" w:type="dxa"/>
            <w:bottom w:w="0" w:type="dxa"/>
            <w:right w:w="0" w:type="dxa"/>
          </w:tblCellMar>
        </w:tblPrEx>
        <w:tc>
          <w:tcPr>
            <w:tcW w:w="0" w:type="auto"/>
            <w:vAlign w:val="center"/>
          </w:tcPr>
          <w:p w14:paraId="01C1C5A8">
            <w:pPr>
              <w:jc w:val="center"/>
              <w:rPr>
                <w:b/>
              </w:rPr>
            </w:pPr>
            <w:r>
              <w:rPr>
                <w:b/>
              </w:rPr>
              <w:t>序号</w:t>
            </w:r>
          </w:p>
        </w:tc>
        <w:tc>
          <w:tcPr>
            <w:tcW w:w="0" w:type="auto"/>
            <w:vAlign w:val="center"/>
          </w:tcPr>
          <w:p w14:paraId="26055866">
            <w:pPr>
              <w:jc w:val="center"/>
              <w:rPr>
                <w:b/>
              </w:rPr>
            </w:pPr>
            <w:r>
              <w:rPr>
                <w:b/>
              </w:rPr>
              <w:t>备件名称</w:t>
            </w:r>
          </w:p>
        </w:tc>
        <w:tc>
          <w:tcPr>
            <w:tcW w:w="0" w:type="auto"/>
            <w:vAlign w:val="center"/>
          </w:tcPr>
          <w:p w14:paraId="088FFDFD">
            <w:pPr>
              <w:jc w:val="center"/>
              <w:rPr>
                <w:b/>
              </w:rPr>
            </w:pPr>
            <w:r>
              <w:rPr>
                <w:b/>
              </w:rPr>
              <w:t>型号规格</w:t>
            </w:r>
          </w:p>
        </w:tc>
        <w:tc>
          <w:tcPr>
            <w:tcW w:w="0" w:type="auto"/>
            <w:vAlign w:val="center"/>
          </w:tcPr>
          <w:p w14:paraId="28DA4D35">
            <w:pPr>
              <w:jc w:val="center"/>
              <w:rPr>
                <w:b/>
              </w:rPr>
            </w:pPr>
            <w:r>
              <w:rPr>
                <w:b/>
              </w:rPr>
              <w:t>数量（台套）</w:t>
            </w:r>
          </w:p>
        </w:tc>
        <w:tc>
          <w:tcPr>
            <w:tcW w:w="0" w:type="auto"/>
            <w:vAlign w:val="center"/>
          </w:tcPr>
          <w:p w14:paraId="756E0550">
            <w:pPr>
              <w:jc w:val="center"/>
              <w:rPr>
                <w:b/>
              </w:rPr>
            </w:pPr>
            <w:r>
              <w:rPr>
                <w:b/>
              </w:rPr>
              <w:t>更换周期</w:t>
            </w:r>
          </w:p>
        </w:tc>
        <w:tc>
          <w:tcPr>
            <w:tcW w:w="0" w:type="auto"/>
            <w:vAlign w:val="center"/>
          </w:tcPr>
          <w:p w14:paraId="60841EB3">
            <w:pPr>
              <w:jc w:val="center"/>
              <w:rPr>
                <w:b/>
              </w:rPr>
            </w:pPr>
            <w:r>
              <w:rPr>
                <w:b/>
              </w:rPr>
              <w:t>供应商</w:t>
            </w:r>
          </w:p>
        </w:tc>
      </w:tr>
      <w:tr w14:paraId="4E1DB8AE">
        <w:tblPrEx>
          <w:tblCellMar>
            <w:top w:w="0" w:type="dxa"/>
            <w:left w:w="0" w:type="dxa"/>
            <w:bottom w:w="0" w:type="dxa"/>
            <w:right w:w="0" w:type="dxa"/>
          </w:tblCellMar>
        </w:tblPrEx>
        <w:tc>
          <w:tcPr>
            <w:tcW w:w="0" w:type="auto"/>
            <w:vAlign w:val="center"/>
          </w:tcPr>
          <w:p w14:paraId="59424FC4">
            <w:r>
              <w:t>1</w:t>
            </w:r>
          </w:p>
        </w:tc>
        <w:tc>
          <w:tcPr>
            <w:tcW w:w="0" w:type="auto"/>
            <w:vAlign w:val="center"/>
          </w:tcPr>
          <w:p w14:paraId="673FE9DC">
            <w:r>
              <w:t>行走轮轴承</w:t>
            </w:r>
          </w:p>
        </w:tc>
        <w:tc>
          <w:tcPr>
            <w:tcW w:w="0" w:type="auto"/>
            <w:vAlign w:val="center"/>
          </w:tcPr>
          <w:p w14:paraId="51FE187C">
            <w:r>
              <w:t>30220</w:t>
            </w:r>
          </w:p>
        </w:tc>
        <w:tc>
          <w:tcPr>
            <w:tcW w:w="0" w:type="auto"/>
            <w:vAlign w:val="center"/>
          </w:tcPr>
          <w:p w14:paraId="40FBE344">
            <w:r>
              <w:t>4</w:t>
            </w:r>
          </w:p>
        </w:tc>
        <w:tc>
          <w:tcPr>
            <w:tcW w:w="0" w:type="auto"/>
            <w:vAlign w:val="center"/>
          </w:tcPr>
          <w:p w14:paraId="200AA4B3">
            <w:r>
              <w:t>2年</w:t>
            </w:r>
          </w:p>
        </w:tc>
        <w:tc>
          <w:tcPr>
            <w:tcW w:w="0" w:type="auto"/>
            <w:vAlign w:val="center"/>
          </w:tcPr>
          <w:p w14:paraId="1390F75D">
            <w:r>
              <w:t>哈尔滨轴承</w:t>
            </w:r>
          </w:p>
        </w:tc>
      </w:tr>
      <w:tr w14:paraId="607E5FB3">
        <w:tblPrEx>
          <w:tblCellMar>
            <w:top w:w="0" w:type="dxa"/>
            <w:left w:w="0" w:type="dxa"/>
            <w:bottom w:w="0" w:type="dxa"/>
            <w:right w:w="0" w:type="dxa"/>
          </w:tblCellMar>
        </w:tblPrEx>
        <w:tc>
          <w:tcPr>
            <w:tcW w:w="0" w:type="auto"/>
            <w:vAlign w:val="center"/>
          </w:tcPr>
          <w:p w14:paraId="48D467F6">
            <w:r>
              <w:t>2</w:t>
            </w:r>
          </w:p>
        </w:tc>
        <w:tc>
          <w:tcPr>
            <w:tcW w:w="0" w:type="auto"/>
            <w:vAlign w:val="center"/>
          </w:tcPr>
          <w:p w14:paraId="5E025EB0">
            <w:r>
              <w:t>液压油缸密封件</w:t>
            </w:r>
          </w:p>
        </w:tc>
        <w:tc>
          <w:tcPr>
            <w:tcW w:w="0" w:type="auto"/>
            <w:vAlign w:val="center"/>
          </w:tcPr>
          <w:p w14:paraId="74469CE2">
            <w:r>
              <w:t>UNP50×65×8（聚氨酯）</w:t>
            </w:r>
          </w:p>
        </w:tc>
        <w:tc>
          <w:tcPr>
            <w:tcW w:w="0" w:type="auto"/>
            <w:vAlign w:val="center"/>
          </w:tcPr>
          <w:p w14:paraId="3E3044F5">
            <w:r>
              <w:t>2</w:t>
            </w:r>
          </w:p>
        </w:tc>
        <w:tc>
          <w:tcPr>
            <w:tcW w:w="0" w:type="auto"/>
            <w:vAlign w:val="center"/>
          </w:tcPr>
          <w:p w14:paraId="20614172">
            <w:r>
              <w:t>6个月</w:t>
            </w:r>
          </w:p>
        </w:tc>
        <w:tc>
          <w:tcPr>
            <w:tcW w:w="0" w:type="auto"/>
            <w:vAlign w:val="center"/>
          </w:tcPr>
          <w:p w14:paraId="5C5FD21C">
            <w:r>
              <w:t>派克</w:t>
            </w:r>
          </w:p>
        </w:tc>
      </w:tr>
      <w:tr w14:paraId="36077941">
        <w:tc>
          <w:tcPr>
            <w:tcW w:w="0" w:type="auto"/>
            <w:vAlign w:val="center"/>
          </w:tcPr>
          <w:p w14:paraId="0640A635">
            <w:r>
              <w:t>3</w:t>
            </w:r>
          </w:p>
        </w:tc>
        <w:tc>
          <w:tcPr>
            <w:tcW w:w="0" w:type="auto"/>
            <w:vAlign w:val="center"/>
          </w:tcPr>
          <w:p w14:paraId="5AC8993B">
            <w:r>
              <w:t>光电传感器</w:t>
            </w:r>
          </w:p>
        </w:tc>
        <w:tc>
          <w:tcPr>
            <w:tcW w:w="0" w:type="auto"/>
            <w:vAlign w:val="center"/>
          </w:tcPr>
          <w:p w14:paraId="7E5F1EEA">
            <w:r>
              <w:t>E3Z-D61</w:t>
            </w:r>
          </w:p>
        </w:tc>
        <w:tc>
          <w:tcPr>
            <w:tcW w:w="0" w:type="auto"/>
            <w:vAlign w:val="center"/>
          </w:tcPr>
          <w:p w14:paraId="5C6C59DA">
            <w:r>
              <w:t>2</w:t>
            </w:r>
          </w:p>
        </w:tc>
        <w:tc>
          <w:tcPr>
            <w:tcW w:w="0" w:type="auto"/>
            <w:vAlign w:val="center"/>
          </w:tcPr>
          <w:p w14:paraId="794A9B21">
            <w:r>
              <w:t>1年</w:t>
            </w:r>
          </w:p>
        </w:tc>
        <w:tc>
          <w:tcPr>
            <w:tcW w:w="0" w:type="auto"/>
            <w:vAlign w:val="center"/>
          </w:tcPr>
          <w:p w14:paraId="48B6454A">
            <w:r>
              <w:t>欧姆龙</w:t>
            </w:r>
          </w:p>
        </w:tc>
      </w:tr>
      <w:tr w14:paraId="235FF7D5">
        <w:tblPrEx>
          <w:tblCellMar>
            <w:top w:w="0" w:type="dxa"/>
            <w:left w:w="0" w:type="dxa"/>
            <w:bottom w:w="0" w:type="dxa"/>
            <w:right w:w="0" w:type="dxa"/>
          </w:tblCellMar>
        </w:tblPrEx>
        <w:tc>
          <w:tcPr>
            <w:tcW w:w="0" w:type="auto"/>
            <w:vAlign w:val="center"/>
          </w:tcPr>
          <w:p w14:paraId="1E525C08">
            <w:r>
              <w:t>4</w:t>
            </w:r>
          </w:p>
        </w:tc>
        <w:tc>
          <w:tcPr>
            <w:tcW w:w="0" w:type="auto"/>
            <w:vAlign w:val="center"/>
          </w:tcPr>
          <w:p w14:paraId="413EB22D">
            <w:r>
              <w:t>链条</w:t>
            </w:r>
          </w:p>
        </w:tc>
        <w:tc>
          <w:tcPr>
            <w:tcW w:w="0" w:type="auto"/>
            <w:vAlign w:val="center"/>
          </w:tcPr>
          <w:p w14:paraId="6FD7656A">
            <w:r>
              <w:t>16A-2×3m</w:t>
            </w:r>
          </w:p>
        </w:tc>
        <w:tc>
          <w:tcPr>
            <w:tcW w:w="0" w:type="auto"/>
            <w:vAlign w:val="center"/>
          </w:tcPr>
          <w:p w14:paraId="2A432B06">
            <w:r>
              <w:t>1</w:t>
            </w:r>
          </w:p>
        </w:tc>
        <w:tc>
          <w:tcPr>
            <w:tcW w:w="0" w:type="auto"/>
            <w:vAlign w:val="center"/>
          </w:tcPr>
          <w:p w14:paraId="78AC96EB">
            <w:r>
              <w:t>3年</w:t>
            </w:r>
          </w:p>
        </w:tc>
        <w:tc>
          <w:tcPr>
            <w:tcW w:w="0" w:type="auto"/>
            <w:vAlign w:val="center"/>
          </w:tcPr>
          <w:p w14:paraId="3C4E32F9">
            <w:r>
              <w:t>东华链条</w:t>
            </w:r>
          </w:p>
        </w:tc>
      </w:tr>
      <w:tr w14:paraId="2812CF6E">
        <w:tblPrEx>
          <w:tblCellMar>
            <w:top w:w="0" w:type="dxa"/>
            <w:left w:w="0" w:type="dxa"/>
            <w:bottom w:w="0" w:type="dxa"/>
            <w:right w:w="0" w:type="dxa"/>
          </w:tblCellMar>
        </w:tblPrEx>
        <w:tc>
          <w:tcPr>
            <w:tcW w:w="0" w:type="auto"/>
            <w:vAlign w:val="center"/>
          </w:tcPr>
          <w:p w14:paraId="17603875">
            <w:r>
              <w:t>5</w:t>
            </w:r>
          </w:p>
        </w:tc>
        <w:tc>
          <w:tcPr>
            <w:tcW w:w="0" w:type="auto"/>
            <w:vAlign w:val="center"/>
          </w:tcPr>
          <w:p w14:paraId="5ED415C9">
            <w:r>
              <w:t>液压滤芯</w:t>
            </w:r>
          </w:p>
        </w:tc>
        <w:tc>
          <w:tcPr>
            <w:tcW w:w="0" w:type="auto"/>
            <w:vAlign w:val="center"/>
          </w:tcPr>
          <w:p w14:paraId="361F18C4">
            <w:r>
              <w:t>WU-100×100-J</w:t>
            </w:r>
          </w:p>
        </w:tc>
        <w:tc>
          <w:tcPr>
            <w:tcW w:w="0" w:type="auto"/>
            <w:vAlign w:val="center"/>
          </w:tcPr>
          <w:p w14:paraId="0A67AAB1">
            <w:r>
              <w:t>2</w:t>
            </w:r>
          </w:p>
        </w:tc>
        <w:tc>
          <w:tcPr>
            <w:tcW w:w="0" w:type="auto"/>
            <w:vAlign w:val="center"/>
          </w:tcPr>
          <w:p w14:paraId="6DAEF6B6">
            <w:r>
              <w:t>3个月</w:t>
            </w:r>
          </w:p>
        </w:tc>
        <w:tc>
          <w:tcPr>
            <w:tcW w:w="0" w:type="auto"/>
            <w:vAlign w:val="center"/>
          </w:tcPr>
          <w:p w14:paraId="081047D5">
            <w:r>
              <w:t>黎明液压</w:t>
            </w:r>
          </w:p>
        </w:tc>
      </w:tr>
      <w:tr w14:paraId="543E1C9F">
        <w:tblPrEx>
          <w:tblCellMar>
            <w:top w:w="0" w:type="dxa"/>
            <w:left w:w="0" w:type="dxa"/>
            <w:bottom w:w="0" w:type="dxa"/>
            <w:right w:w="0" w:type="dxa"/>
          </w:tblCellMar>
        </w:tblPrEx>
        <w:tc>
          <w:tcPr>
            <w:tcW w:w="0" w:type="auto"/>
            <w:vAlign w:val="center"/>
          </w:tcPr>
          <w:p w14:paraId="3486EDC0">
            <w:r>
              <w:t>6</w:t>
            </w:r>
          </w:p>
        </w:tc>
        <w:tc>
          <w:tcPr>
            <w:tcW w:w="0" w:type="auto"/>
            <w:vAlign w:val="center"/>
          </w:tcPr>
          <w:p w14:paraId="702ABF93">
            <w:r>
              <w:t>编码器</w:t>
            </w:r>
          </w:p>
        </w:tc>
        <w:tc>
          <w:tcPr>
            <w:tcW w:w="0" w:type="auto"/>
            <w:vAlign w:val="center"/>
          </w:tcPr>
          <w:p w14:paraId="777C1532">
            <w:r>
              <w:t>E6B2-CWZ6C（1024线）</w:t>
            </w:r>
          </w:p>
        </w:tc>
        <w:tc>
          <w:tcPr>
            <w:tcW w:w="0" w:type="auto"/>
            <w:vAlign w:val="center"/>
          </w:tcPr>
          <w:p w14:paraId="3A4A65E7">
            <w:r>
              <w:t>1</w:t>
            </w:r>
          </w:p>
        </w:tc>
        <w:tc>
          <w:tcPr>
            <w:tcW w:w="0" w:type="auto"/>
            <w:vAlign w:val="center"/>
          </w:tcPr>
          <w:p w14:paraId="728782BC">
            <w:r>
              <w:t>3年</w:t>
            </w:r>
          </w:p>
        </w:tc>
        <w:tc>
          <w:tcPr>
            <w:tcW w:w="0" w:type="auto"/>
            <w:vAlign w:val="center"/>
          </w:tcPr>
          <w:p w14:paraId="07D4260A">
            <w:r>
              <w:t>欧姆龙</w:t>
            </w:r>
          </w:p>
        </w:tc>
      </w:tr>
      <w:tr w14:paraId="4C875610">
        <w:tc>
          <w:tcPr>
            <w:tcW w:w="0" w:type="auto"/>
            <w:vAlign w:val="center"/>
          </w:tcPr>
          <w:p w14:paraId="59903E41">
            <w:r>
              <w:t>7</w:t>
            </w:r>
          </w:p>
        </w:tc>
        <w:tc>
          <w:tcPr>
            <w:tcW w:w="0" w:type="auto"/>
            <w:vAlign w:val="center"/>
          </w:tcPr>
          <w:p w14:paraId="50FACB78">
            <w:r>
              <w:t>电磁换向阀</w:t>
            </w:r>
          </w:p>
        </w:tc>
        <w:tc>
          <w:tcPr>
            <w:tcW w:w="0" w:type="auto"/>
            <w:vAlign w:val="center"/>
          </w:tcPr>
          <w:p w14:paraId="08CA3231">
            <w:r>
              <w:t>4WE6E6X/EG24N9K4</w:t>
            </w:r>
          </w:p>
        </w:tc>
        <w:tc>
          <w:tcPr>
            <w:tcW w:w="0" w:type="auto"/>
            <w:vAlign w:val="center"/>
          </w:tcPr>
          <w:p w14:paraId="14267C3A">
            <w:r>
              <w:t>2</w:t>
            </w:r>
          </w:p>
        </w:tc>
        <w:tc>
          <w:tcPr>
            <w:tcW w:w="0" w:type="auto"/>
            <w:vAlign w:val="center"/>
          </w:tcPr>
          <w:p w14:paraId="71187AAE">
            <w:r>
              <w:t>2年</w:t>
            </w:r>
          </w:p>
        </w:tc>
        <w:tc>
          <w:tcPr>
            <w:tcW w:w="0" w:type="auto"/>
            <w:vAlign w:val="center"/>
          </w:tcPr>
          <w:p w14:paraId="17D0CA88">
            <w:r>
              <w:t>力士乐</w:t>
            </w:r>
          </w:p>
        </w:tc>
      </w:tr>
      <w:tr w14:paraId="72E83575">
        <w:tblPrEx>
          <w:tblCellMar>
            <w:top w:w="0" w:type="dxa"/>
            <w:left w:w="0" w:type="dxa"/>
            <w:bottom w:w="0" w:type="dxa"/>
            <w:right w:w="0" w:type="dxa"/>
          </w:tblCellMar>
        </w:tblPrEx>
        <w:tc>
          <w:tcPr>
            <w:tcW w:w="0" w:type="auto"/>
            <w:vAlign w:val="center"/>
          </w:tcPr>
          <w:p w14:paraId="5E04B69C">
            <w:r>
              <w:t>8</w:t>
            </w:r>
          </w:p>
        </w:tc>
        <w:tc>
          <w:tcPr>
            <w:tcW w:w="0" w:type="auto"/>
            <w:vAlign w:val="center"/>
          </w:tcPr>
          <w:p w14:paraId="66EB4335">
            <w:r>
              <w:t>尼龙衬板</w:t>
            </w:r>
          </w:p>
        </w:tc>
        <w:tc>
          <w:tcPr>
            <w:tcW w:w="0" w:type="auto"/>
            <w:vAlign w:val="center"/>
          </w:tcPr>
          <w:p w14:paraId="1F11A96B">
            <w:r>
              <w:t>5mm×500mm×300mm</w:t>
            </w:r>
          </w:p>
        </w:tc>
        <w:tc>
          <w:tcPr>
            <w:tcW w:w="0" w:type="auto"/>
            <w:vAlign w:val="center"/>
          </w:tcPr>
          <w:p w14:paraId="3F5CC3F3">
            <w:r>
              <w:t>4</w:t>
            </w:r>
          </w:p>
        </w:tc>
        <w:tc>
          <w:tcPr>
            <w:tcW w:w="0" w:type="auto"/>
            <w:vAlign w:val="center"/>
          </w:tcPr>
          <w:p w14:paraId="49A7BD35">
            <w:r>
              <w:t>6个月</w:t>
            </w:r>
          </w:p>
        </w:tc>
        <w:tc>
          <w:tcPr>
            <w:tcW w:w="0" w:type="auto"/>
            <w:vAlign w:val="center"/>
          </w:tcPr>
          <w:p w14:paraId="274B7834">
            <w:r>
              <w:t>本地加工</w:t>
            </w:r>
          </w:p>
        </w:tc>
      </w:tr>
      <w:tr w14:paraId="58E24875">
        <w:tblPrEx>
          <w:tblCellMar>
            <w:top w:w="0" w:type="dxa"/>
            <w:left w:w="0" w:type="dxa"/>
            <w:bottom w:w="0" w:type="dxa"/>
            <w:right w:w="0" w:type="dxa"/>
          </w:tblCellMar>
        </w:tblPrEx>
        <w:tc>
          <w:tcPr>
            <w:tcW w:w="0" w:type="auto"/>
            <w:vAlign w:val="center"/>
          </w:tcPr>
          <w:p w14:paraId="12F9A81B">
            <w:r>
              <w:t>9</w:t>
            </w:r>
          </w:p>
        </w:tc>
        <w:tc>
          <w:tcPr>
            <w:tcW w:w="0" w:type="auto"/>
            <w:vAlign w:val="center"/>
          </w:tcPr>
          <w:p w14:paraId="71E4C50A">
            <w:r>
              <w:t>PLC电池</w:t>
            </w:r>
          </w:p>
        </w:tc>
        <w:tc>
          <w:tcPr>
            <w:tcW w:w="0" w:type="auto"/>
            <w:vAlign w:val="center"/>
          </w:tcPr>
          <w:p w14:paraId="45D82650">
            <w:r>
              <w:t>CR2032</w:t>
            </w:r>
          </w:p>
        </w:tc>
        <w:tc>
          <w:tcPr>
            <w:tcW w:w="0" w:type="auto"/>
            <w:vAlign w:val="center"/>
          </w:tcPr>
          <w:p w14:paraId="5EC2E7C4">
            <w:r>
              <w:t>1</w:t>
            </w:r>
          </w:p>
        </w:tc>
        <w:tc>
          <w:tcPr>
            <w:tcW w:w="0" w:type="auto"/>
            <w:vAlign w:val="center"/>
          </w:tcPr>
          <w:p w14:paraId="1C9F3639">
            <w:r>
              <w:t>1年</w:t>
            </w:r>
          </w:p>
        </w:tc>
        <w:tc>
          <w:tcPr>
            <w:tcW w:w="0" w:type="auto"/>
            <w:vAlign w:val="center"/>
          </w:tcPr>
          <w:p w14:paraId="67EAC71D">
            <w:r>
              <w:t>松下</w:t>
            </w:r>
          </w:p>
        </w:tc>
      </w:tr>
      <w:tr w14:paraId="3E9168EC">
        <w:tblPrEx>
          <w:tblCellMar>
            <w:top w:w="0" w:type="dxa"/>
            <w:left w:w="0" w:type="dxa"/>
            <w:bottom w:w="0" w:type="dxa"/>
            <w:right w:w="0" w:type="dxa"/>
          </w:tblCellMar>
        </w:tblPrEx>
        <w:tc>
          <w:tcPr>
            <w:tcW w:w="0" w:type="auto"/>
            <w:vAlign w:val="center"/>
          </w:tcPr>
          <w:p w14:paraId="03AAA099">
            <w:r>
              <w:t>10</w:t>
            </w:r>
          </w:p>
        </w:tc>
        <w:tc>
          <w:tcPr>
            <w:tcW w:w="0" w:type="auto"/>
            <w:vAlign w:val="center"/>
          </w:tcPr>
          <w:p w14:paraId="224C726C">
            <w:r>
              <w:t>导向轮</w:t>
            </w:r>
          </w:p>
        </w:tc>
        <w:tc>
          <w:tcPr>
            <w:tcW w:w="0" w:type="auto"/>
            <w:vAlign w:val="center"/>
          </w:tcPr>
          <w:p w14:paraId="6EB87A2E">
            <w:r>
              <w:t>Φ120mm×30mm（HT300）</w:t>
            </w:r>
          </w:p>
        </w:tc>
        <w:tc>
          <w:tcPr>
            <w:tcW w:w="0" w:type="auto"/>
            <w:vAlign w:val="center"/>
          </w:tcPr>
          <w:p w14:paraId="3D2AC18E">
            <w:r>
              <w:t>4</w:t>
            </w:r>
          </w:p>
        </w:tc>
        <w:tc>
          <w:tcPr>
            <w:tcW w:w="0" w:type="auto"/>
            <w:vAlign w:val="center"/>
          </w:tcPr>
          <w:p w14:paraId="6EAF4C5A">
            <w:r>
              <w:t>1年</w:t>
            </w:r>
          </w:p>
        </w:tc>
        <w:tc>
          <w:tcPr>
            <w:tcW w:w="0" w:type="auto"/>
            <w:vAlign w:val="center"/>
          </w:tcPr>
          <w:p w14:paraId="05EB1715">
            <w:r>
              <w:t>本地铸造</w:t>
            </w:r>
          </w:p>
        </w:tc>
      </w:tr>
    </w:tbl>
    <w:p w14:paraId="4B7EBB0F">
      <w:pPr>
        <w:pStyle w:val="4"/>
      </w:pPr>
      <w:r>
        <w:t>10.3 图纸目录</w:t>
      </w:r>
    </w:p>
    <w:p w14:paraId="494103AB">
      <w:pPr>
        <w:numPr>
          <w:ilvl w:val="0"/>
          <w:numId w:val="18"/>
        </w:numPr>
        <w:spacing w:before="0" w:beforeAutospacing="1" w:after="0" w:afterAutospacing="1"/>
        <w:ind w:left="720" w:hanging="360"/>
      </w:pPr>
      <w:r>
        <w:t>机械部分：</w:t>
      </w:r>
    </w:p>
    <w:p w14:paraId="21F9ACA9">
      <w:pPr>
        <w:numPr>
          <w:ilvl w:val="1"/>
          <w:numId w:val="18"/>
        </w:numPr>
        <w:spacing w:before="0" w:beforeAutospacing="1" w:after="0" w:afterAutospacing="1"/>
        <w:ind w:left="1440" w:hanging="360"/>
      </w:pPr>
      <w:r>
        <w:t>图号M01：总装配图</w:t>
      </w:r>
    </w:p>
    <w:p w14:paraId="219EE03C">
      <w:pPr>
        <w:numPr>
          <w:ilvl w:val="1"/>
          <w:numId w:val="18"/>
        </w:numPr>
        <w:spacing w:before="0" w:beforeAutospacing="1" w:after="0" w:afterAutospacing="1"/>
        <w:ind w:left="1440" w:hanging="360"/>
      </w:pPr>
      <w:r>
        <w:t>图号M02：车体框架结构图</w:t>
      </w:r>
    </w:p>
    <w:p w14:paraId="445A0504">
      <w:pPr>
        <w:numPr>
          <w:ilvl w:val="1"/>
          <w:numId w:val="18"/>
        </w:numPr>
        <w:spacing w:before="0" w:beforeAutospacing="1" w:after="0" w:afterAutospacing="1"/>
        <w:ind w:left="1440" w:hanging="360"/>
      </w:pPr>
      <w:r>
        <w:t>图号M03：驱动系统装配图</w:t>
      </w:r>
    </w:p>
    <w:p w14:paraId="1E4DD65F">
      <w:pPr>
        <w:numPr>
          <w:ilvl w:val="1"/>
          <w:numId w:val="18"/>
        </w:numPr>
        <w:spacing w:before="0" w:beforeAutospacing="1" w:after="0" w:afterAutospacing="1"/>
        <w:ind w:left="1440" w:hanging="360"/>
      </w:pPr>
      <w:r>
        <w:t>图号M04：载料平台零件图</w:t>
      </w:r>
    </w:p>
    <w:p w14:paraId="21AB5C24">
      <w:pPr>
        <w:numPr>
          <w:ilvl w:val="1"/>
          <w:numId w:val="18"/>
        </w:numPr>
        <w:spacing w:before="0" w:beforeAutospacing="1" w:after="0" w:afterAutospacing="1"/>
        <w:ind w:left="1440" w:hanging="360"/>
      </w:pPr>
      <w:r>
        <w:t>图号M05：导向定位装置图</w:t>
      </w:r>
    </w:p>
    <w:p w14:paraId="3F43BE0D">
      <w:pPr>
        <w:numPr>
          <w:ilvl w:val="0"/>
          <w:numId w:val="18"/>
        </w:numPr>
        <w:spacing w:before="0" w:beforeAutospacing="1" w:after="0" w:afterAutospacing="1"/>
        <w:ind w:left="720" w:hanging="360"/>
      </w:pPr>
      <w:r>
        <w:t>电气部分：</w:t>
      </w:r>
    </w:p>
    <w:p w14:paraId="3225F372">
      <w:pPr>
        <w:numPr>
          <w:ilvl w:val="1"/>
          <w:numId w:val="18"/>
        </w:numPr>
        <w:spacing w:before="0" w:beforeAutospacing="1" w:after="0" w:afterAutospacing="1"/>
        <w:ind w:left="1440" w:hanging="360"/>
      </w:pPr>
      <w:r>
        <w:t>图号E01：电气原理总图</w:t>
      </w:r>
    </w:p>
    <w:p w14:paraId="35DA74F3">
      <w:pPr>
        <w:numPr>
          <w:ilvl w:val="1"/>
          <w:numId w:val="18"/>
        </w:numPr>
        <w:spacing w:before="0" w:beforeAutospacing="1" w:after="0" w:afterAutospacing="1"/>
        <w:ind w:left="1440" w:hanging="360"/>
      </w:pPr>
      <w:r>
        <w:t>图号E02：主电路原理图</w:t>
      </w:r>
    </w:p>
    <w:p w14:paraId="6F1026B5">
      <w:pPr>
        <w:numPr>
          <w:ilvl w:val="1"/>
          <w:numId w:val="18"/>
        </w:numPr>
        <w:spacing w:before="0" w:beforeAutospacing="1" w:after="0" w:afterAutospacing="1"/>
        <w:ind w:left="1440" w:hanging="360"/>
      </w:pPr>
      <w:r>
        <w:t>图号E03：控制电路原理图</w:t>
      </w:r>
    </w:p>
    <w:p w14:paraId="09DCB6D2">
      <w:pPr>
        <w:numPr>
          <w:ilvl w:val="1"/>
          <w:numId w:val="18"/>
        </w:numPr>
        <w:spacing w:before="0" w:beforeAutospacing="1" w:after="0" w:afterAutospacing="1"/>
        <w:ind w:left="1440" w:hanging="360"/>
      </w:pPr>
      <w:r>
        <w:t>图号E04：PLC I/O接线图</w:t>
      </w:r>
    </w:p>
    <w:p w14:paraId="0DA8C6D2">
      <w:pPr>
        <w:numPr>
          <w:ilvl w:val="1"/>
          <w:numId w:val="18"/>
        </w:numPr>
        <w:spacing w:before="0" w:beforeAutospacing="1" w:after="0" w:afterAutospacing="1"/>
        <w:ind w:left="1440" w:hanging="360"/>
      </w:pPr>
      <w:r>
        <w:t>图号E05：传感器布置图</w:t>
      </w:r>
    </w:p>
    <w:p w14:paraId="72CCCE37">
      <w:pPr>
        <w:numPr>
          <w:ilvl w:val="0"/>
          <w:numId w:val="18"/>
        </w:numPr>
        <w:spacing w:before="0" w:beforeAutospacing="1" w:after="0" w:afterAutospacing="1"/>
        <w:ind w:left="720" w:hanging="360"/>
      </w:pPr>
      <w:r>
        <w:t>液压部分：</w:t>
      </w:r>
    </w:p>
    <w:p w14:paraId="1AF18FF5">
      <w:pPr>
        <w:numPr>
          <w:ilvl w:val="1"/>
          <w:numId w:val="18"/>
        </w:numPr>
        <w:spacing w:before="0" w:beforeAutospacing="1" w:after="0" w:afterAutospacing="1"/>
        <w:ind w:left="1440" w:hanging="360"/>
      </w:pPr>
      <w:r>
        <w:t>图号H01：液压系统原理图</w:t>
      </w:r>
    </w:p>
    <w:p w14:paraId="7C29AB05">
      <w:pPr>
        <w:numPr>
          <w:ilvl w:val="1"/>
          <w:numId w:val="18"/>
        </w:numPr>
        <w:spacing w:before="0" w:beforeAutospacing="1" w:after="0" w:afterAutospacing="1"/>
        <w:ind w:left="1440" w:hanging="360"/>
      </w:pPr>
      <w:r>
        <w:t>图号H02：液压管路布置图</w:t>
      </w:r>
    </w:p>
    <w:p w14:paraId="61919135">
      <w:pPr>
        <w:numPr>
          <w:ilvl w:val="1"/>
          <w:numId w:val="18"/>
        </w:numPr>
        <w:spacing w:before="0" w:beforeAutospacing="1" w:after="0" w:afterAutospacing="1"/>
        <w:ind w:left="1440" w:hanging="360"/>
      </w:pPr>
      <w:r>
        <w:t>图号H03：液压站装配图</w:t>
      </w:r>
    </w:p>
    <w:p w14:paraId="6594CC6F">
      <w:pPr>
        <w:pStyle w:val="4"/>
      </w:pPr>
      <w:r>
        <w:t>10.4 参考文献</w:t>
      </w:r>
    </w:p>
    <w:p w14:paraId="1B504359">
      <w:pPr>
        <w:numPr>
          <w:ilvl w:val="0"/>
          <w:numId w:val="19"/>
        </w:numPr>
        <w:spacing w:before="0" w:beforeAutospacing="1" w:after="0" w:afterAutospacing="1"/>
        <w:ind w:left="720" w:hanging="360"/>
      </w:pPr>
      <w:r>
        <w:t>《高速纵剪机组技术条件》（GB/T 33545-2017）</w:t>
      </w:r>
    </w:p>
    <w:p w14:paraId="60FA6CE4">
      <w:pPr>
        <w:numPr>
          <w:ilvl w:val="0"/>
          <w:numId w:val="19"/>
        </w:numPr>
        <w:spacing w:before="0" w:beforeAutospacing="1" w:after="0" w:afterAutospacing="1"/>
        <w:ind w:left="720" w:hanging="360"/>
      </w:pPr>
      <w:r>
        <w:t>《液压传动系统通用技术条件》（GB/T 3766-2001）</w:t>
      </w:r>
    </w:p>
    <w:p w14:paraId="11B2D4A8">
      <w:pPr>
        <w:numPr>
          <w:ilvl w:val="0"/>
          <w:numId w:val="19"/>
        </w:numPr>
        <w:spacing w:before="0" w:beforeAutospacing="1" w:after="0" w:afterAutospacing="1"/>
        <w:ind w:left="720" w:hanging="360"/>
      </w:pPr>
      <w:r>
        <w:t>《机械安全 设计通则》（GB/T 15706-2012）</w:t>
      </w:r>
    </w:p>
    <w:p w14:paraId="57BCBD69">
      <w:pPr>
        <w:numPr>
          <w:ilvl w:val="0"/>
          <w:numId w:val="19"/>
        </w:numPr>
        <w:spacing w:before="0" w:beforeAutospacing="1" w:after="0" w:afterAutospacing="1"/>
        <w:ind w:left="720" w:hanging="360"/>
      </w:pPr>
      <w:r>
        <w:t>《西门子S7-1200 PLC编程手册》（2019版）</w:t>
      </w:r>
    </w:p>
    <w:p w14:paraId="3A5DA0F2">
      <w:pPr>
        <w:numPr>
          <w:ilvl w:val="0"/>
          <w:numId w:val="19"/>
        </w:numPr>
        <w:spacing w:before="0" w:beforeAutospacing="1" w:after="0" w:afterAutospacing="1"/>
        <w:ind w:left="720" w:hanging="360"/>
      </w:pPr>
      <w:r>
        <w:t>《威纶通MT8102iE触摸屏用户手册》（EBPro V6.06）</w:t>
      </w:r>
    </w:p>
    <w:p w14:paraId="707CB8E1">
      <w:pPr>
        <w:numPr>
          <w:ilvl w:val="0"/>
          <w:numId w:val="19"/>
        </w:numPr>
        <w:spacing w:before="0" w:beforeAutospacing="1" w:after="0" w:afterAutospacing="1"/>
        <w:ind w:left="720" w:hanging="360"/>
      </w:pPr>
      <w:r>
        <w:t>《高速纵剪线上料小车设计方案》（百度文库，2023）</w:t>
      </w:r>
    </w:p>
    <w:p w14:paraId="5C2C5956">
      <w:pPr>
        <w:numPr>
          <w:ilvl w:val="0"/>
          <w:numId w:val="19"/>
        </w:numPr>
        <w:spacing w:before="0" w:beforeAutospacing="1" w:after="0" w:afterAutospacing="1"/>
        <w:ind w:left="720" w:hanging="360"/>
      </w:pPr>
      <w:r>
        <w:t>《设备故障诊断与维修技术》（机械工业出版社，2021）</w:t>
      </w:r>
    </w:p>
    <w:p w14:paraId="52DA9A53">
      <w:pPr>
        <w:pStyle w:val="4"/>
      </w:pPr>
      <w:r>
        <w:t>10.5 联系方式</w:t>
      </w:r>
    </w:p>
    <w:p w14:paraId="46F81B8E">
      <w:pPr>
        <w:numPr>
          <w:ilvl w:val="0"/>
          <w:numId w:val="20"/>
        </w:numPr>
        <w:spacing w:before="0" w:beforeAutospacing="1" w:after="0" w:afterAutospacing="1"/>
        <w:ind w:left="720" w:hanging="360"/>
      </w:pPr>
      <w:r>
        <w:t>设备制造商：XX重工机械有限公司</w:t>
      </w:r>
    </w:p>
    <w:p w14:paraId="0F03C388">
      <w:pPr>
        <w:numPr>
          <w:ilvl w:val="0"/>
          <w:numId w:val="20"/>
        </w:numPr>
        <w:spacing w:before="0" w:beforeAutospacing="1" w:after="0" w:afterAutospacing="1"/>
        <w:ind w:left="720" w:hanging="360"/>
      </w:pPr>
      <w:r>
        <w:t>技术服务热线：400-XXX-XXXX（工作日8:00-17:30）</w:t>
      </w:r>
    </w:p>
    <w:p w14:paraId="1417A60D">
      <w:pPr>
        <w:numPr>
          <w:ilvl w:val="0"/>
          <w:numId w:val="20"/>
        </w:numPr>
        <w:spacing w:before="0" w:beforeAutospacing="1" w:after="0" w:afterAutospacing="1"/>
        <w:ind w:left="720" w:hanging="360"/>
      </w:pPr>
      <w:r>
        <w:t>售后服务邮箱：service@xxx-machinery.com</w:t>
      </w:r>
    </w:p>
    <w:p w14:paraId="5CD63358">
      <w:pPr>
        <w:numPr>
          <w:ilvl w:val="0"/>
          <w:numId w:val="20"/>
        </w:numPr>
        <w:spacing w:before="0" w:beforeAutospacing="1" w:after="0" w:afterAutospacing="1"/>
        <w:ind w:left="720" w:hanging="360"/>
      </w:pPr>
      <w:r>
        <w:t>本地维修站：XX市XX区XX路XX号（联系电话：0XX-XXXXXXXX）</w:t>
      </w:r>
    </w:p>
    <w:p w14:paraId="089C205A">
      <w:pPr>
        <w:numPr>
          <w:ilvl w:val="0"/>
          <w:numId w:val="20"/>
        </w:numPr>
        <w:spacing w:before="0" w:beforeAutospacing="1" w:after="0" w:afterAutospacing="1"/>
        <w:ind w:left="720" w:hanging="360"/>
      </w:pPr>
      <w:r>
        <w:t>备件采购：李经理（138-XXXX-XXXX）</w:t>
      </w:r>
    </w:p>
    <w:p w14:paraId="68C2E20C">
      <w:r>
        <w:t>（注：本手册技术内容如有更新，将通过制造商官网发布，操作人员应定期查阅最新版本。）</w:t>
      </w:r>
    </w:p>
    <w:p w14:paraId="4C545FF6">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E7F8CF17"/>
    <w:multiLevelType w:val="singleLevel"/>
    <w:tmpl w:val="E7F8CF17"/>
    <w:lvl w:ilvl="0" w:tentative="0">
      <w:start w:val="1"/>
      <w:numFmt w:val="decimal"/>
      <w:lvlText w:val="%1."/>
      <w:lvlJc w:val="left"/>
      <w:pPr>
        <w:ind w:left="720" w:hanging="360"/>
      </w:pPr>
      <w:rPr>
        <w:sz w:val="24"/>
      </w:rPr>
    </w:lvl>
  </w:abstractNum>
  <w:abstractNum w:abstractNumId="4">
    <w:nsid w:val="EAF027AD"/>
    <w:multiLevelType w:val="singleLevel"/>
    <w:tmpl w:val="EAF027AD"/>
    <w:lvl w:ilvl="0" w:tentative="0">
      <w:start w:val="1"/>
      <w:numFmt w:val="decimal"/>
      <w:lvlText w:val="%1."/>
      <w:lvlJc w:val="left"/>
      <w:pPr>
        <w:ind w:left="720" w:hanging="360"/>
      </w:pPr>
      <w:rPr>
        <w:sz w:val="24"/>
      </w:rPr>
    </w:lvl>
  </w:abstractNum>
  <w:abstractNum w:abstractNumId="5">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6">
    <w:nsid w:val="FBDE68F2"/>
    <w:multiLevelType w:val="singleLevel"/>
    <w:tmpl w:val="FBDE68F2"/>
    <w:lvl w:ilvl="0" w:tentative="0">
      <w:start w:val="1"/>
      <w:numFmt w:val="bullet"/>
      <w:lvlText w:val=""/>
      <w:lvlJc w:val="left"/>
      <w:pPr>
        <w:ind w:left="720" w:hanging="360"/>
      </w:pPr>
      <w:rPr>
        <w:rFonts w:hint="default" w:ascii="Symbol" w:hAnsi="Symbol" w:cs="Symbol"/>
        <w:sz w:val="20"/>
      </w:rPr>
    </w:lvl>
  </w:abstractNum>
  <w:abstractNum w:abstractNumId="7">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8">
    <w:nsid w:val="FED9D80B"/>
    <w:multiLevelType w:val="multilevel"/>
    <w:tmpl w:val="FED9D80B"/>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9">
    <w:nsid w:val="FF72D081"/>
    <w:multiLevelType w:val="singleLevel"/>
    <w:tmpl w:val="FF72D081"/>
    <w:lvl w:ilvl="0" w:tentative="0">
      <w:start w:val="1"/>
      <w:numFmt w:val="decimal"/>
      <w:lvlText w:val="%1."/>
      <w:lvlJc w:val="left"/>
      <w:pPr>
        <w:ind w:left="720" w:hanging="360"/>
      </w:pPr>
      <w:rPr>
        <w:sz w:val="24"/>
      </w:rPr>
    </w:lvl>
  </w:abstractNum>
  <w:abstractNum w:abstractNumId="10">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1">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2">
    <w:nsid w:val="FFFAD68F"/>
    <w:multiLevelType w:val="singleLevel"/>
    <w:tmpl w:val="FFFAD68F"/>
    <w:lvl w:ilvl="0" w:tentative="0">
      <w:start w:val="1"/>
      <w:numFmt w:val="decimal"/>
      <w:lvlText w:val="%1."/>
      <w:lvlJc w:val="left"/>
      <w:pPr>
        <w:ind w:left="720" w:hanging="360"/>
      </w:pPr>
      <w:rPr>
        <w:sz w:val="24"/>
      </w:rPr>
    </w:lvl>
  </w:abstractNum>
  <w:abstractNum w:abstractNumId="13">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4">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5">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6">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7">
    <w:nsid w:val="7D7F8960"/>
    <w:multiLevelType w:val="singleLevel"/>
    <w:tmpl w:val="7D7F8960"/>
    <w:lvl w:ilvl="0" w:tentative="0">
      <w:start w:val="1"/>
      <w:numFmt w:val="decimal"/>
      <w:lvlText w:val="%1."/>
      <w:lvlJc w:val="left"/>
      <w:pPr>
        <w:ind w:left="720" w:hanging="360"/>
      </w:pPr>
      <w:rPr>
        <w:sz w:val="24"/>
      </w:rPr>
    </w:lvl>
  </w:abstractNum>
  <w:abstractNum w:abstractNumId="18">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19">
    <w:nsid w:val="7FD5E26C"/>
    <w:multiLevelType w:val="singleLevel"/>
    <w:tmpl w:val="7FD5E26C"/>
    <w:lvl w:ilvl="0" w:tentative="0">
      <w:start w:val="1"/>
      <w:numFmt w:val="decimal"/>
      <w:lvlText w:val="%1."/>
      <w:lvlJc w:val="left"/>
      <w:pPr>
        <w:ind w:left="720" w:hanging="360"/>
      </w:pPr>
      <w:rPr>
        <w:sz w:val="24"/>
      </w:rPr>
    </w:lvl>
  </w:abstractNum>
  <w:num w:numId="1">
    <w:abstractNumId w:val="15"/>
  </w:num>
  <w:num w:numId="2">
    <w:abstractNumId w:val="18"/>
  </w:num>
  <w:num w:numId="3">
    <w:abstractNumId w:val="1"/>
  </w:num>
  <w:num w:numId="4">
    <w:abstractNumId w:val="13"/>
  </w:num>
  <w:num w:numId="5">
    <w:abstractNumId w:val="7"/>
  </w:num>
  <w:num w:numId="6">
    <w:abstractNumId w:val="16"/>
  </w:num>
  <w:num w:numId="7">
    <w:abstractNumId w:val="5"/>
  </w:num>
  <w:num w:numId="8">
    <w:abstractNumId w:val="14"/>
  </w:num>
  <w:num w:numId="9">
    <w:abstractNumId w:val="10"/>
  </w:num>
  <w:num w:numId="10">
    <w:abstractNumId w:val="11"/>
  </w:num>
  <w:num w:numId="11">
    <w:abstractNumId w:val="2"/>
  </w:num>
  <w:num w:numId="12">
    <w:abstractNumId w:val="0"/>
  </w:num>
  <w:num w:numId="13">
    <w:abstractNumId w:val="17"/>
  </w:num>
  <w:num w:numId="14">
    <w:abstractNumId w:val="4"/>
  </w:num>
  <w:num w:numId="15">
    <w:abstractNumId w:val="9"/>
  </w:num>
  <w:num w:numId="16">
    <w:abstractNumId w:val="19"/>
  </w:num>
  <w:num w:numId="17">
    <w:abstractNumId w:val="3"/>
  </w:num>
  <w:num w:numId="18">
    <w:abstractNumId w:val="8"/>
  </w:num>
  <w:num w:numId="19">
    <w:abstractNumId w:val="12"/>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3F7C00"/>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E94AE08A"/>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2025-10-06T18:36:27Z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7A0CFDB6B2601656AB9BE368B75B5A07_43</vt:lpwstr>
  </property>
  <property fmtid="{D5CDD505-2E9C-101B-9397-08002B2CF9AE}" pid="4" name="KSOTemplateDocerSaveRecord">
    <vt:lpwstr>eyJoZGlkIjoiNzI4YmNmYThhZjA0NTVhODllNDhjMGZiNmFkMDJjN2YiLCJ1c2VySWQiOiIxNjA5OTI0MDI0In0=</vt:lpwstr>
  </property>
</Properties>
</file>