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546F8">
      <w:pPr>
        <w:pStyle w:val="2"/>
      </w:pPr>
    </w:p>
    <w:p w14:paraId="2B9BD5B9">
      <w:pPr>
        <w:pStyle w:val="2"/>
      </w:pPr>
    </w:p>
    <w:p w14:paraId="64C3BEE1">
      <w:pPr>
        <w:pStyle w:val="2"/>
      </w:pPr>
      <w:r>
        <w:t>干变铁芯车间大型铁芯喷漆设备技术手册</w:t>
      </w:r>
    </w:p>
    <w:p w14:paraId="752EEA2B">
      <w:pPr>
        <w:pStyle w:val="3"/>
      </w:pPr>
      <w:r>
        <w:t>一、喷漆设备基础结构与功能</w:t>
      </w:r>
    </w:p>
    <w:p w14:paraId="177F58E8">
      <w:pPr>
        <w:pStyle w:val="4"/>
      </w:pPr>
      <w:r>
        <w:t>1. 喷漆室主体结构及功能特性</w:t>
      </w:r>
    </w:p>
    <w:p w14:paraId="253D1C7B">
      <w:r>
        <w:t>喷漆室主体作为大型铁芯喷涂作业的封闭空间，采用干式喷漆室结构设计，由动静压室、喷涂作业室及漆雾分离室三部分组成。室体框架采用型钢焊接，外部覆盖子母插式保温喷塑墙板，厚度50mm，具备良好的隔音（降噪量≥25dB）和保温性能（传热系数≤0.5W/(m²·K)）。作业室内部尺寸根据铁芯最大规格设计，通常长6~10m、宽3~4m、高2.5~3m，确保工件与喷枪的最小操作距离≥500mm。</w:t>
      </w:r>
    </w:p>
    <w:p w14:paraId="218F78DF">
      <w:r>
        <w:t>动静压室位于喷漆室顶部，内置高效过滤器（过滤效率≥95%@0.5μm）和均流层，将洁净空气以层流状态送入作业区，形成0.3~0.5m/s的垂直下降风速，有效控制漆雾扩散。照明系统采用防爆灯具（Ex d IIB T4），安装于动静压室下方，照度达800~1000勒克斯，光线均匀性≥0.7，观察窗采用夹胶安全玻璃（厚度12mm），表面涂覆防雾涂层，确保作业区视野清晰。</w:t>
      </w:r>
    </w:p>
    <w:p w14:paraId="117C8FE4">
      <w:r>
        <w:t>安全防护设计符合GB50058爆炸危险环境要求，所有金属部件通过接地干线可靠接地，接地电阻≤4Ω。作业室侧面设置向外开启的安全门（宽度≥0.9m，高度≥1.8m），配备紧急停止按钮和可燃气体检测报警仪（检测范围0~100% LEL，报警阈值≤25% LEL）。当室内VOCs浓度超标或发生火情时，系统自动启动排风（风量10000~50000m³/h）和灭火装置（CO₂气体灭火，喷射时间≥30s）。</w:t>
      </w:r>
    </w:p>
    <w:p w14:paraId="0770C0C1">
      <w:pPr>
        <w:pStyle w:val="4"/>
      </w:pPr>
      <w:r>
        <w:t>2. 喷枪系统结构与雾化功能</w:t>
      </w:r>
    </w:p>
    <w:p w14:paraId="462E1633">
      <w:r>
        <w:t>喷枪系统是实现涂料精确涂覆的核心部件，根据工艺需求配置高压无气喷枪或静电喷枪。高压无气喷枪由喷嘴、枪体、高压软管及供漆泵组成，喷嘴口径1.3~1.7mm（大面积喷涂可选2.0~3.0mm），通过高压泵将涂料加压至15~20MPa，经喷嘴形成扇形雾化，雾化粒径50~80μm，涂料利用率60%~70%，适合厚膜涂层（干膜厚度80~150μm）施工。</w:t>
      </w:r>
    </w:p>
    <w:p w14:paraId="1479BDE0">
      <w:r>
        <w:t>静电喷枪系统额外配置高压静电发生器（输出电压50~100kV，电流≤50μA），涂料经喷嘴雾化后带上负电荷，在高压电场作用下被吸附于接地的铁芯表面，涂料利用率提升至80%~95%。喷枪枪体采用轻质铝合金制造，重量≤1.5kg，配备扳机式控制开关和雾化/扇形调节旋钮，可实现喷幅宽度（100~500mm）和流量（50~300cc/min）的无级调节。</w:t>
      </w:r>
    </w:p>
    <w:p w14:paraId="26715F74">
      <w:r>
        <w:t>供漆系统由不锈钢储漆箱（容积50~200L）、气动搅拌装置（转速30~50r/min）、过滤系统（精度≤50μm）及高压柱塞泵（排量1.5~10cc/r）组成。储漆箱内壁经电解抛光处理（Ra≤0.8μm），防止涂料残留；搅拌装置确保颜料均匀分散（沉降速度≤0.5mm/h）；过滤系统采用三级过滤（进泵前100目、泵后200目、喷枪前300目），彻底去除杂质。针对高粘度涂料（如环氧底漆，粘度80~120s涂-4杯），系统配备夹套式加热装置，将涂料温度控制在25±3℃，确保流动性稳定。</w:t>
      </w:r>
    </w:p>
    <w:p w14:paraId="5D55FD78">
      <w:pPr>
        <w:pStyle w:val="4"/>
      </w:pPr>
      <w:r>
        <w:t>3. 输送系统结构与工件转运功能</w:t>
      </w:r>
    </w:p>
    <w:p w14:paraId="23619BC4">
      <w:r>
        <w:t>输送系统实现铁芯在喷涂工序间的自动化流转，根据工件重量和尺寸采用悬挂链输送或辊道输送。悬挂链输送系统由轨道、链条、驱动单元及吊具组成，轨道采用16Mn低合金钢冷弯成型，截面尺寸120×80mm，承载能力≥500kg/m。链条选用板式链条（节距150mm），通过伺服电机（功率1.5kW，额定转速3000r/min）驱动，经减速器（减速比1:50）和链轮传递动力，运行速度0.5~2m/min，定位精度±5mm。</w:t>
      </w:r>
    </w:p>
    <w:p w14:paraId="7825E011">
      <w:r>
        <w:t>辊道输送系统适用于重型铁芯（重量＞2000kg），由主动辊、从动辊、传动链条及导向装置组成。辊子直径100~150mm，材质45号钢调质处理（硬度HB220~250），表面包覆聚氨酯（厚度10mm，邵氏硬度85A），防止铁芯表面压伤。驱动单元采用变频电机（功率2.2kW），通过链传动带动主动辊同步转动，线速度0.8~1.5m/min，辊子间距300~500mm，确保工件平稳支撑（挠度≤0.5mm/m）。</w:t>
      </w:r>
    </w:p>
    <w:p w14:paraId="5026E2F2">
      <w:r>
        <w:t>为实现铁芯360°无死角喷涂，输送系统配置旋转工装，包括翻转机构和定位装置。翻转机构由伺服电机（功率1.1kW）、谐波减速器（减速比1:100）及翻转架组成，可实现0~180°翻转，翻转速度5°/s，到位精度±1°。定位装置采用气动顶尖（顶紧力500~1500N可调），配合V型块定位，重复定位精度±0.1mm，确保铁芯轴线与旋转中心同轴度误差≤0.2mm/m。</w:t>
      </w:r>
    </w:p>
    <w:p w14:paraId="5C007680">
      <w:pPr>
        <w:pStyle w:val="4"/>
      </w:pPr>
      <w:r>
        <w:t>4. 漆雾处理装置结构与环保功能</w:t>
      </w:r>
    </w:p>
    <w:p w14:paraId="33C000BA">
      <w:r>
        <w:t>漆雾处理装置用于净化喷涂过程中产生的漆雾和有机废气，主流采用干式过滤+活性炭吸附工艺或静电分离工艺。干式过滤系统由初效过滤器、中效过滤器和活性炭吸附床组成，三级过滤协同工作：初效过滤器采用漆雾毡（厚度50mm，捕集效率≥85%），拦截粒径＞10μm的漆雾颗粒；中效过滤器为折叠式玻璃纤维滤筒（过滤面积15m²/个，效率≥95%@5μm），去除1~10μm的细微颗粒；活性炭吸附床填充柱状活性炭（碘值≥800mg/g，填充量50~200kg），吸附VOCs气体，净化效率≥90%。</w:t>
      </w:r>
    </w:p>
    <w:p w14:paraId="18F089BB">
      <w:r>
        <w:t>静电分离装置通过高压电场（8~12kV）使漆雾颗粒带电，在电场力作用下被吸附于集尘极板（不锈钢材质，间距100~150mm），捕集效率≥98%。装置配置自动清灰系统，采用脉冲喷吹（压缩空气压力0.5~0.7MPa，喷吹时间0.1~0.3s）或机械振打方式清除极板上的漆渣，清灰周期30~60min，确保系统阻力稳定（≤800Pa）。</w:t>
      </w:r>
    </w:p>
    <w:p w14:paraId="0050E472">
      <w:r>
        <w:t>处理风量根据喷漆室体积和操作人数设计，通常为10000~50000m³/h，换气次数8~15次/h。风机采用离心式防爆风机（风压2500~3500Pa，电机功率5.5~15kW），通过变频控制实现风量调节。废气排放口安装在线监测装置（VOCs浓度检测仪，精度±5%FS），确保排放浓度≤60mg/m³（满足GB16297-1996标准），漆渣收集率≥99%，交由专业危废处理机构处置。</w:t>
      </w:r>
    </w:p>
    <w:p w14:paraId="45BC7DC4">
      <w:pPr>
        <w:pStyle w:val="3"/>
      </w:pPr>
      <w:r>
        <w:t>二、喷漆设备机械原理与工作机制</w:t>
      </w:r>
    </w:p>
    <w:p w14:paraId="722C6527">
      <w:pPr>
        <w:pStyle w:val="4"/>
      </w:pPr>
      <w:r>
        <w:t>1. 输送系统驱动与定位原理</w:t>
      </w:r>
    </w:p>
    <w:p w14:paraId="06E5CCD9">
      <w:r>
        <w:t>输送系统采用“伺服电机-滚珠丝杠”驱动方案实现精确定位，驱动单元由伺服电机（型号：松下MSMF042L1U2M，功率0.4kW，编码器2500线）、行星齿轮减速器（减速比1:10）及滚珠丝杠副（导程10mm，精度C3级）组成。电机输出扭矩经减速器放大后驱动丝杠旋转，丝杠螺母副将旋转运动转化为直线运动，带动滑台移动。通过光栅尺（分辨率1μm）实时反馈位置信号，形成闭环控制，定位精度±0.01mm，重复定位精度±0.005mm。</w:t>
      </w:r>
    </w:p>
    <w:p w14:paraId="5A588EF3">
      <w:r>
        <w:t>对于长距离输送（＞5m），采用双驱同步控制技术，两台伺服电机通过电子齿轮同步（速比误差≤0.1%），消除单驱导致的丝杠挠度（≤0.1mm/m）。轨道支撑采用铸铁底座（HT300），经人工时效处理（消除内应力），导轨面粘贴聚四氟乙烯导轨软带（摩擦系数0.03~0.05），并通过油气润滑系统（供油量0.05mL/min）实现持续润滑，确保滑台运行平稳，无爬行现象（速度波动≤±2%）。</w:t>
      </w:r>
    </w:p>
    <w:p w14:paraId="701CE790">
      <w:r>
        <w:t>工件举升机构采用液压驱动，由轴向柱塞泵（排量10mL/r，工作压力6~8MPa）、双作用液压缸（缸径100mm，行程300mm）及液压锁组成。举升过程分为快速上升（速度100mm/s）、慢速定位（速度20mm/s）和保压阶段（压力维持6MPa），通过比例溢流阀实现压力无级调节，满足不同重量工件的平稳举升需求（最大举升力50kN）。</w:t>
      </w:r>
    </w:p>
    <w:p w14:paraId="1BE298DC">
      <w:pPr>
        <w:pStyle w:val="4"/>
      </w:pPr>
      <w:r>
        <w:t>2. 喷枪运动与雾化控制原理</w:t>
      </w:r>
    </w:p>
    <w:p w14:paraId="0B4A9D32">
      <w:r>
        <w:t>喷枪运动采用直角坐标机器人架构，X、Y、Z三轴线性模组实现三维空间定位。X轴（横向）行程3000mm，Y轴（纵向）行程2000mm，Z轴（垂直）行程800mm，各轴均由伺服电机（X/Y轴功率2.0kW，Z轴功率1.5kW）驱动，配合精密滚珠丝杠（导程20mm，精度C3级）和交叉滚柱导轨（定位精度±2μm），最大运行速度1.5m/s，加速度0.8m/s²，轨迹跟踪误差≤0.05mm。</w:t>
      </w:r>
    </w:p>
    <w:p w14:paraId="16B881BC">
      <w:r>
        <w:t>雾化控制是确保涂层质量的核心，高压无气雾化通过将涂料加压至15~20MPa，经喷嘴小孔（直径1.3~1.7mm）形成高速射流（速度＞100m/s），与周围空气剧烈剪切实现雾化，雾化粒径50~80μm，适合厚膜涂层施工。静电雾化则在无气雾化基础上，通过高压发生器使涂料颗粒带上负电荷（电荷密度10⁻⁶~10⁻⁸C/m³），在工件（接地正极）和喷枪（负极）之间形成静电场（场强10⁵~10⁶V/m），带电漆粒沿电力线方向运动并吸附于工件表面，涂料利用率提升至80%~95%。</w:t>
      </w:r>
    </w:p>
    <w:p w14:paraId="7CE5E4EE">
      <w:r>
        <w:t>雾化效果受多项参数协同影响：涂料粘度（20~30s涂-4杯）决定雾化粒径大小，粘度越高雾化粒径越大；雾化压力（0.3~0.6MPa）影响雾化锥角（60°~120°），压力越大锥角越大；喷涂距离（200~300mm）决定漆粒动能，距离过近易产生流挂，过远则漆粒损失增加。通过PLC实时调节这些参数，可实现不同涂层厚度（30~150μm）的精确控制，厚度偏差≤±5μm。</w:t>
      </w:r>
    </w:p>
    <w:p w14:paraId="42CC5F17">
      <w:pPr>
        <w:pStyle w:val="4"/>
      </w:pPr>
      <w:r>
        <w:t>3. 漆雾分离装置工作机制</w:t>
      </w:r>
    </w:p>
    <w:p w14:paraId="6F6FB65C">
      <w:r>
        <w:t>漆雾分离装置的核心是利用物理或化学方法分离漆雾颗粒并净化有机废气，干式过滤+活性炭吸附系统的工作流程如下：含漆雾空气在引风机作用下以1.5~2.5m/s的速度进入喷漆室，经室体顶部的均流板整流后，均匀流过作业区，将悬浮漆雾带入漆雾处理装置。</w:t>
      </w:r>
    </w:p>
    <w:p w14:paraId="553BCB54">
      <w:r>
        <w:t>首先进入旋风分离器（直径500mm，入口风速18~22m/s），气流在分离器内做高速旋转运动，漆雾颗粒在离心力（F=mrω²，m为颗粒质量，r为旋转半径，ω为角速度）作用下被甩向器壁，碰撞后失去动能，沿壁面落入底部集渣斗，分离效率≥85%@10μm。未被分离的细微漆雾随气流进入过滤段，依次通过初效漆雾毡（捕集5~10μm颗粒）和中效滤筒（捕集1~5μm颗粒），此时漆雾去除率可达99%以上。</w:t>
      </w:r>
    </w:p>
    <w:p w14:paraId="0FEE1E62">
      <w:r>
        <w:t>净化后的气流进入活性炭吸附床，有机废气（VOCs）与活性炭表面发生物理吸附（范德华力），被吸附在活性炭孔隙内（孔径2~50nm），净化后废气VOCs浓度≤60mg/m³，由引风机排入大气。当活性炭吸附饱和（碘值降至600mg/g以下）时，需进行再生或更换，再生可采用热空气吹扫（温度120~150℃）或蒸汽脱附，脱附后的浓缩废气可送入催化燃烧装置（CO浓度≥99%）处理。</w:t>
      </w:r>
    </w:p>
    <w:p w14:paraId="665E58AB">
      <w:pPr>
        <w:pStyle w:val="4"/>
      </w:pPr>
      <w:r>
        <w:t>4. 大型铁芯喷涂工艺适配原理</w:t>
      </w:r>
    </w:p>
    <w:p w14:paraId="52971DCC">
      <w:r>
        <w:t>大型干变铁芯（通常长3~6m，宽1~2m，重500~2000kg）具有薄壁（硅钢片厚度0.3~0.5mm）、多棱角、绝缘要求高等特性，对喷涂工艺提出特殊要求。工件装夹采用“双顶针+中心架”支撑方式，顶针材料为硬质合金（YG8），尖端圆锥角60°，表面粗糙度Ra0.2μm，顶紧力800~1200N（通过扭矩扳手设定，扭矩15~20N·m），防止过紧导致铁芯弯曲（弯曲量≤0.5mm/m）或过松产生振动。</w:t>
      </w:r>
    </w:p>
    <w:p w14:paraId="7F5A8981">
      <w:r>
        <w:t>喷涂轨迹规划采用离线编程技术，通过3D扫描获取铁芯三维模型，自动生成最优喷涂路径。对于平面区域采用“之”字形轨迹（搭接率50%），拐角处采用圆弧过渡（半径≥50mm），窗孔内侧采用环形轨迹（喷枪倾斜45°），确保涂层均匀性（厚度偏差≤±5μm）。轨迹优化算法可减少空行程30%，提高喷涂效率至4~6m²/min。</w:t>
      </w:r>
    </w:p>
    <w:p w14:paraId="6863BF2A">
      <w:r>
        <w:t>涂层干燥采用低温固化工艺，烘干室温度控制在60~80℃（避免硅钢片退火，磁导率下降≤5%），升温速率≤3℃/min，保温时间15~30min（根据涂层厚度调整）。热风循环采用上送下回方式，风速1~1.5m/s，温度均匀性±3℃，确保漆膜充分流平（表面粗糙度Ra≤1.6μm）且无针孔、气泡等缺陷。</w:t>
      </w:r>
    </w:p>
    <w:p w14:paraId="21FB1C18">
      <w:r>
        <w:t>针对铁芯叠片缝隙（通常0.1~0.3mm）易积漆问题，喷涂前采用压缩空气（压力0.6MPa）吹尘，清除缝隙内的铁屑和浮尘；喷涂时控制湿膜厚度≤80μm（干膜约40μm），避免漆料流入缝隙导致绝缘性能下降（绝缘电阻≥1000MΩ）。喷涂后进行100%外观 inspection 和附着力测试（划格法，附着力≥5MPa），确保涂层质量符合IEC 60404标准。</w:t>
      </w:r>
    </w:p>
    <w:p w14:paraId="069D111C">
      <w:pPr>
        <w:pStyle w:val="3"/>
      </w:pPr>
      <w:r>
        <w:t>三、喷漆设备控制系统原理</w:t>
      </w:r>
    </w:p>
    <w:p w14:paraId="31649B23">
      <w:pPr>
        <w:pStyle w:val="4"/>
      </w:pPr>
      <w:r>
        <w:t>1. PLC控制系统架构与逻辑控制</w:t>
      </w:r>
    </w:p>
    <w:p w14:paraId="71CA2634">
      <w:r>
        <w:t>PLC控制系统是设备的“大脑”，采用模块化设计，核心控制器选用西门子S7-1214C DC/DC/DC（或同等配置），配备16点数字量输入模块（DI 24V DC）、16点数字量输出模块（DO 24V DC，继电器输出）、4路模拟量输入模块（AI 4×13位）和2路模拟量输出模块（AO 2×13位）。通信接口包括PROFINET（100Mbps）、RS485（Modbus RTU）和EtherCAT（用于伺服驱动），支持高速数据传输和远程监控。</w:t>
      </w:r>
    </w:p>
    <w:p w14:paraId="03721E19">
      <w:r>
        <w:t>控制逻辑采用梯形图和SCL语言混合编程，主程序扫描周期≤10ms，确保实时性。核心控制流程包括：① 工件输送控制：接收上道工序信号→启动输送电机→定位至喷涂工位→夹紧工件；② 喷涂过程控制：启动喷枪→按预设轨迹运动→流量/压力闭环调节→完成后关闭喷枪；③ 安全联锁控制：监测急停信号、可燃气体浓度、门限位等，异常时立即停机并报警。</w:t>
      </w:r>
    </w:p>
    <w:p w14:paraId="32E14A8F">
      <w:r>
        <w:t>关键控制功能通过功能块（FB）实现，如FB100（输送控制）、FB200（喷涂控制）、FB300（故障诊断），提高程序复用性和可维护性。例如，FB200包含喷枪开关控制、流量PID调节、轨迹插补等子功能，通过调用不同实例（Instance）控制多把喷枪协同工作。PLC数据存储采用非易失性存储器，可保存100组喷涂参数配方，支持断电后参数不丢失。</w:t>
      </w:r>
    </w:p>
    <w:p w14:paraId="3BE0E6F6">
      <w:pPr>
        <w:pStyle w:val="4"/>
      </w:pPr>
      <w:r>
        <w:t>2. 伺服驱动系统与运动控制</w:t>
      </w:r>
    </w:p>
    <w:p w14:paraId="3B21F3A0">
      <w:r>
        <w:t>伺服驱动系统实现喷枪和输送系统的精确运动控制，采用“PLC+运动控制卡+伺服驱动器”三层架构。运动控制卡选用雷赛DMC5480（或同等性能），支持8轴联动，脉冲输出频率2MHz，插补精度±1脉冲，可实现直线、圆弧、螺旋线等复杂轨迹插补。伺服驱动器采用松下MDDLN55SE（或同等），功率1.5~2kW，支持位置、速度、扭矩三种控制模式，电流环带宽500Hz，速度环带宽200Hz，位置环带宽50Hz，动态响应快（阶跃响应时间≤0.1s）。</w:t>
      </w:r>
    </w:p>
    <w:p w14:paraId="22E0627E">
      <w:r>
        <w:t>位置控制模式通过脉冲+方向信号驱动，编码器反馈采用17位绝对值编码器（分辨率131072线/转），实现全闭环控制，定位精度±0.01mm，重复定位精度±0.005mm。速度控制模式通过模拟量（4~20mA）或总线通信设定速度，调速范围1:5000（从0.1rpm到5000rpm），速度波动≤±0.1%。扭矩控制模式用于工件夹紧，通过设定输出扭矩（0~100%额定扭矩）防止过载。</w:t>
      </w:r>
    </w:p>
    <w:p w14:paraId="1D316601">
      <w:r>
        <w:t>伺服参数优化是保证运动性能的关键，通过驱动器自整定功能获取机械系统模型（惯量比、共振频率），自动调整位置环增益（3000~5000Hz）、速度环增益（200~500Hz）和滤波器参数（低通滤波器500~800Hz），抑制机械共振，减少跟随误差（≤0.002mm）。</w:t>
      </w:r>
    </w:p>
    <w:p w14:paraId="2E8C7D45">
      <w:pPr>
        <w:pStyle w:val="4"/>
      </w:pPr>
      <w:r>
        <w:t>3. 喷涂参数智能调节系统</w:t>
      </w:r>
    </w:p>
    <w:p w14:paraId="3A5CE004">
      <w:r>
        <w:t>喷涂参数智能调节系统基于多传感器数据融合，实现涂料流量、雾化压力、喷涂距离等关键参数的自适应优化。传感器网络包括：激光位移传感器（基恩士LK-G5000，检测范围50~500mm，精度±3μm）实时测量喷枪与工件距离；粘度传感器（安东帕ViscoTester，测量范围1~10000cP，精度±1%）监测涂料粘度变化；温湿度传感器（Sensirion SHT31，温度±0.3℃，湿度±2%RH）记录环境条件。</w:t>
      </w:r>
    </w:p>
    <w:p w14:paraId="35F2E7DC">
      <w:r>
        <w:t>调节算法采用PID+模糊控制复合策略：当涂料粘度变化时（如从25s增至35s涂-4杯），模糊控制器根据粘度偏差和变化率，动态调整PID参数（比例系数Kp、积分时间Ti、微分时间Td），控制比例阀开度，使流量保持稳定（波动≤±3%）。系统还内置机器学习模型，通过分析历史喷涂数据（1000+批次），自动推荐最优参数组合（如粘度25s时，流量120cc/min，雾化压力0.4MPa），涂料利用率提升15%~20%。</w:t>
      </w:r>
    </w:p>
    <w:p w14:paraId="5691C7FE">
      <w:r>
        <w:t>参数调节响应时间≤0.5s，确保在工件形状突变（如从平面到拐角）时，喷涂参数实时跟随变化。调节效果通过在线监测系统验证，激光测厚仪（精度±2μm）实时测量涂层厚度，反馈至调节系统形成闭环控制，最终实现厚度偏差≤±5μm。</w:t>
      </w:r>
    </w:p>
    <w:p w14:paraId="5976D5CB">
      <w:pPr>
        <w:pStyle w:val="4"/>
      </w:pPr>
      <w:r>
        <w:t>4. 人机交互与远程监控功能</w:t>
      </w:r>
    </w:p>
    <w:p w14:paraId="1717A8BD">
      <w:r>
        <w:t>人机交互系统采用10.4英寸触摸屏（昆仑通态TPC1061H或同等），分辨率800×600，支持多点触控，界面采用模块化设计，主要包括：① 主控界面：显示设备运行状态（自动/手动）、关键参数（温度、压力、速度）和报警信息；② 参数设置界面：配置喷涂参数（流量、压力、速度）、运动参数（轨迹、行程）和工艺配方；③ 诊断界面：显示I/O信号状态、PLC程序状态和伺服驱动器报警代码；④ 数据报表界面：查询生产数据（产量、合格率）、能耗统计和故障记录。</w:t>
      </w:r>
    </w:p>
    <w:p w14:paraId="5E51A82E">
      <w:r>
        <w:t>远程监控功能通过工业以太网实现，PLC作为服务器（PROFINET IO Controller），支持OPC UA协议，可与MES系统、手机APP等客户端通信。关键数据（如喷涂时间、涂料消耗量、设备状态）每10s上传一次，实现生产过程透明化管理。远程调试功能允许工程师通过VPN访问设备，在线修改PLC程序、调整伺服参数和排除故障，减少现场维护工作量30%。</w:t>
      </w:r>
    </w:p>
    <w:p w14:paraId="39EE36B5">
      <w:r>
        <w:t>安全管理采用三级权限控制：操作员（可启动/停止设备、查看参数）、技术员（可修改参数、进行维护）、管理员（可修改权限、配置系统），防止误操作。操作日志自动记录所有关键操作（如参数修改、故障处理），保存时间≥1年，便于质量追溯和责任认定。</w:t>
      </w:r>
    </w:p>
    <w:p w14:paraId="7D9DC055">
      <w:pPr>
        <w:pStyle w:val="3"/>
      </w:pPr>
      <w:r>
        <w:t>四、常见故障现象及成因分析</w:t>
      </w:r>
    </w:p>
    <w:p w14:paraId="14820536">
      <w:pPr>
        <w:pStyle w:val="4"/>
      </w:pPr>
      <w:r>
        <w:t>1. 涂层质量缺陷及成因</w:t>
      </w:r>
    </w:p>
    <w:p w14:paraId="6D8F8365">
      <w:r>
        <w:t>涂层质量缺陷直接影响铁芯的绝缘性能和外观，常见缺陷及成因如下：</w:t>
      </w:r>
    </w:p>
    <w:p w14:paraId="2A796F5D">
      <w:r>
        <w:rPr>
          <w:b/>
        </w:rPr>
        <w:t>表面颗粒与杂质</w:t>
      </w:r>
      <w:r>
        <w:t>：涂层表面出现直径0.1~1mm的凸起颗粒，触感粗糙。主要成因包括：① 涂料过滤不彻底（滤网精度＞50μm），混入铁锈、漆皮等杂质；② 压缩空气净化不良（油水分离器失效），含水量＞0.5g/m³或含油量＞0.1mg/m³；③ 喷涂环境洁净度低（尘埃浓度＞5mg/m³），空气中的颗粒物落入湿膜；④ 工件表面预处理不当，存在铁屑、油污等污染物未清除。</w:t>
      </w:r>
    </w:p>
    <w:p w14:paraId="2E139F3A">
      <w:r>
        <w:rPr>
          <w:b/>
        </w:rPr>
        <w:t>桔皮现象</w:t>
      </w:r>
      <w:r>
        <w:t>：漆膜表面呈现类似桔子皮的波纹状纹理，波峰间距2~5mm。根本原因是漆雾雾化不良或流平不足：① 雾化压力过低（＜0.3MPa）或涂料粘度偏高（＞30s涂-4杯），漆滴颗粒粗大（＞80μm）；② 喷涂距离过远（＞300mm）或走枪速度过快（＞3m/min），漆膜厚度不足（＜20μm），流平时间短；③ 环境温度过低（＜15℃）或湿度太高（＞75%RH），溶剂挥发缓慢，漆膜无法充分流平；④ 稀释剂选用不当，挥发速度与环境条件不匹配（如夏季使用快干稀释剂）。</w:t>
      </w:r>
    </w:p>
    <w:p w14:paraId="194B355F">
      <w:r>
        <w:rPr>
          <w:b/>
        </w:rPr>
        <w:t>针孔与气泡</w:t>
      </w:r>
      <w:r>
        <w:t>：针孔为直径0.05~0.5mm的细小孔洞，气泡为直径1~5mm的圆形鼓包，高温固化后易破裂。主要成因：① 溶剂挥发速度过快，涂料中溶剂在漆膜表干前大量挥发，形成气体逸出通道（针孔）；② 涂层过厚（湿膜＞150μm），内层溶剂无法及时挥发，受热膨胀形成气泡；③ 压缩空气中水分超标（露点＞-40℃），与涂料中的固化剂反应生成CO₂气体；④ 底漆未完全干燥（表干时间＜30min），喷涂面漆后底漆溶剂继续挥发。</w:t>
      </w:r>
    </w:p>
    <w:p w14:paraId="62AA32E0">
      <w:r>
        <w:rPr>
          <w:b/>
        </w:rPr>
        <w:t>流挂与垂滴</w:t>
      </w:r>
      <w:r>
        <w:t>：垂直表面出现漆液下淌形成的泪痕状缺陷，长度5~50mm。主要因：① 单次喷涂厚度过大（湿膜＞120μm），超过涂料流平极限；② 喷枪距离过近（＜150mm）或走枪速度过慢（＜0.5m/min），局部漆膜堆积；③ 涂料粘度偏低（＜18s涂-4杯）或环境温度过高（＞35℃），漆膜流动性增加；④ 稀释剂比例过高（＞20%），降低涂料固含量和粘度。</w:t>
      </w:r>
    </w:p>
    <w:p w14:paraId="4CE85F66">
      <w:pPr>
        <w:pStyle w:val="4"/>
      </w:pPr>
      <w:r>
        <w:t>2. 机械运动异常及成因</w:t>
      </w:r>
    </w:p>
    <w:p w14:paraId="47919FC5">
      <w:r>
        <w:t>机械运动系统故障导致喷涂轨迹偏移、工件损伤，常见异常及成因如下：</w:t>
      </w:r>
    </w:p>
    <w:p w14:paraId="73B32FC6">
      <w:r>
        <w:rPr>
          <w:b/>
        </w:rPr>
        <w:t>输送链卡顿与异响</w:t>
      </w:r>
      <w:r>
        <w:t>：工件在输送过程中出现间歇性停顿（停顿时间＞0.5s），伴随链条与链轮啮合处“咔咔”声。主要成因：① 链条张紧度不足（下垂量＞20mm/m）或润滑不良（未定期加注链条油），导致链条与链轮啮合不良；② 轨道安装不平行（平行度误差＞0.2mm/m），滑台运行阻力不均；③ 驱动电机减速器齿轮磨损（齿侧间隙＞0.2mm）或轴承损坏（温升＞40K），输出扭矩波动；④ 工件重量超过输送系统额定载荷（＞500kg），导致轨道变形（挠度＞1mm/m）。</w:t>
      </w:r>
    </w:p>
    <w:p w14:paraId="6DF4EB24">
      <w:r>
        <w:rPr>
          <w:b/>
        </w:rPr>
        <w:t>喷枪定位偏差</w:t>
      </w:r>
      <w:r>
        <w:t>：喷枪实际运动轨迹与设定轨迹偏差＞±2mm，导致漏喷或过喷。主要成因：① 机械臂导轨磨损（直线度误差＞0.1mm/m）或滚珠丝杠间隙过大（＞0.02mm）；② 伺服电机编码器故障（丢码率＞0.5%）或电缆屏蔽不良（受电磁干扰）；③ 运动控制卡参数设置错误（如电子齿轮比设置不当），导致指令位置与实际位置不符；④ 喷枪夹具松动（安装扭矩＜15N·m），喷枪相对机械臂偏移。</w:t>
      </w:r>
    </w:p>
    <w:p w14:paraId="44201F70">
      <w:r>
        <w:rPr>
          <w:b/>
        </w:rPr>
        <w:t>旋转工作台失衡</w:t>
      </w:r>
      <w:r>
        <w:t>：工件旋转时径向跳动＞0.1mm，导致周向涂层厚度差＞10μm。主要成因：① 旋转轴轴承磨损（径向间隙＞0.015mm）或润滑脂干涸，旋转阻力矩波动；② 工件定位顶尖磨损（圆锥面接触面积＜70%）或不同轴（同轴度误差＞0.2mm/m）；③ 驱动皮带轮偏心（圆跳动＞0.1mm）或皮带张紧度不均（张力差＞10%），导致转速波动；④ 工件重心偏移（偏心距＞5mm），旋转时产生离心力（F=mrω²），加剧振动。</w:t>
      </w:r>
    </w:p>
    <w:p w14:paraId="785F9916">
      <w:pPr>
        <w:pStyle w:val="4"/>
      </w:pPr>
      <w:r>
        <w:t>3. 电气与控制系统故障及成因</w:t>
      </w:r>
    </w:p>
    <w:p w14:paraId="0701D5CD">
      <w:r>
        <w:t>电气控制系统故障导致设备停机或功能失效，常见故障及成因如下：</w:t>
      </w:r>
    </w:p>
    <w:p w14:paraId="7ADA7A65">
      <w:r>
        <w:rPr>
          <w:b/>
        </w:rPr>
        <w:t>伺服电机过载</w:t>
      </w:r>
      <w:r>
        <w:t>：伺服驱动器报“过载”故障（代码如“AL006”），电机温升＞75℃。主要成因：① 机械负载过大（如导轨卡滞、轴承损坏），电机输出扭矩超过额定值150%；② 伺服参数设置不当（如位置环增益过高），导致动态响应超调，电流峰值过大；③ 电机编码器信号异常（如断线、干扰），驱动器无法准确获取位置反馈，产生震荡；④ 电源电压不稳（波动＞±10%）或缺相，电机三相电流不平衡（不平衡度＞10%）。</w:t>
      </w:r>
    </w:p>
    <w:p w14:paraId="4E5F5C8E">
      <w:r>
        <w:rPr>
          <w:b/>
        </w:rPr>
        <w:t>PLC通信中断</w:t>
      </w:r>
      <w:r>
        <w:t>：PROFINET总线通信失败（诊断缓冲区显示“连接超时”）。主要成因：① 网线接头松动或水晶头制作不良（接触电阻＞100mΩ）；② 交换机故障（端口损坏或固件版本过低），数据帧丢失率＞1%；③ IP地址冲突（多台设备使用同一IP）或子网掩码设置错误；④ 电磁干扰（如附近有变频器、电焊机），通信电缆未采用屏蔽线或未接地（接地电阻＞4Ω）。</w:t>
      </w:r>
    </w:p>
    <w:p w14:paraId="5C9DE9D6">
      <w:r>
        <w:rPr>
          <w:b/>
        </w:rPr>
        <w:t>传感器误报</w:t>
      </w:r>
      <w:r>
        <w:t>：光电传感器、接近开关等无信号输出或误触发。主要成因：① 传感器镜头或感应面被漆雾、灰尘覆盖（透光率＜80%）；② 传感器安装位置偏移（检测距离超出额定范围±20%）；③ 电源电压异常（如DC24V电压降至＜20V）或信号线断线；④ 传感器自身故障（如发光管老化、接收电路损坏）。</w:t>
      </w:r>
    </w:p>
    <w:p w14:paraId="096BEA32">
      <w:pPr>
        <w:pStyle w:val="4"/>
      </w:pPr>
      <w:r>
        <w:t>4. 漆雾处理系统故障及成因</w:t>
      </w:r>
    </w:p>
    <w:p w14:paraId="32E541BD">
      <w:r>
        <w:t>漆雾处理系统故障导致环保排放超标、设备阻力增大，常见故障及成因如下：</w:t>
      </w:r>
    </w:p>
    <w:p w14:paraId="7CE09D2E">
      <w:r>
        <w:rPr>
          <w:b/>
        </w:rPr>
        <w:t>系统压力损失过大</w:t>
      </w:r>
      <w:r>
        <w:t>：引风机出口压力＜设计值（如＜2500Pa），风量下降＞20%。主要成因：① 过滤器堵塞（初效漆雾毡容尘量达800g/m²、中效滤筒阻力＞1000Pa）；② 风道漏风（法兰密封不良或管道破裂），漏风率＞10%；③ 引风机叶轮积漆（动平衡破坏）或电机皮带打滑（张紧力＜400N）；④ 活性炭吸附床填充过实（填充密度＞500kg/m³），气流阻力增大。</w:t>
      </w:r>
    </w:p>
    <w:p w14:paraId="1C7FE11B">
      <w:r>
        <w:rPr>
          <w:b/>
        </w:rPr>
        <w:t>VOCs排放超标</w:t>
      </w:r>
      <w:r>
        <w:t>：废气出口VOCs浓度＞60mg/m³（超出GB16297标准）。主要成因：① 活性炭吸附饱和（碘值＜600mg/g）或活性炭种类选择不当（未选用煤质柱状炭）；② 废气风量超过设计值（＞50000m³/h），空速过大（＞0.8m/s），吸附时间不足；③ 活性炭床层厚度不足（＜500mm）或存在气流短路（床层间隙＞5mm）；④ 喷涂车间新风比过高（＞50%），未经过处理的新风直接排放。</w:t>
      </w:r>
    </w:p>
    <w:p w14:paraId="0741649B">
      <w:r>
        <w:rPr>
          <w:b/>
        </w:rPr>
        <w:t>自动清灰失效</w:t>
      </w:r>
      <w:r>
        <w:t>：脉冲喷吹后滤筒阻力下降＜20%，清灰效果差。主要成因：① 压缩空气压力不足（＜0.5MPa）或气量不够（储气罐容积＜0.5m³），喷吹能量不足；② 脉冲电磁阀故障（如阀芯卡滞、膜片破裂），喷吹时间短（＜0.1s）或不动作；③ 喷吹管与滤筒对中不良（偏差＞10mm），气流未吹向滤筒中心；④ 滤筒老化（使用时间＞3000h），表面PTFE涂层破损，粉尘难以剥离。</w:t>
      </w:r>
    </w:p>
    <w:p w14:paraId="3B26F046">
      <w:pPr>
        <w:pStyle w:val="3"/>
      </w:pPr>
      <w:r>
        <w:t>五、故障诊断方法与处理对策</w:t>
      </w:r>
    </w:p>
    <w:p w14:paraId="1D871591">
      <w:pPr>
        <w:pStyle w:val="4"/>
      </w:pPr>
      <w:r>
        <w:t>1. 系统故障诊断流程</w:t>
      </w:r>
    </w:p>
    <w:p w14:paraId="073C2C94">
      <w:r>
        <w:t>故障诊断遵循“先现象后本质、先简单后复杂、先外部后内部”原则，标准化流程如下：</w:t>
      </w:r>
    </w:p>
    <w:p w14:paraId="1370039E">
      <w:r>
        <w:rPr>
          <w:b/>
        </w:rPr>
        <w:t>现象确认与数据采集</w:t>
      </w:r>
      <w:r>
        <w:t>：① 详细记录故障现象（如涂层桔皮、电机异响、报警代码），拍摄缺陷照片或录制视频；② 采集相关工艺参数（压力、流量、温度、速度）、设备状态数据（电流、电压、振动）和环境条件（温湿度、洁净度）；③ 查询设备运行日志，了解故障发生前的操作记录（如参数修改、换料、维护）。</w:t>
      </w:r>
    </w:p>
    <w:p w14:paraId="6F8C82BD">
      <w:r>
        <w:rPr>
          <w:b/>
        </w:rPr>
        <w:t>成因分析与定位</w:t>
      </w:r>
      <w:r>
        <w:t>：基于故障现象和数据，结合设备原理进行推理分析：① 涂层质量问题优先检查涂料、雾化、干燥等环节；② 机械故障重点排查传动部件（轴承、丝杠、链条）和驱动系统；③ 电气故障从电源、传感器、控制器逐步深入。可采用“排除法”（逐一排除可疑因素）或“替换法”（用正常部件替换可疑部件验证），缩小故障范围至具体部件。</w:t>
      </w:r>
    </w:p>
    <w:p w14:paraId="2CBD5ECA">
      <w:r>
        <w:rPr>
          <w:b/>
        </w:rPr>
        <w:t>验证与修复</w:t>
      </w:r>
      <w:r>
        <w:t>：制定修复方案并实施：① 机械故障：更换磨损部件（如轴承、密封圈）、调整间隙（如丝杠预紧、链条张紧）、重新校准（如导轨平行度、喷枪定位）；② 电气故障：修复断线、更换传感器、重新设置参数；③ 工艺故障：调整涂料粘度、优化喷涂参数、改善环境条件。修复后进行效果验证（如连续生产50件无故障），确认故障彻底解决。</w:t>
      </w:r>
    </w:p>
    <w:p w14:paraId="24DCD5F0">
      <w:r>
        <w:rPr>
          <w:b/>
        </w:rPr>
        <w:t>预防措施制定</w:t>
      </w:r>
      <w:r>
        <w:t>：分析故障根本原因，制定预防措施：① 维护保养：增加关键部件检查频率（如每周检查滤筒阻力）、缩短易损件更换周期（如每月更换喷嘴）；② 操作规范：修订SOP，明确参数设置范围、换料流程等；③ 培训教育：对操作员进行故障识别和应急处理培训。</w:t>
      </w:r>
    </w:p>
    <w:p w14:paraId="2EF35104">
      <w:pPr>
        <w:pStyle w:val="4"/>
      </w:pPr>
      <w:r>
        <w:t>2. 典型故障处理对策</w:t>
      </w:r>
    </w:p>
    <w:p w14:paraId="0CE25248">
      <w:r>
        <w:t>针对高频故障，提供标准化处理步骤：</w:t>
      </w:r>
    </w:p>
    <w:p w14:paraId="32BADD7C">
      <w:r>
        <w:rPr>
          <w:b/>
        </w:rPr>
        <w:t>涂层桔皮处理</w:t>
      </w:r>
      <w:r>
        <w:t>：</w:t>
      </w:r>
    </w:p>
    <w:p w14:paraId="678A3DAD">
      <w:pPr>
        <w:numPr>
          <w:ilvl w:val="0"/>
          <w:numId w:val="13"/>
        </w:numPr>
        <w:spacing w:before="0" w:beforeAutospacing="1" w:after="0" w:afterAutospacing="1"/>
        <w:ind w:left="720" w:hanging="360"/>
      </w:pPr>
      <w:r>
        <w:rPr>
          <w:b/>
        </w:rPr>
        <w:t>检查与确认</w:t>
      </w:r>
      <w:r>
        <w:t>：用桔皮仪测量桔皮度（＞20μm），检测涂料粘度（涂-4杯，25℃），若粘度＞30s或＜20s，需调整。</w:t>
      </w:r>
    </w:p>
    <w:p w14:paraId="4704D220">
      <w:pPr>
        <w:numPr>
          <w:ilvl w:val="0"/>
          <w:numId w:val="13"/>
        </w:numPr>
        <w:spacing w:before="0" w:beforeAutospacing="1" w:after="0" w:afterAutospacing="1"/>
        <w:ind w:left="720" w:hanging="360"/>
      </w:pPr>
      <w:r>
        <w:rPr>
          <w:b/>
        </w:rPr>
        <w:t>处理步骤</w:t>
      </w:r>
      <w:r>
        <w:t>：① 过滤涂料：用200目滤网重新过滤漆料，去除杂质；② 调整粘度：添加稀释剂（冬季慢干型，夏季快干型），将粘度控制在20~25s；③ 优化喷涂参数：雾化气压提高至0.45MPa，走枪速度降至1.5m/min，喷涂距离250mm；④ 改善干燥条件：烘干室温度提高5℃，延长流平时间5min。</w:t>
      </w:r>
    </w:p>
    <w:p w14:paraId="7728F32F">
      <w:pPr>
        <w:numPr>
          <w:ilvl w:val="0"/>
          <w:numId w:val="13"/>
        </w:numPr>
        <w:spacing w:before="0" w:beforeAutospacing="1" w:after="0" w:afterAutospacing="1"/>
        <w:ind w:left="720" w:hanging="360"/>
      </w:pPr>
      <w:r>
        <w:rPr>
          <w:b/>
        </w:rPr>
        <w:t>效果验证</w:t>
      </w:r>
      <w:r>
        <w:t>：喷涂样板测试，桔皮度≤20μm，附着力≥5MPa。</w:t>
      </w:r>
    </w:p>
    <w:p w14:paraId="347FE9B4">
      <w:r>
        <w:rPr>
          <w:b/>
        </w:rPr>
        <w:t>伺服电机过载处理</w:t>
      </w:r>
      <w:r>
        <w:t>：</w:t>
      </w:r>
    </w:p>
    <w:p w14:paraId="578F1198">
      <w:pPr>
        <w:numPr>
          <w:ilvl w:val="0"/>
          <w:numId w:val="14"/>
        </w:numPr>
        <w:spacing w:before="0" w:beforeAutospacing="1" w:after="0" w:afterAutospacing="1"/>
        <w:ind w:left="720" w:hanging="360"/>
      </w:pPr>
      <w:r>
        <w:rPr>
          <w:b/>
        </w:rPr>
        <w:t>检查与确认</w:t>
      </w:r>
      <w:r>
        <w:t>：读取驱动器报警代码（如“AL006”），测量电机三相电流（不平衡度＞10%），检查电机温升（＞75℃）。</w:t>
      </w:r>
    </w:p>
    <w:p w14:paraId="0696E88E">
      <w:pPr>
        <w:numPr>
          <w:ilvl w:val="0"/>
          <w:numId w:val="14"/>
        </w:numPr>
        <w:spacing w:before="0" w:beforeAutospacing="1" w:after="0" w:afterAutospacing="1"/>
        <w:ind w:left="720" w:hanging="360"/>
      </w:pPr>
      <w:r>
        <w:rPr>
          <w:b/>
        </w:rPr>
        <w:t>处理步骤</w:t>
      </w:r>
      <w:r>
        <w:t>：① 机械检查：手动盘动电机轴，若阻力过大，拆卸检查轴承（更换磨损轴承，型号如7005C）；② 电气检查：用万用表测量电机绕组绝缘电阻（＜1MΩ需烘干），检查编码器电缆屏蔽层接地（接地电阻≤1Ω）；③ 参数优化：通过伺服调试软件降低位置环增益（从5000Hz降至3000Hz），增加速度环积分时间（从0.1s增至0.2s）。</w:t>
      </w:r>
    </w:p>
    <w:p w14:paraId="7C96D6AA">
      <w:pPr>
        <w:numPr>
          <w:ilvl w:val="0"/>
          <w:numId w:val="14"/>
        </w:numPr>
        <w:spacing w:before="0" w:beforeAutospacing="1" w:after="0" w:afterAutospacing="1"/>
        <w:ind w:left="720" w:hanging="360"/>
      </w:pPr>
      <w:r>
        <w:rPr>
          <w:b/>
        </w:rPr>
        <w:t>效果验证</w:t>
      </w:r>
      <w:r>
        <w:t>：连续运行1小时，电机温升＜40K，无过载报警。</w:t>
      </w:r>
    </w:p>
    <w:p w14:paraId="35506AE6">
      <w:r>
        <w:rPr>
          <w:b/>
        </w:rPr>
        <w:t>VOCs排放超标处理</w:t>
      </w:r>
      <w:r>
        <w:t>：</w:t>
      </w:r>
    </w:p>
    <w:p w14:paraId="10EAF93D">
      <w:pPr>
        <w:numPr>
          <w:ilvl w:val="0"/>
          <w:numId w:val="15"/>
        </w:numPr>
        <w:spacing w:before="0" w:beforeAutospacing="1" w:after="0" w:afterAutospacing="1"/>
        <w:ind w:left="720" w:hanging="360"/>
      </w:pPr>
      <w:r>
        <w:rPr>
          <w:b/>
        </w:rPr>
        <w:t>检查与确认</w:t>
      </w:r>
      <w:r>
        <w:t>：用VOCs检测仪测量排放浓度（＞60mg/m³），检查活性炭吸附床阻力（＞1500Pa）和使用时间（＞3000h）。</w:t>
      </w:r>
    </w:p>
    <w:p w14:paraId="7C4D8B46">
      <w:pPr>
        <w:numPr>
          <w:ilvl w:val="0"/>
          <w:numId w:val="15"/>
        </w:numPr>
        <w:spacing w:before="0" w:beforeAutospacing="1" w:after="0" w:afterAutospacing="1"/>
        <w:ind w:left="720" w:hanging="360"/>
      </w:pPr>
      <w:r>
        <w:rPr>
          <w:b/>
        </w:rPr>
        <w:t>处理步骤</w:t>
      </w:r>
      <w:r>
        <w:t>：① 更换活性炭：选用碘值≥800mg/g的柱状活性炭，填充密度500kg/m³，确保床层厚度≥600mm；② 调整工艺：降低喷涂流量（从200cc/min降至150cc/min），减少VOCs产生量；③ 维护滤筒：清理或更换堵塞的中效滤筒（阻力＜800Pa）；④ 检测漏风：用烟雾发生器检查风道法兰，密封泄漏点。</w:t>
      </w:r>
    </w:p>
    <w:p w14:paraId="19D7133F">
      <w:pPr>
        <w:numPr>
          <w:ilvl w:val="0"/>
          <w:numId w:val="15"/>
        </w:numPr>
        <w:spacing w:before="0" w:beforeAutospacing="1" w:after="0" w:afterAutospacing="1"/>
        <w:ind w:left="720" w:hanging="360"/>
      </w:pPr>
      <w:r>
        <w:rPr>
          <w:b/>
        </w:rPr>
        <w:t>效果验证</w:t>
      </w:r>
      <w:r>
        <w:t>：连续监测3小时，排放浓度≤60mg/m³，系统阻力稳定在1000~1200Pa。</w:t>
      </w:r>
    </w:p>
    <w:p w14:paraId="14689BE3">
      <w:pPr>
        <w:pStyle w:val="4"/>
      </w:pPr>
      <w:r>
        <w:t>3. 预防维护规范</w:t>
      </w:r>
    </w:p>
    <w:p w14:paraId="2FA78115">
      <w:r>
        <w:t>建立全周期维护体系，确保设备长期稳定运行：</w:t>
      </w:r>
    </w:p>
    <w:p w14:paraId="6BBEE36E">
      <w:r>
        <w:rPr>
          <w:b/>
        </w:rPr>
        <w:t>日常维护（每班）</w:t>
      </w:r>
      <w:r>
        <w:t>：</w:t>
      </w:r>
    </w:p>
    <w:p w14:paraId="1C813724">
      <w:pPr>
        <w:numPr>
          <w:ilvl w:val="0"/>
          <w:numId w:val="16"/>
        </w:numPr>
        <w:spacing w:before="0" w:beforeAutospacing="1" w:after="0" w:afterAutospacing="1"/>
        <w:ind w:left="720" w:hanging="360"/>
      </w:pPr>
      <w:r>
        <w:t>班前检查：① 润滑系统：检查各润滑点油位（油标1/2~2/3），加注N32号机械油或锂基脂（NLGI 2级）；② 安全系统：测试急停按钮、可燃气体报警器（校准浓度25%LEL）、灭火装置压力；③ 喷涂系统：检查涂料粘度（涂-4杯测量，20~30s）、过滤器压差（＜0.1MPa）、喷枪喷嘴磨损（出口圆度误差≤0.05mm）。</w:t>
      </w:r>
    </w:p>
    <w:p w14:paraId="08DA45DE">
      <w:pPr>
        <w:numPr>
          <w:ilvl w:val="0"/>
          <w:numId w:val="16"/>
        </w:numPr>
        <w:spacing w:before="0" w:beforeAutospacing="1" w:after="0" w:afterAutospacing="1"/>
        <w:ind w:left="720" w:hanging="360"/>
      </w:pPr>
      <w:r>
        <w:t>班中巡检：每小时记录关键参数（压力、流量、温度），观察涂层质量（无桔皮、针孔），监听设备异响（无异常噪音）。</w:t>
      </w:r>
    </w:p>
    <w:p w14:paraId="0253FDD4">
      <w:pPr>
        <w:numPr>
          <w:ilvl w:val="0"/>
          <w:numId w:val="16"/>
        </w:numPr>
        <w:spacing w:before="0" w:beforeAutospacing="1" w:after="0" w:afterAutospacing="1"/>
        <w:ind w:left="720" w:hanging="360"/>
      </w:pPr>
      <w:r>
        <w:t>班后清理：清洗喷枪（用专用溶剂浸泡30min）、清理漆雾过滤器表面浮尘、排放压缩空气储罐冷凝水。</w:t>
      </w:r>
    </w:p>
    <w:p w14:paraId="6AAB345D">
      <w:r>
        <w:rPr>
          <w:b/>
        </w:rPr>
        <w:t>定期维护</w:t>
      </w:r>
      <w:r>
        <w:t>：</w:t>
      </w:r>
    </w:p>
    <w:p w14:paraId="79E92B72">
      <w:pPr>
        <w:numPr>
          <w:ilvl w:val="0"/>
          <w:numId w:val="17"/>
        </w:numPr>
        <w:spacing w:before="0" w:beforeAutospacing="1" w:after="0" w:afterAutospacing="1"/>
        <w:ind w:left="720" w:hanging="360"/>
      </w:pPr>
      <w:r>
        <w:t>每周：① 机械系统：检查输送链张紧度（下垂量10~15mm/m）、机械臂导轨润滑（涂抹润滑脂）；② 电气系统：清洁传感器镜头、紧固电缆接头；③ 工艺系统：更换涂料过滤器（100目/200目/300目）、校准激光测厚仪。</w:t>
      </w:r>
    </w:p>
    <w:p w14:paraId="7B74298F">
      <w:pPr>
        <w:numPr>
          <w:ilvl w:val="0"/>
          <w:numId w:val="17"/>
        </w:numPr>
        <w:spacing w:before="0" w:beforeAutospacing="1" w:after="0" w:afterAutospacing="1"/>
        <w:ind w:left="720" w:hanging="360"/>
      </w:pPr>
      <w:r>
        <w:t>每月：① 机械系统：测量导轨平行度（误差≤0.1mm/m）、调整丝杠预紧力（消除间隙）；② 电气系统：检查PLC程序备份、测试伺服驱动器备份电池电压（＞3V）；③ 环保系统：测量滤筒阻力（＞1000Pa时清理）、检查活性炭吸附床温度（＜40℃）。</w:t>
      </w:r>
    </w:p>
    <w:p w14:paraId="111A3B79">
      <w:pPr>
        <w:numPr>
          <w:ilvl w:val="0"/>
          <w:numId w:val="17"/>
        </w:numPr>
        <w:spacing w:before="0" w:beforeAutospacing="1" w:after="0" w:afterAutospacing="1"/>
        <w:ind w:left="720" w:hanging="360"/>
      </w:pPr>
      <w:r>
        <w:t>每年：① 机械系统：更换伺服电机轴承（寿命10000h）、重新研磨导轨（接触斑点16点/25×25mm²）；② 电气系统：校准PLC模拟量模块（精度±0.5%）、更换老化电缆（使用时间＞5年）；③ 整体校准：用激光干涉仪校准定位精度（≤±0.05mm）、验证喷涂厚度均匀性（≤±5μm）。</w:t>
      </w:r>
    </w:p>
    <w:p w14:paraId="2F97AFCD">
      <w:r>
        <w:rPr>
          <w:b/>
        </w:rPr>
        <w:t>专项维护（根据生产情况）</w:t>
      </w:r>
      <w:r>
        <w:t>：</w:t>
      </w:r>
    </w:p>
    <w:p w14:paraId="5D7A83E7">
      <w:pPr>
        <w:numPr>
          <w:ilvl w:val="0"/>
          <w:numId w:val="18"/>
        </w:numPr>
        <w:spacing w:before="0" w:beforeAutospacing="1" w:after="0" w:afterAutospacing="1"/>
        <w:ind w:left="720" w:hanging="360"/>
      </w:pPr>
      <w:r>
        <w:t>换色/换料时：彻底清洗供漆系统（储罐、管道、喷枪），避免涂料交叉污染；</w:t>
      </w:r>
    </w:p>
    <w:p w14:paraId="73FD8F51">
      <w:pPr>
        <w:numPr>
          <w:ilvl w:val="0"/>
          <w:numId w:val="18"/>
        </w:numPr>
        <w:spacing w:before="0" w:beforeAutospacing="1" w:after="0" w:afterAutospacing="1"/>
        <w:ind w:left="720" w:hanging="360"/>
      </w:pPr>
      <w:r>
        <w:t>长期停机（＞1周）前：排空涂料、注入保护液（如水性漆用去离子水，油性漆用溶剂）、关闭总电源；</w:t>
      </w:r>
    </w:p>
    <w:p w14:paraId="74EE0C58">
      <w:pPr>
        <w:numPr>
          <w:ilvl w:val="0"/>
          <w:numId w:val="18"/>
        </w:numPr>
        <w:spacing w:before="0" w:beforeAutospacing="1" w:after="0" w:afterAutospacing="1"/>
        <w:ind w:left="720" w:hanging="360"/>
      </w:pPr>
      <w:r>
        <w:t>季节性维护：夏季检查制冷系统（确保露点≤-40℃），冬季检查加热系统（确保涂料温度≥20℃）。</w:t>
      </w:r>
    </w:p>
    <w:p w14:paraId="0D6567EB">
      <w:pPr>
        <w:pStyle w:val="4"/>
      </w:pPr>
      <w:r>
        <w:t>4. 大型铁芯喷涂特殊维护要求</w:t>
      </w:r>
    </w:p>
    <w:p w14:paraId="4AA321D9">
      <w:r>
        <w:t>针对大型铁芯的特殊性，需强化以下维护：</w:t>
      </w:r>
    </w:p>
    <w:p w14:paraId="7A29A71E">
      <w:pPr>
        <w:numPr>
          <w:ilvl w:val="0"/>
          <w:numId w:val="19"/>
        </w:numPr>
        <w:spacing w:before="0" w:beforeAutospacing="1" w:after="0" w:afterAutospacing="1"/>
        <w:ind w:left="720" w:hanging="360"/>
      </w:pPr>
      <w:r>
        <w:rPr>
          <w:b/>
        </w:rPr>
        <w:t>工件支撑系统</w:t>
      </w:r>
      <w:r>
        <w:t>：每月检查顶尖磨损（圆锥面接触面积≥80%）、中心架支撑块硬度（HRC50~55），磨损超限时堆焊修复或更换；</w:t>
      </w:r>
    </w:p>
    <w:p w14:paraId="5B2DC1DE">
      <w:pPr>
        <w:numPr>
          <w:ilvl w:val="0"/>
          <w:numId w:val="19"/>
        </w:numPr>
        <w:spacing w:before="0" w:beforeAutospacing="1" w:after="0" w:afterAutospacing="1"/>
        <w:ind w:left="720" w:hanging="360"/>
      </w:pPr>
      <w:r>
        <w:rPr>
          <w:b/>
        </w:rPr>
        <w:t>绝缘性能保障</w:t>
      </w:r>
      <w:r>
        <w:t>：每次换班前用异丙醇清洁工件表面（去除油污），喷涂后检测绝缘电阻（≥1000MΩ）；</w:t>
      </w:r>
    </w:p>
    <w:p w14:paraId="68BAAD8C">
      <w:pPr>
        <w:numPr>
          <w:ilvl w:val="0"/>
          <w:numId w:val="19"/>
        </w:numPr>
        <w:spacing w:before="0" w:beforeAutospacing="1" w:after="0" w:afterAutospacing="1"/>
        <w:ind w:left="720" w:hanging="360"/>
      </w:pPr>
      <w:r>
        <w:rPr>
          <w:b/>
        </w:rPr>
        <w:t>防爆安全</w:t>
      </w:r>
      <w:r>
        <w:t>：每季度校准可燃气体检测仪（误差≤±5%LEL）、检查防爆电机接线盒密封（IP54），确保符合GB 3836.1标准；</w:t>
      </w:r>
    </w:p>
    <w:p w14:paraId="4E147598">
      <w:pPr>
        <w:numPr>
          <w:ilvl w:val="0"/>
          <w:numId w:val="19"/>
        </w:numPr>
        <w:spacing w:before="0" w:beforeAutospacing="1" w:after="0" w:afterAutospacing="1"/>
        <w:ind w:left="720" w:hanging="360"/>
      </w:pPr>
      <w:r>
        <w:rPr>
          <w:b/>
        </w:rPr>
        <w:t>数据追溯</w:t>
      </w:r>
      <w:r>
        <w:t>：保存每批次铁芯的喷涂参数、涂层检测报告，保存时间≥3年，满足ISO 9001质量体系要求。</w:t>
      </w:r>
    </w:p>
    <w:p w14:paraId="41D072C6">
      <w:pPr>
        <w:pStyle w:val="3"/>
      </w:pPr>
      <w:r>
        <w:t>六、附录</w:t>
      </w:r>
    </w:p>
    <w:p w14:paraId="681FF431">
      <w:pPr>
        <w:pStyle w:val="4"/>
      </w:pPr>
      <w:r>
        <w:t>1. 大型铁芯喷漆设备技术参数表</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EC8F5C3">
        <w:tblPrEx>
          <w:tblCellMar>
            <w:top w:w="0" w:type="dxa"/>
            <w:left w:w="0" w:type="dxa"/>
            <w:bottom w:w="0" w:type="dxa"/>
            <w:right w:w="0" w:type="dxa"/>
          </w:tblCellMar>
        </w:tblPrEx>
        <w:tc>
          <w:tcPr>
            <w:tcW w:w="0" w:type="auto"/>
            <w:vAlign w:val="center"/>
          </w:tcPr>
          <w:p w14:paraId="1CF64935">
            <w:pPr>
              <w:jc w:val="center"/>
              <w:rPr>
                <w:b/>
              </w:rPr>
            </w:pPr>
            <w:r>
              <w:rPr>
                <w:b/>
              </w:rPr>
              <w:t>参数项</w:t>
            </w:r>
          </w:p>
        </w:tc>
        <w:tc>
          <w:tcPr>
            <w:tcW w:w="0" w:type="auto"/>
            <w:vAlign w:val="center"/>
          </w:tcPr>
          <w:p w14:paraId="3326F91F">
            <w:pPr>
              <w:jc w:val="center"/>
              <w:rPr>
                <w:b/>
              </w:rPr>
            </w:pPr>
            <w:r>
              <w:rPr>
                <w:b/>
              </w:rPr>
              <w:t>干式静电喷涂机（标配）</w:t>
            </w:r>
          </w:p>
        </w:tc>
        <w:tc>
          <w:tcPr>
            <w:tcW w:w="0" w:type="auto"/>
            <w:vAlign w:val="center"/>
          </w:tcPr>
          <w:p w14:paraId="4680150A">
            <w:pPr>
              <w:jc w:val="center"/>
              <w:rPr>
                <w:b/>
              </w:rPr>
            </w:pPr>
            <w:r>
              <w:rPr>
                <w:b/>
              </w:rPr>
              <w:t>数控全自动喷涂线（高配）</w:t>
            </w:r>
          </w:p>
        </w:tc>
      </w:tr>
      <w:tr w14:paraId="26071CC0">
        <w:tblPrEx>
          <w:tblCellMar>
            <w:top w:w="0" w:type="dxa"/>
            <w:left w:w="0" w:type="dxa"/>
            <w:bottom w:w="0" w:type="dxa"/>
            <w:right w:w="0" w:type="dxa"/>
          </w:tblCellMar>
        </w:tblPrEx>
        <w:tc>
          <w:tcPr>
            <w:tcW w:w="0" w:type="auto"/>
            <w:vAlign w:val="center"/>
          </w:tcPr>
          <w:p w14:paraId="44E5154D">
            <w:r>
              <w:t>最大工件尺寸（长×宽×高）</w:t>
            </w:r>
          </w:p>
        </w:tc>
        <w:tc>
          <w:tcPr>
            <w:tcW w:w="0" w:type="auto"/>
            <w:vAlign w:val="center"/>
          </w:tcPr>
          <w:p w14:paraId="1D1CB9D2">
            <w:r>
              <w:t>6m×2m×1m</w:t>
            </w:r>
          </w:p>
        </w:tc>
        <w:tc>
          <w:tcPr>
            <w:tcW w:w="0" w:type="auto"/>
            <w:vAlign w:val="center"/>
          </w:tcPr>
          <w:p w14:paraId="48404954">
            <w:r>
              <w:t>10m×3m×1.5m</w:t>
            </w:r>
          </w:p>
        </w:tc>
      </w:tr>
      <w:tr w14:paraId="6EBA982D">
        <w:tblPrEx>
          <w:tblCellMar>
            <w:top w:w="0" w:type="dxa"/>
            <w:left w:w="0" w:type="dxa"/>
            <w:bottom w:w="0" w:type="dxa"/>
            <w:right w:w="0" w:type="dxa"/>
          </w:tblCellMar>
        </w:tblPrEx>
        <w:tc>
          <w:tcPr>
            <w:tcW w:w="0" w:type="auto"/>
            <w:vAlign w:val="center"/>
          </w:tcPr>
          <w:p w14:paraId="4D72DC4D">
            <w:r>
              <w:t>喷涂效率</w:t>
            </w:r>
          </w:p>
        </w:tc>
        <w:tc>
          <w:tcPr>
            <w:tcW w:w="0" w:type="auto"/>
            <w:vAlign w:val="center"/>
          </w:tcPr>
          <w:p w14:paraId="6D9C2A43">
            <w:r>
              <w:t>4~6m²/min</w:t>
            </w:r>
          </w:p>
        </w:tc>
        <w:tc>
          <w:tcPr>
            <w:tcW w:w="0" w:type="auto"/>
            <w:vAlign w:val="center"/>
          </w:tcPr>
          <w:p w14:paraId="46772C14">
            <w:r>
              <w:t>8~12m²/min</w:t>
            </w:r>
          </w:p>
        </w:tc>
      </w:tr>
      <w:tr w14:paraId="580C5F37">
        <w:tc>
          <w:tcPr>
            <w:tcW w:w="0" w:type="auto"/>
            <w:vAlign w:val="center"/>
          </w:tcPr>
          <w:p w14:paraId="1B79F243">
            <w:r>
              <w:t>涂料利用率</w:t>
            </w:r>
          </w:p>
        </w:tc>
        <w:tc>
          <w:tcPr>
            <w:tcW w:w="0" w:type="auto"/>
            <w:vAlign w:val="center"/>
          </w:tcPr>
          <w:p w14:paraId="09FCFA24">
            <w:r>
              <w:t>80%~90%</w:t>
            </w:r>
          </w:p>
        </w:tc>
        <w:tc>
          <w:tcPr>
            <w:tcW w:w="0" w:type="auto"/>
            <w:vAlign w:val="center"/>
          </w:tcPr>
          <w:p w14:paraId="76440E5D">
            <w:r>
              <w:t>90%~95%</w:t>
            </w:r>
          </w:p>
        </w:tc>
      </w:tr>
      <w:tr w14:paraId="389C273B">
        <w:tblPrEx>
          <w:tblCellMar>
            <w:top w:w="0" w:type="dxa"/>
            <w:left w:w="0" w:type="dxa"/>
            <w:bottom w:w="0" w:type="dxa"/>
            <w:right w:w="0" w:type="dxa"/>
          </w:tblCellMar>
        </w:tblPrEx>
        <w:tc>
          <w:tcPr>
            <w:tcW w:w="0" w:type="auto"/>
            <w:vAlign w:val="center"/>
          </w:tcPr>
          <w:p w14:paraId="3D7A807A">
            <w:r>
              <w:t>涂层厚度范围</w:t>
            </w:r>
          </w:p>
        </w:tc>
        <w:tc>
          <w:tcPr>
            <w:tcW w:w="0" w:type="auto"/>
            <w:vAlign w:val="center"/>
          </w:tcPr>
          <w:p w14:paraId="59011E35">
            <w:r>
              <w:t>30~150μm</w:t>
            </w:r>
          </w:p>
        </w:tc>
        <w:tc>
          <w:tcPr>
            <w:tcW w:w="0" w:type="auto"/>
            <w:vAlign w:val="center"/>
          </w:tcPr>
          <w:p w14:paraId="63B5FCF1">
            <w:r>
              <w:t>20~200μm</w:t>
            </w:r>
          </w:p>
        </w:tc>
      </w:tr>
      <w:tr w14:paraId="66CA0C0A">
        <w:tblPrEx>
          <w:tblCellMar>
            <w:top w:w="0" w:type="dxa"/>
            <w:left w:w="0" w:type="dxa"/>
            <w:bottom w:w="0" w:type="dxa"/>
            <w:right w:w="0" w:type="dxa"/>
          </w:tblCellMar>
        </w:tblPrEx>
        <w:tc>
          <w:tcPr>
            <w:tcW w:w="0" w:type="auto"/>
            <w:vAlign w:val="center"/>
          </w:tcPr>
          <w:p w14:paraId="1718ADB1">
            <w:r>
              <w:t>厚度均匀性</w:t>
            </w:r>
          </w:p>
        </w:tc>
        <w:tc>
          <w:tcPr>
            <w:tcW w:w="0" w:type="auto"/>
            <w:vAlign w:val="center"/>
          </w:tcPr>
          <w:p w14:paraId="6EBD2F10">
            <w:r>
              <w:t>±8μm</w:t>
            </w:r>
          </w:p>
        </w:tc>
        <w:tc>
          <w:tcPr>
            <w:tcW w:w="0" w:type="auto"/>
            <w:vAlign w:val="center"/>
          </w:tcPr>
          <w:p w14:paraId="52C7629A">
            <w:r>
              <w:t>±5μm</w:t>
            </w:r>
          </w:p>
        </w:tc>
      </w:tr>
      <w:tr w14:paraId="2D7E261F">
        <w:tblPrEx>
          <w:tblCellMar>
            <w:top w:w="0" w:type="dxa"/>
            <w:left w:w="0" w:type="dxa"/>
            <w:bottom w:w="0" w:type="dxa"/>
            <w:right w:w="0" w:type="dxa"/>
          </w:tblCellMar>
        </w:tblPrEx>
        <w:tc>
          <w:tcPr>
            <w:tcW w:w="0" w:type="auto"/>
            <w:vAlign w:val="center"/>
          </w:tcPr>
          <w:p w14:paraId="44C21483">
            <w:r>
              <w:t>喷枪数量</w:t>
            </w:r>
          </w:p>
        </w:tc>
        <w:tc>
          <w:tcPr>
            <w:tcW w:w="0" w:type="auto"/>
            <w:vAlign w:val="center"/>
          </w:tcPr>
          <w:p w14:paraId="47E435D0">
            <w:r>
              <w:t>2~4把</w:t>
            </w:r>
          </w:p>
        </w:tc>
        <w:tc>
          <w:tcPr>
            <w:tcW w:w="0" w:type="auto"/>
            <w:vAlign w:val="center"/>
          </w:tcPr>
          <w:p w14:paraId="5636BD00">
            <w:r>
              <w:t>6~8把（含内孔专用枪）</w:t>
            </w:r>
          </w:p>
        </w:tc>
      </w:tr>
      <w:tr w14:paraId="2299A76F">
        <w:tc>
          <w:tcPr>
            <w:tcW w:w="0" w:type="auto"/>
            <w:vAlign w:val="center"/>
          </w:tcPr>
          <w:p w14:paraId="5D4FC2DF">
            <w:r>
              <w:t>输送速度</w:t>
            </w:r>
          </w:p>
        </w:tc>
        <w:tc>
          <w:tcPr>
            <w:tcW w:w="0" w:type="auto"/>
            <w:vAlign w:val="center"/>
          </w:tcPr>
          <w:p w14:paraId="549AB9A7">
            <w:r>
              <w:t>0.5~2m/min</w:t>
            </w:r>
          </w:p>
        </w:tc>
        <w:tc>
          <w:tcPr>
            <w:tcW w:w="0" w:type="auto"/>
            <w:vAlign w:val="center"/>
          </w:tcPr>
          <w:p w14:paraId="33ECCCBD">
            <w:r>
              <w:t>0.5~3m/min</w:t>
            </w:r>
          </w:p>
        </w:tc>
      </w:tr>
      <w:tr w14:paraId="7697E9D4">
        <w:tblPrEx>
          <w:tblCellMar>
            <w:top w:w="0" w:type="dxa"/>
            <w:left w:w="0" w:type="dxa"/>
            <w:bottom w:w="0" w:type="dxa"/>
            <w:right w:w="0" w:type="dxa"/>
          </w:tblCellMar>
        </w:tblPrEx>
        <w:tc>
          <w:tcPr>
            <w:tcW w:w="0" w:type="auto"/>
            <w:vAlign w:val="center"/>
          </w:tcPr>
          <w:p w14:paraId="52310479">
            <w:r>
              <w:t>定位精度</w:t>
            </w:r>
          </w:p>
        </w:tc>
        <w:tc>
          <w:tcPr>
            <w:tcW w:w="0" w:type="auto"/>
            <w:vAlign w:val="center"/>
          </w:tcPr>
          <w:p w14:paraId="22A12D67">
            <w:r>
              <w:t>±0.1mm</w:t>
            </w:r>
          </w:p>
        </w:tc>
        <w:tc>
          <w:tcPr>
            <w:tcW w:w="0" w:type="auto"/>
            <w:vAlign w:val="center"/>
          </w:tcPr>
          <w:p w14:paraId="16E30860">
            <w:r>
              <w:t>±0.05mm</w:t>
            </w:r>
          </w:p>
        </w:tc>
      </w:tr>
      <w:tr w14:paraId="7A89E37E">
        <w:tblPrEx>
          <w:tblCellMar>
            <w:top w:w="0" w:type="dxa"/>
            <w:left w:w="0" w:type="dxa"/>
            <w:bottom w:w="0" w:type="dxa"/>
            <w:right w:w="0" w:type="dxa"/>
          </w:tblCellMar>
        </w:tblPrEx>
        <w:tc>
          <w:tcPr>
            <w:tcW w:w="0" w:type="auto"/>
            <w:vAlign w:val="center"/>
          </w:tcPr>
          <w:p w14:paraId="6AAD6553">
            <w:r>
              <w:t>漆雾处理风量</w:t>
            </w:r>
          </w:p>
        </w:tc>
        <w:tc>
          <w:tcPr>
            <w:tcW w:w="0" w:type="auto"/>
            <w:vAlign w:val="center"/>
          </w:tcPr>
          <w:p w14:paraId="261F33A9">
            <w:r>
              <w:t>10000~30000m³/h</w:t>
            </w:r>
          </w:p>
        </w:tc>
        <w:tc>
          <w:tcPr>
            <w:tcW w:w="0" w:type="auto"/>
            <w:vAlign w:val="center"/>
          </w:tcPr>
          <w:p w14:paraId="5599B161">
            <w:r>
              <w:t>30000~50000m³/h</w:t>
            </w:r>
          </w:p>
        </w:tc>
      </w:tr>
      <w:tr w14:paraId="3F3E64F3">
        <w:tblPrEx>
          <w:tblCellMar>
            <w:top w:w="0" w:type="dxa"/>
            <w:left w:w="0" w:type="dxa"/>
            <w:bottom w:w="0" w:type="dxa"/>
            <w:right w:w="0" w:type="dxa"/>
          </w:tblCellMar>
        </w:tblPrEx>
        <w:tc>
          <w:tcPr>
            <w:tcW w:w="0" w:type="auto"/>
            <w:vAlign w:val="center"/>
          </w:tcPr>
          <w:p w14:paraId="4BAC337F">
            <w:r>
              <w:t>VOCs排放浓度</w:t>
            </w:r>
          </w:p>
        </w:tc>
        <w:tc>
          <w:tcPr>
            <w:tcW w:w="0" w:type="auto"/>
            <w:vAlign w:val="center"/>
          </w:tcPr>
          <w:p w14:paraId="57589B08">
            <w:r>
              <w:t>≤60mg/m³</w:t>
            </w:r>
          </w:p>
        </w:tc>
        <w:tc>
          <w:tcPr>
            <w:tcW w:w="0" w:type="auto"/>
            <w:vAlign w:val="center"/>
          </w:tcPr>
          <w:p w14:paraId="079E2426">
            <w:r>
              <w:t>≤30mg/m³</w:t>
            </w:r>
          </w:p>
        </w:tc>
      </w:tr>
      <w:tr w14:paraId="70F77CE6">
        <w:tc>
          <w:tcPr>
            <w:tcW w:w="0" w:type="auto"/>
            <w:vAlign w:val="center"/>
          </w:tcPr>
          <w:p w14:paraId="3CE1240F">
            <w:r>
              <w:t>总功率</w:t>
            </w:r>
          </w:p>
        </w:tc>
        <w:tc>
          <w:tcPr>
            <w:tcW w:w="0" w:type="auto"/>
            <w:vAlign w:val="center"/>
          </w:tcPr>
          <w:p w14:paraId="50033D5A">
            <w:r>
              <w:t>30~50kW</w:t>
            </w:r>
          </w:p>
        </w:tc>
        <w:tc>
          <w:tcPr>
            <w:tcW w:w="0" w:type="auto"/>
            <w:vAlign w:val="center"/>
          </w:tcPr>
          <w:p w14:paraId="614C9F03">
            <w:r>
              <w:t>80~120kW</w:t>
            </w:r>
          </w:p>
        </w:tc>
      </w:tr>
    </w:tbl>
    <w:p w14:paraId="4DDA662F">
      <w:pPr>
        <w:pStyle w:val="4"/>
      </w:pPr>
      <w:r>
        <w:t>2. 常见故障代码及排查指引</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5DBD9428">
        <w:tblPrEx>
          <w:tblCellMar>
            <w:top w:w="0" w:type="dxa"/>
            <w:left w:w="0" w:type="dxa"/>
            <w:bottom w:w="0" w:type="dxa"/>
            <w:right w:w="0" w:type="dxa"/>
          </w:tblCellMar>
        </w:tblPrEx>
        <w:tc>
          <w:tcPr>
            <w:tcW w:w="0" w:type="auto"/>
            <w:vAlign w:val="center"/>
          </w:tcPr>
          <w:p w14:paraId="0B331E03">
            <w:pPr>
              <w:jc w:val="center"/>
              <w:rPr>
                <w:b/>
              </w:rPr>
            </w:pPr>
            <w:r>
              <w:rPr>
                <w:b/>
              </w:rPr>
              <w:t>故障代码</w:t>
            </w:r>
          </w:p>
        </w:tc>
        <w:tc>
          <w:tcPr>
            <w:tcW w:w="0" w:type="auto"/>
            <w:vAlign w:val="center"/>
          </w:tcPr>
          <w:p w14:paraId="5EB467C7">
            <w:pPr>
              <w:jc w:val="center"/>
              <w:rPr>
                <w:b/>
              </w:rPr>
            </w:pPr>
            <w:r>
              <w:rPr>
                <w:b/>
              </w:rPr>
              <w:t>故障描述</w:t>
            </w:r>
          </w:p>
        </w:tc>
        <w:tc>
          <w:tcPr>
            <w:tcW w:w="0" w:type="auto"/>
            <w:vAlign w:val="center"/>
          </w:tcPr>
          <w:p w14:paraId="31A88E5B">
            <w:pPr>
              <w:jc w:val="center"/>
              <w:rPr>
                <w:b/>
              </w:rPr>
            </w:pPr>
            <w:r>
              <w:rPr>
                <w:b/>
              </w:rPr>
              <w:t>可能原因</w:t>
            </w:r>
          </w:p>
        </w:tc>
        <w:tc>
          <w:tcPr>
            <w:tcW w:w="0" w:type="auto"/>
            <w:vAlign w:val="center"/>
          </w:tcPr>
          <w:p w14:paraId="40C53EBD">
            <w:pPr>
              <w:jc w:val="center"/>
              <w:rPr>
                <w:b/>
              </w:rPr>
            </w:pPr>
            <w:r>
              <w:rPr>
                <w:b/>
              </w:rPr>
              <w:t>排查步骤</w:t>
            </w:r>
          </w:p>
        </w:tc>
      </w:tr>
      <w:tr w14:paraId="547209ED">
        <w:tblPrEx>
          <w:tblCellMar>
            <w:top w:w="0" w:type="dxa"/>
            <w:left w:w="0" w:type="dxa"/>
            <w:bottom w:w="0" w:type="dxa"/>
            <w:right w:w="0" w:type="dxa"/>
          </w:tblCellMar>
        </w:tblPrEx>
        <w:tc>
          <w:tcPr>
            <w:tcW w:w="0" w:type="auto"/>
            <w:vAlign w:val="center"/>
          </w:tcPr>
          <w:p w14:paraId="13B3B48C">
            <w:r>
              <w:t>E01</w:t>
            </w:r>
          </w:p>
        </w:tc>
        <w:tc>
          <w:tcPr>
            <w:tcW w:w="0" w:type="auto"/>
            <w:vAlign w:val="center"/>
          </w:tcPr>
          <w:p w14:paraId="3542CEB9">
            <w:r>
              <w:t>气源压力低</w:t>
            </w:r>
          </w:p>
        </w:tc>
        <w:tc>
          <w:tcPr>
            <w:tcW w:w="0" w:type="auto"/>
            <w:vAlign w:val="center"/>
          </w:tcPr>
          <w:p w14:paraId="5EF589EA">
            <w:r>
              <w:t>空压机未启动、管路泄漏</w:t>
            </w:r>
          </w:p>
        </w:tc>
        <w:tc>
          <w:tcPr>
            <w:tcW w:w="0" w:type="auto"/>
            <w:vAlign w:val="center"/>
          </w:tcPr>
          <w:p w14:paraId="79475682">
            <w:r>
              <w:t>1. 检查空压机运行状态；2. 检测管路压力（应≥0.6MPa）；3. 查找泄漏点并密封</w:t>
            </w:r>
          </w:p>
        </w:tc>
      </w:tr>
      <w:tr w14:paraId="06CA105B">
        <w:tblPrEx>
          <w:tblCellMar>
            <w:top w:w="0" w:type="dxa"/>
            <w:left w:w="0" w:type="dxa"/>
            <w:bottom w:w="0" w:type="dxa"/>
            <w:right w:w="0" w:type="dxa"/>
          </w:tblCellMar>
        </w:tblPrEx>
        <w:tc>
          <w:tcPr>
            <w:tcW w:w="0" w:type="auto"/>
            <w:vAlign w:val="center"/>
          </w:tcPr>
          <w:p w14:paraId="6F52EB88">
            <w:r>
              <w:t>E02</w:t>
            </w:r>
          </w:p>
        </w:tc>
        <w:tc>
          <w:tcPr>
            <w:tcW w:w="0" w:type="auto"/>
            <w:vAlign w:val="center"/>
          </w:tcPr>
          <w:p w14:paraId="67FA3171">
            <w:r>
              <w:t>X轴伺服过载</w:t>
            </w:r>
          </w:p>
        </w:tc>
        <w:tc>
          <w:tcPr>
            <w:tcW w:w="0" w:type="auto"/>
            <w:vAlign w:val="center"/>
          </w:tcPr>
          <w:p w14:paraId="1B25AC3C">
            <w:r>
              <w:t>导轨卡滞、电机轴承损坏</w:t>
            </w:r>
          </w:p>
        </w:tc>
        <w:tc>
          <w:tcPr>
            <w:tcW w:w="0" w:type="auto"/>
            <w:vAlign w:val="center"/>
          </w:tcPr>
          <w:p w14:paraId="79F3C338">
            <w:r>
              <w:t>1. 手动移动X轴，阻力＞100N时清理导轨；2. 测量电机电流（应＜150%额定值）；3. 更换轴承</w:t>
            </w:r>
          </w:p>
        </w:tc>
      </w:tr>
      <w:tr w14:paraId="6BA39DFC">
        <w:tc>
          <w:tcPr>
            <w:tcW w:w="0" w:type="auto"/>
            <w:vAlign w:val="center"/>
          </w:tcPr>
          <w:p w14:paraId="662E96BC">
            <w:r>
              <w:t>E03</w:t>
            </w:r>
          </w:p>
        </w:tc>
        <w:tc>
          <w:tcPr>
            <w:tcW w:w="0" w:type="auto"/>
            <w:vAlign w:val="center"/>
          </w:tcPr>
          <w:p w14:paraId="43FBB192">
            <w:r>
              <w:t>涂料粘度异常</w:t>
            </w:r>
          </w:p>
        </w:tc>
        <w:tc>
          <w:tcPr>
            <w:tcW w:w="0" w:type="auto"/>
            <w:vAlign w:val="center"/>
          </w:tcPr>
          <w:p w14:paraId="3EBE36B5">
            <w:r>
              <w:t>温度波动、稀释剂比例错误</w:t>
            </w:r>
          </w:p>
        </w:tc>
        <w:tc>
          <w:tcPr>
            <w:tcW w:w="0" w:type="auto"/>
            <w:vAlign w:val="center"/>
          </w:tcPr>
          <w:p w14:paraId="0D81F82F">
            <w:r>
              <w:t>1. 测量涂料温度（应25±3℃）；2. 用涂-4杯检测粘度（应20~30s）；3. 调整稀释剂比例</w:t>
            </w:r>
          </w:p>
        </w:tc>
      </w:tr>
      <w:tr w14:paraId="43F09D8F">
        <w:tblPrEx>
          <w:tblCellMar>
            <w:top w:w="0" w:type="dxa"/>
            <w:left w:w="0" w:type="dxa"/>
            <w:bottom w:w="0" w:type="dxa"/>
            <w:right w:w="0" w:type="dxa"/>
          </w:tblCellMar>
        </w:tblPrEx>
        <w:tc>
          <w:tcPr>
            <w:tcW w:w="0" w:type="auto"/>
            <w:vAlign w:val="center"/>
          </w:tcPr>
          <w:p w14:paraId="36F05639">
            <w:r>
              <w:t>E04</w:t>
            </w:r>
          </w:p>
        </w:tc>
        <w:tc>
          <w:tcPr>
            <w:tcW w:w="0" w:type="auto"/>
            <w:vAlign w:val="center"/>
          </w:tcPr>
          <w:p w14:paraId="6AF30CC5">
            <w:r>
              <w:t>漆雾过滤器堵塞</w:t>
            </w:r>
          </w:p>
        </w:tc>
        <w:tc>
          <w:tcPr>
            <w:tcW w:w="0" w:type="auto"/>
            <w:vAlign w:val="center"/>
          </w:tcPr>
          <w:p w14:paraId="71600207">
            <w:r>
              <w:t>滤筒容尘量超标</w:t>
            </w:r>
          </w:p>
        </w:tc>
        <w:tc>
          <w:tcPr>
            <w:tcW w:w="0" w:type="auto"/>
            <w:vAlign w:val="center"/>
          </w:tcPr>
          <w:p w14:paraId="05AB8E46">
            <w:r>
              <w:t>1. 测量过滤器阻力（应＜1000Pa）；2. 清理或更换滤筒；3. 检查清灰系统</w:t>
            </w:r>
          </w:p>
        </w:tc>
      </w:tr>
      <w:tr w14:paraId="52A129E0">
        <w:tblPrEx>
          <w:tblCellMar>
            <w:top w:w="0" w:type="dxa"/>
            <w:left w:w="0" w:type="dxa"/>
            <w:bottom w:w="0" w:type="dxa"/>
            <w:right w:w="0" w:type="dxa"/>
          </w:tblCellMar>
        </w:tblPrEx>
        <w:tc>
          <w:tcPr>
            <w:tcW w:w="0" w:type="auto"/>
            <w:vAlign w:val="center"/>
          </w:tcPr>
          <w:p w14:paraId="44CB8944">
            <w:r>
              <w:t>E05</w:t>
            </w:r>
          </w:p>
        </w:tc>
        <w:tc>
          <w:tcPr>
            <w:tcW w:w="0" w:type="auto"/>
            <w:vAlign w:val="center"/>
          </w:tcPr>
          <w:p w14:paraId="7FB4D718">
            <w:r>
              <w:t>涂层厚度超差</w:t>
            </w:r>
          </w:p>
        </w:tc>
        <w:tc>
          <w:tcPr>
            <w:tcW w:w="0" w:type="auto"/>
            <w:vAlign w:val="center"/>
          </w:tcPr>
          <w:p w14:paraId="0DF68B36">
            <w:r>
              <w:t>喷枪定位偏差、流量不稳定</w:t>
            </w:r>
          </w:p>
        </w:tc>
        <w:tc>
          <w:tcPr>
            <w:tcW w:w="0" w:type="auto"/>
            <w:vAlign w:val="center"/>
          </w:tcPr>
          <w:p w14:paraId="1E0CB1D4">
            <w:r>
              <w:t>1. 校准喷枪位置（误差应≤±0.1mm）；2. 检查涂料流量（波动应≤±3%）；3. 调整喷涂参数</w:t>
            </w:r>
          </w:p>
        </w:tc>
      </w:tr>
    </w:tbl>
    <w:p w14:paraId="6DC1CD32">
      <w:pPr>
        <w:pStyle w:val="4"/>
      </w:pPr>
      <w:r>
        <w:t>3. 维护周期与保养记录表（示例）</w:t>
      </w:r>
    </w:p>
    <w:p w14:paraId="35AA547E">
      <w:r>
        <w:rPr>
          <w:b/>
        </w:rPr>
        <w:t>日常点检表</w:t>
      </w:r>
    </w:p>
    <w:p w14:paraId="74805F85">
      <w:r>
        <w:t>| 检查项目 | 标准值 | 实测值 | 状态（正常/异常） | 备注 |</w:t>
      </w:r>
    </w:p>
    <w:p w14:paraId="137C7165">
      <w:r>
        <w:t>|------------------|----------------------|--------|-------------------|------------|</w:t>
      </w:r>
    </w:p>
    <w:p w14:paraId="47240B48">
      <w:r>
        <w:t>| 气源压力 | 0.6~0.8MPa | | | 每班记录 |</w:t>
      </w:r>
    </w:p>
    <w:p w14:paraId="098A4A64">
      <w:r>
        <w:t>| 涂料粘度（涂-4杯） | 20~30s（25℃） | | | 每批次记录 |</w:t>
      </w:r>
    </w:p>
    <w:p w14:paraId="204C2F37">
      <w:r>
        <w:t>| 喷枪喷嘴磨损 | 出口圆度误差≤0.05mm | | | 每周测量 |</w:t>
      </w:r>
    </w:p>
    <w:p w14:paraId="621BE5A3">
      <w:r>
        <w:t>| 可燃气体浓度 | ≤25%LEL | | | 每小时记录 |</w:t>
      </w:r>
    </w:p>
    <w:p w14:paraId="113F654C">
      <w:r>
        <w:rPr>
          <w:b/>
        </w:rPr>
        <w:t>定期维护记录表</w:t>
      </w:r>
    </w:p>
    <w:p w14:paraId="0BE25328">
      <w:r>
        <w:t>| 维护项目 | 周期 | 维护内容 | 负责人 | 验证结果 |</w:t>
      </w:r>
    </w:p>
    <w:p w14:paraId="7443D27A">
      <w:r>
        <w:t>|------------------|--------|-----------------------------------|--------|----------|</w:t>
      </w:r>
    </w:p>
    <w:p w14:paraId="2806CCA4">
      <w:r>
        <w:t>| 更换过滤器 | 每周 | 100目/200目/300目滤网各1套 | 技术员 | |</w:t>
      </w:r>
    </w:p>
    <w:p w14:paraId="056A0CD4">
      <w:r>
        <w:t>| 校准伺服定位 | 每月 | 用激光干涉仪校准X/Y轴定位精度 | 工程师 | |</w:t>
      </w:r>
    </w:p>
    <w:p w14:paraId="3305A66C">
      <w:r>
        <w:t>| 更换活性炭 | 3个月 | 活性炭吸附床（碘值≥800mg/g） | 维修工 | |</w:t>
      </w:r>
    </w:p>
    <w:p w14:paraId="466858D9">
      <w:r>
        <w:t>| 整体精度校准 | 每年 | 定位精度、厚度均匀性、运行速度等 | 专业机构 | |</w:t>
      </w:r>
    </w:p>
    <w:p w14:paraId="1A405B50">
      <w:r>
        <w:t>（注：完整记录表含更多项目，实际应用中需根据设备型号细化）</w:t>
      </w:r>
    </w:p>
    <w:p w14:paraId="6FE12AD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BC5F4FC5"/>
    <w:multiLevelType w:val="singleLevel"/>
    <w:tmpl w:val="BC5F4FC5"/>
    <w:lvl w:ilvl="0" w:tentative="0">
      <w:start w:val="1"/>
      <w:numFmt w:val="decimal"/>
      <w:lvlText w:val="%1."/>
      <w:lvlJc w:val="left"/>
      <w:pPr>
        <w:ind w:left="720" w:hanging="360"/>
      </w:pPr>
      <w:rPr>
        <w:sz w:val="24"/>
      </w:rPr>
    </w:lvl>
  </w:abstractNum>
  <w:abstractNum w:abstractNumId="4">
    <w:nsid w:val="BFBBD5CA"/>
    <w:multiLevelType w:val="singleLevel"/>
    <w:tmpl w:val="BFBBD5CA"/>
    <w:lvl w:ilvl="0" w:tentative="0">
      <w:start w:val="1"/>
      <w:numFmt w:val="bullet"/>
      <w:lvlText w:val=""/>
      <w:lvlJc w:val="left"/>
      <w:pPr>
        <w:ind w:left="720" w:hanging="360"/>
      </w:pPr>
      <w:rPr>
        <w:rFonts w:hint="default" w:ascii="Symbol" w:hAnsi="Symbol" w:cs="Symbol"/>
        <w:sz w:val="20"/>
      </w:rPr>
    </w:lvl>
  </w:abstractNum>
  <w:abstractNum w:abstractNumId="5">
    <w:nsid w:val="CEFE4D65"/>
    <w:multiLevelType w:val="singleLevel"/>
    <w:tmpl w:val="CEFE4D65"/>
    <w:lvl w:ilvl="0" w:tentative="0">
      <w:start w:val="1"/>
      <w:numFmt w:val="decimal"/>
      <w:lvlText w:val="%1."/>
      <w:lvlJc w:val="left"/>
      <w:pPr>
        <w:ind w:left="720" w:hanging="360"/>
      </w:pPr>
      <w:rPr>
        <w:sz w:val="24"/>
      </w:rPr>
    </w:lvl>
  </w:abstractNum>
  <w:abstractNum w:abstractNumId="6">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7">
    <w:nsid w:val="F7EF8AE8"/>
    <w:multiLevelType w:val="singleLevel"/>
    <w:tmpl w:val="F7EF8AE8"/>
    <w:lvl w:ilvl="0" w:tentative="0">
      <w:start w:val="1"/>
      <w:numFmt w:val="bullet"/>
      <w:lvlText w:val=""/>
      <w:lvlJc w:val="left"/>
      <w:pPr>
        <w:ind w:left="720" w:hanging="360"/>
      </w:pPr>
      <w:rPr>
        <w:rFonts w:hint="default" w:ascii="Symbol" w:hAnsi="Symbol" w:cs="Symbol"/>
        <w:sz w:val="20"/>
      </w:rPr>
    </w:lvl>
  </w:abstractNum>
  <w:abstractNum w:abstractNumId="8">
    <w:nsid w:val="FBDE0832"/>
    <w:multiLevelType w:val="singleLevel"/>
    <w:tmpl w:val="FBDE0832"/>
    <w:lvl w:ilvl="0" w:tentative="0">
      <w:start w:val="1"/>
      <w:numFmt w:val="bullet"/>
      <w:lvlText w:val=""/>
      <w:lvlJc w:val="left"/>
      <w:pPr>
        <w:ind w:left="720" w:hanging="360"/>
      </w:pPr>
      <w:rPr>
        <w:rFonts w:hint="default" w:ascii="Symbol" w:hAnsi="Symbol" w:cs="Symbol"/>
        <w:sz w:val="20"/>
      </w:rPr>
    </w:lvl>
  </w:abstractNum>
  <w:abstractNum w:abstractNumId="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0">
    <w:nsid w:val="FF74A608"/>
    <w:multiLevelType w:val="singleLevel"/>
    <w:tmpl w:val="FF74A608"/>
    <w:lvl w:ilvl="0" w:tentative="0">
      <w:start w:val="1"/>
      <w:numFmt w:val="bullet"/>
      <w:lvlText w:val=""/>
      <w:lvlJc w:val="left"/>
      <w:pPr>
        <w:ind w:left="720" w:hanging="360"/>
      </w:pPr>
      <w:rPr>
        <w:rFonts w:hint="default" w:ascii="Symbol" w:hAnsi="Symbol" w:cs="Symbol"/>
        <w:sz w:val="20"/>
      </w:rPr>
    </w:lvl>
  </w:abstractNum>
  <w:abstractNum w:abstractNumId="1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6">
    <w:nsid w:val="3F1B43A5"/>
    <w:multiLevelType w:val="singleLevel"/>
    <w:tmpl w:val="3F1B43A5"/>
    <w:lvl w:ilvl="0" w:tentative="0">
      <w:start w:val="1"/>
      <w:numFmt w:val="decimal"/>
      <w:lvlText w:val="%1."/>
      <w:lvlJc w:val="left"/>
      <w:pPr>
        <w:ind w:left="720" w:hanging="360"/>
      </w:pPr>
      <w:rPr>
        <w:sz w:val="24"/>
      </w:rPr>
    </w:lvl>
  </w:abstractNum>
  <w:abstractNum w:abstractNumId="1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8">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5"/>
  </w:num>
  <w:num w:numId="2">
    <w:abstractNumId w:val="18"/>
  </w:num>
  <w:num w:numId="3">
    <w:abstractNumId w:val="1"/>
  </w:num>
  <w:num w:numId="4">
    <w:abstractNumId w:val="13"/>
  </w:num>
  <w:num w:numId="5">
    <w:abstractNumId w:val="9"/>
  </w:num>
  <w:num w:numId="6">
    <w:abstractNumId w:val="17"/>
  </w:num>
  <w:num w:numId="7">
    <w:abstractNumId w:val="6"/>
  </w:num>
  <w:num w:numId="8">
    <w:abstractNumId w:val="14"/>
  </w:num>
  <w:num w:numId="9">
    <w:abstractNumId w:val="11"/>
  </w:num>
  <w:num w:numId="10">
    <w:abstractNumId w:val="12"/>
  </w:num>
  <w:num w:numId="11">
    <w:abstractNumId w:val="2"/>
  </w:num>
  <w:num w:numId="12">
    <w:abstractNumId w:val="0"/>
  </w:num>
  <w:num w:numId="13">
    <w:abstractNumId w:val="16"/>
  </w:num>
  <w:num w:numId="14">
    <w:abstractNumId w:val="5"/>
  </w:num>
  <w:num w:numId="15">
    <w:abstractNumId w:val="3"/>
  </w:num>
  <w:num w:numId="16">
    <w:abstractNumId w:val="4"/>
  </w:num>
  <w:num w:numId="17">
    <w:abstractNumId w:val="10"/>
  </w:num>
  <w:num w:numId="18">
    <w:abstractNumId w:val="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EBF3718"/>
    <w:rsid w:val="6FE07705"/>
    <w:rsid w:val="6FFD907A"/>
    <w:rsid w:val="74A83031"/>
    <w:rsid w:val="76962A74"/>
    <w:rsid w:val="7B77B008"/>
    <w:rsid w:val="7FE922DF"/>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2025-10-02T10:01:17Z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2EF8688032B3901CEDDCDD688C39081A_43</vt:lpwstr>
  </property>
  <property fmtid="{D5CDD505-2E9C-101B-9397-08002B2CF9AE}" pid="4" name="KSOTemplateDocerSaveRecord">
    <vt:lpwstr>eyJoZGlkIjoiNzI4YmNmYThhZjA0NTVhODllNDhjMGZiNmFkMDJjN2YiLCJ1c2VySWQiOiIxNjA5OTI0MDI0In0=</vt:lpwstr>
  </property>
</Properties>
</file>