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D809C">
      <w:pPr>
        <w:pStyle w:val="2"/>
      </w:pPr>
    </w:p>
    <w:p w14:paraId="23870F63">
      <w:pPr>
        <w:pStyle w:val="2"/>
      </w:pPr>
      <w:r>
        <w:t>干变铁芯车间</w:t>
      </w:r>
      <w:bookmarkStart w:id="2" w:name="_GoBack"/>
      <w:r>
        <w:t>大型铁芯喷漆设备</w:t>
      </w:r>
      <w:bookmarkEnd w:id="2"/>
      <w:r>
        <w:t>技术手册</w:t>
      </w:r>
    </w:p>
    <w:p w14:paraId="36DE186D">
      <w:pPr>
        <w:pStyle w:val="3"/>
      </w:pPr>
      <w:r>
        <w:t>一、设备概述</w:t>
      </w:r>
    </w:p>
    <w:p w14:paraId="796AEA76">
      <w:pPr>
        <w:pStyle w:val="4"/>
      </w:pPr>
      <w:r>
        <w:t>1. 设备用途与应用场景</w:t>
      </w:r>
    </w:p>
    <w:p w14:paraId="676365E6">
      <w:r>
        <w:t>干变铁芯车间大型铁芯喷漆设备是干式变压器铁芯生产过程中的关键自动化涂装设备，主要用于对大型硅钢片叠制铁芯进行表面防腐涂层（如环氧富锌底漆、绝缘涂料）的自动化喷涂作业。该设备通过集成机械臂、喷枪、输送、控制及辅助系统，实现铁芯表面无死角、高精度、高效率的涂装，替代传统人工喷涂，显著提升涂层均匀性（厚度偏差控制在±5μm内）、涂料利用率（达85%以上）及生产效率（单台铁芯喷涂周期较人工缩短75%）。</w:t>
      </w:r>
    </w:p>
    <w:p w14:paraId="78CFECAF">
      <w:r>
        <w:t>设备适用于三相/单相干式变压器铁芯，覆盖铁芯重量1-5吨、长度1.2-6米、高度0.5-2米的规格范围，可兼容E型、口型等异形铁芯结构。在车间生产线上，设备通常集成于铁芯叠装工序之后、固化干燥工序之前，通过输送系统与前后工序衔接，形成连续化生产流程。其核心价值在于：通过自动化控制避免人工喷涂的涂层不均、漏喷等质量问题，同时降低操作人员接触VOCs的职业健康风险，满足《干式变压器铁芯涂装技术条件》中对涂层附着力（≥5MPa）、耐盐雾性（≥500小时）的工艺要求。</w:t>
      </w:r>
    </w:p>
    <w:p w14:paraId="3701A024">
      <w:pPr>
        <w:pStyle w:val="4"/>
      </w:pPr>
      <w:r>
        <w:t>2. 设备主要技术参数</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B003A45">
        <w:tblPrEx>
          <w:tblCellMar>
            <w:top w:w="0" w:type="dxa"/>
            <w:left w:w="0" w:type="dxa"/>
            <w:bottom w:w="0" w:type="dxa"/>
            <w:right w:w="0" w:type="dxa"/>
          </w:tblCellMar>
        </w:tblPrEx>
        <w:tc>
          <w:tcPr>
            <w:tcW w:w="0" w:type="auto"/>
            <w:vAlign w:val="center"/>
          </w:tcPr>
          <w:p w14:paraId="46AB0ECE">
            <w:pPr>
              <w:jc w:val="center"/>
              <w:rPr>
                <w:b/>
              </w:rPr>
            </w:pPr>
            <w:r>
              <w:rPr>
                <w:b/>
              </w:rPr>
              <w:t>系统类别</w:t>
            </w:r>
          </w:p>
        </w:tc>
        <w:tc>
          <w:tcPr>
            <w:tcW w:w="0" w:type="auto"/>
            <w:vAlign w:val="center"/>
          </w:tcPr>
          <w:p w14:paraId="06229172">
            <w:pPr>
              <w:jc w:val="center"/>
              <w:rPr>
                <w:b/>
              </w:rPr>
            </w:pPr>
            <w:r>
              <w:rPr>
                <w:b/>
              </w:rPr>
              <w:t>技术参数项</w:t>
            </w:r>
          </w:p>
        </w:tc>
        <w:tc>
          <w:tcPr>
            <w:tcW w:w="0" w:type="auto"/>
            <w:vAlign w:val="center"/>
          </w:tcPr>
          <w:p w14:paraId="09ADB7DB">
            <w:pPr>
              <w:jc w:val="center"/>
              <w:rPr>
                <w:b/>
              </w:rPr>
            </w:pPr>
            <w:r>
              <w:rPr>
                <w:b/>
              </w:rPr>
              <w:t>标准值/范围</w:t>
            </w:r>
          </w:p>
        </w:tc>
        <w:tc>
          <w:tcPr>
            <w:tcW w:w="0" w:type="auto"/>
            <w:vAlign w:val="center"/>
          </w:tcPr>
          <w:p w14:paraId="15E70CC7">
            <w:pPr>
              <w:jc w:val="center"/>
              <w:rPr>
                <w:b/>
              </w:rPr>
            </w:pPr>
            <w:r>
              <w:rPr>
                <w:b/>
              </w:rPr>
              <w:t>备注</w:t>
            </w:r>
          </w:p>
        </w:tc>
      </w:tr>
      <w:tr w14:paraId="33FBCE03">
        <w:tblPrEx>
          <w:tblCellMar>
            <w:top w:w="0" w:type="dxa"/>
            <w:left w:w="0" w:type="dxa"/>
            <w:bottom w:w="0" w:type="dxa"/>
            <w:right w:w="0" w:type="dxa"/>
          </w:tblCellMar>
        </w:tblPrEx>
        <w:tc>
          <w:tcPr>
            <w:tcW w:w="0" w:type="auto"/>
            <w:vAlign w:val="center"/>
          </w:tcPr>
          <w:p w14:paraId="773B2A83">
            <w:r>
              <w:rPr>
                <w:b/>
              </w:rPr>
              <w:t>机械臂系统</w:t>
            </w:r>
          </w:p>
        </w:tc>
        <w:tc>
          <w:tcPr>
            <w:tcW w:w="0" w:type="auto"/>
            <w:vAlign w:val="center"/>
          </w:tcPr>
          <w:p w14:paraId="5A0C75F9">
            <w:r>
              <w:t>自由度</w:t>
            </w:r>
          </w:p>
        </w:tc>
        <w:tc>
          <w:tcPr>
            <w:tcW w:w="0" w:type="auto"/>
            <w:vAlign w:val="center"/>
          </w:tcPr>
          <w:p w14:paraId="55866578">
            <w:r>
              <w:t>6轴</w:t>
            </w:r>
          </w:p>
        </w:tc>
        <w:tc>
          <w:tcPr>
            <w:tcW w:w="0" w:type="auto"/>
            <w:vAlign w:val="center"/>
          </w:tcPr>
          <w:p w14:paraId="55349357">
            <w:r>
              <w:t>五轴/六轴工业机器人</w:t>
            </w:r>
          </w:p>
        </w:tc>
      </w:tr>
      <w:tr w14:paraId="3C0C33EB">
        <w:tblPrEx>
          <w:tblCellMar>
            <w:top w:w="0" w:type="dxa"/>
            <w:left w:w="0" w:type="dxa"/>
            <w:bottom w:w="0" w:type="dxa"/>
            <w:right w:w="0" w:type="dxa"/>
          </w:tblCellMar>
        </w:tblPrEx>
        <w:tc>
          <w:tcPr>
            <w:tcW w:w="0" w:type="auto"/>
            <w:vAlign w:val="center"/>
          </w:tcPr>
          <w:p w14:paraId="1F538404"/>
        </w:tc>
        <w:tc>
          <w:tcPr>
            <w:tcW w:w="0" w:type="auto"/>
            <w:vAlign w:val="center"/>
          </w:tcPr>
          <w:p w14:paraId="57AF9964">
            <w:r>
              <w:t>工作半径</w:t>
            </w:r>
          </w:p>
        </w:tc>
        <w:tc>
          <w:tcPr>
            <w:tcW w:w="0" w:type="auto"/>
            <w:vAlign w:val="center"/>
          </w:tcPr>
          <w:p w14:paraId="08B8FED2">
            <w:r>
              <w:t>2.5-4.0m</w:t>
            </w:r>
          </w:p>
        </w:tc>
        <w:tc>
          <w:tcPr>
            <w:tcW w:w="0" w:type="auto"/>
            <w:vAlign w:val="center"/>
          </w:tcPr>
          <w:p w14:paraId="1810FE40">
            <w:r>
              <w:t>覆盖最大铁芯尺寸</w:t>
            </w:r>
          </w:p>
        </w:tc>
      </w:tr>
      <w:tr w14:paraId="2614A549">
        <w:tc>
          <w:tcPr>
            <w:tcW w:w="0" w:type="auto"/>
            <w:vAlign w:val="center"/>
          </w:tcPr>
          <w:p w14:paraId="5E906CB8"/>
        </w:tc>
        <w:tc>
          <w:tcPr>
            <w:tcW w:w="0" w:type="auto"/>
            <w:vAlign w:val="center"/>
          </w:tcPr>
          <w:p w14:paraId="09FFA762">
            <w:r>
              <w:t>负载能力</w:t>
            </w:r>
          </w:p>
        </w:tc>
        <w:tc>
          <w:tcPr>
            <w:tcW w:w="0" w:type="auto"/>
            <w:vAlign w:val="center"/>
          </w:tcPr>
          <w:p w14:paraId="759A81AE">
            <w:r>
              <w:t>5-20kg</w:t>
            </w:r>
          </w:p>
        </w:tc>
        <w:tc>
          <w:tcPr>
            <w:tcW w:w="0" w:type="auto"/>
            <w:vAlign w:val="center"/>
          </w:tcPr>
          <w:p w14:paraId="67FBCFD9">
            <w:r>
              <w:t>含喷枪及管路重量</w:t>
            </w:r>
          </w:p>
        </w:tc>
      </w:tr>
      <w:tr w14:paraId="7FD36D92">
        <w:tblPrEx>
          <w:tblCellMar>
            <w:top w:w="0" w:type="dxa"/>
            <w:left w:w="0" w:type="dxa"/>
            <w:bottom w:w="0" w:type="dxa"/>
            <w:right w:w="0" w:type="dxa"/>
          </w:tblCellMar>
        </w:tblPrEx>
        <w:tc>
          <w:tcPr>
            <w:tcW w:w="0" w:type="auto"/>
            <w:vAlign w:val="center"/>
          </w:tcPr>
          <w:p w14:paraId="4A914D09"/>
        </w:tc>
        <w:tc>
          <w:tcPr>
            <w:tcW w:w="0" w:type="auto"/>
            <w:vAlign w:val="center"/>
          </w:tcPr>
          <w:p w14:paraId="73C97CAE">
            <w:r>
              <w:t>重复定位精度</w:t>
            </w:r>
          </w:p>
        </w:tc>
        <w:tc>
          <w:tcPr>
            <w:tcW w:w="0" w:type="auto"/>
            <w:vAlign w:val="center"/>
          </w:tcPr>
          <w:p w14:paraId="25D9CBA1">
            <w:r>
              <w:t>±0.1mm</w:t>
            </w:r>
          </w:p>
        </w:tc>
        <w:tc>
          <w:tcPr>
            <w:tcW w:w="0" w:type="auto"/>
            <w:vAlign w:val="center"/>
          </w:tcPr>
          <w:p w14:paraId="29A19DDD">
            <w:r>
              <w:t>伺服驱动+编码器闭环控制</w:t>
            </w:r>
          </w:p>
        </w:tc>
      </w:tr>
      <w:tr w14:paraId="15352505">
        <w:tblPrEx>
          <w:tblCellMar>
            <w:top w:w="0" w:type="dxa"/>
            <w:left w:w="0" w:type="dxa"/>
            <w:bottom w:w="0" w:type="dxa"/>
            <w:right w:w="0" w:type="dxa"/>
          </w:tblCellMar>
        </w:tblPrEx>
        <w:tc>
          <w:tcPr>
            <w:tcW w:w="0" w:type="auto"/>
            <w:vAlign w:val="center"/>
          </w:tcPr>
          <w:p w14:paraId="718B4AAD">
            <w:r>
              <w:rPr>
                <w:b/>
              </w:rPr>
              <w:t>喷枪系统</w:t>
            </w:r>
          </w:p>
        </w:tc>
        <w:tc>
          <w:tcPr>
            <w:tcW w:w="0" w:type="auto"/>
            <w:vAlign w:val="center"/>
          </w:tcPr>
          <w:p w14:paraId="537D2CC7">
            <w:r>
              <w:t>喷嘴口径</w:t>
            </w:r>
          </w:p>
        </w:tc>
        <w:tc>
          <w:tcPr>
            <w:tcW w:w="0" w:type="auto"/>
            <w:vAlign w:val="center"/>
          </w:tcPr>
          <w:p w14:paraId="5D859990">
            <w:r>
              <w:t>1.2-2.0mm</w:t>
            </w:r>
          </w:p>
        </w:tc>
        <w:tc>
          <w:tcPr>
            <w:tcW w:w="0" w:type="auto"/>
            <w:vAlign w:val="center"/>
          </w:tcPr>
          <w:p w14:paraId="28CBC8A3">
            <w:r>
              <w:t>根据涂料粘度选择</w:t>
            </w:r>
          </w:p>
        </w:tc>
      </w:tr>
      <w:tr w14:paraId="610810DF">
        <w:tblPrEx>
          <w:tblCellMar>
            <w:top w:w="0" w:type="dxa"/>
            <w:left w:w="0" w:type="dxa"/>
            <w:bottom w:w="0" w:type="dxa"/>
            <w:right w:w="0" w:type="dxa"/>
          </w:tblCellMar>
        </w:tblPrEx>
        <w:tc>
          <w:tcPr>
            <w:tcW w:w="0" w:type="auto"/>
            <w:vAlign w:val="center"/>
          </w:tcPr>
          <w:p w14:paraId="0E551370"/>
        </w:tc>
        <w:tc>
          <w:tcPr>
            <w:tcW w:w="0" w:type="auto"/>
            <w:vAlign w:val="center"/>
          </w:tcPr>
          <w:p w14:paraId="43D6A53C">
            <w:r>
              <w:t>雾化压力</w:t>
            </w:r>
          </w:p>
        </w:tc>
        <w:tc>
          <w:tcPr>
            <w:tcW w:w="0" w:type="auto"/>
            <w:vAlign w:val="center"/>
          </w:tcPr>
          <w:p w14:paraId="3F6B21F3">
            <w:r>
              <w:t>0.2-0.5MPa</w:t>
            </w:r>
          </w:p>
        </w:tc>
        <w:tc>
          <w:tcPr>
            <w:tcW w:w="0" w:type="auto"/>
            <w:vAlign w:val="center"/>
          </w:tcPr>
          <w:p w14:paraId="4A54351D">
            <w:r>
              <w:t>与涂料粘度匹配（150-200cP）</w:t>
            </w:r>
          </w:p>
        </w:tc>
      </w:tr>
      <w:tr w14:paraId="611DA9FA">
        <w:tc>
          <w:tcPr>
            <w:tcW w:w="0" w:type="auto"/>
            <w:vAlign w:val="center"/>
          </w:tcPr>
          <w:p w14:paraId="7FA67320"/>
        </w:tc>
        <w:tc>
          <w:tcPr>
            <w:tcW w:w="0" w:type="auto"/>
            <w:vAlign w:val="center"/>
          </w:tcPr>
          <w:p w14:paraId="1BE7BCB4">
            <w:r>
              <w:t>静电电压</w:t>
            </w:r>
          </w:p>
        </w:tc>
        <w:tc>
          <w:tcPr>
            <w:tcW w:w="0" w:type="auto"/>
            <w:vAlign w:val="center"/>
          </w:tcPr>
          <w:p w14:paraId="3D87ABA4">
            <w:r>
              <w:t>50-100kV</w:t>
            </w:r>
          </w:p>
        </w:tc>
        <w:tc>
          <w:tcPr>
            <w:tcW w:w="0" w:type="auto"/>
            <w:vAlign w:val="center"/>
          </w:tcPr>
          <w:p w14:paraId="3F3606C3">
            <w:r>
              <w:t>静电发生器输出</w:t>
            </w:r>
          </w:p>
        </w:tc>
      </w:tr>
      <w:tr w14:paraId="51B70F9D">
        <w:tblPrEx>
          <w:tblCellMar>
            <w:top w:w="0" w:type="dxa"/>
            <w:left w:w="0" w:type="dxa"/>
            <w:bottom w:w="0" w:type="dxa"/>
            <w:right w:w="0" w:type="dxa"/>
          </w:tblCellMar>
        </w:tblPrEx>
        <w:tc>
          <w:tcPr>
            <w:tcW w:w="0" w:type="auto"/>
            <w:vAlign w:val="center"/>
          </w:tcPr>
          <w:p w14:paraId="344005FC"/>
        </w:tc>
        <w:tc>
          <w:tcPr>
            <w:tcW w:w="0" w:type="auto"/>
            <w:vAlign w:val="center"/>
          </w:tcPr>
          <w:p w14:paraId="4740F631">
            <w:r>
              <w:t>涂料利用率</w:t>
            </w:r>
          </w:p>
        </w:tc>
        <w:tc>
          <w:tcPr>
            <w:tcW w:w="0" w:type="auto"/>
            <w:vAlign w:val="center"/>
          </w:tcPr>
          <w:p w14:paraId="7D5FCE22">
            <w:r>
              <w:t>≥85%</w:t>
            </w:r>
          </w:p>
        </w:tc>
        <w:tc>
          <w:tcPr>
            <w:tcW w:w="0" w:type="auto"/>
            <w:vAlign w:val="center"/>
          </w:tcPr>
          <w:p w14:paraId="756855F5">
            <w:r>
              <w:t>较传统空气喷枪提升30%</w:t>
            </w:r>
          </w:p>
        </w:tc>
      </w:tr>
      <w:tr w14:paraId="0CA49F1E">
        <w:tblPrEx>
          <w:tblCellMar>
            <w:top w:w="0" w:type="dxa"/>
            <w:left w:w="0" w:type="dxa"/>
            <w:bottom w:w="0" w:type="dxa"/>
            <w:right w:w="0" w:type="dxa"/>
          </w:tblCellMar>
        </w:tblPrEx>
        <w:tc>
          <w:tcPr>
            <w:tcW w:w="0" w:type="auto"/>
            <w:vAlign w:val="center"/>
          </w:tcPr>
          <w:p w14:paraId="5BA1B1DB"/>
        </w:tc>
        <w:tc>
          <w:tcPr>
            <w:tcW w:w="0" w:type="auto"/>
            <w:vAlign w:val="center"/>
          </w:tcPr>
          <w:p w14:paraId="1ED85280">
            <w:r>
              <w:t>双组分配比调节范围</w:t>
            </w:r>
          </w:p>
        </w:tc>
        <w:tc>
          <w:tcPr>
            <w:tcW w:w="0" w:type="auto"/>
            <w:vAlign w:val="center"/>
          </w:tcPr>
          <w:p w14:paraId="3E0BE9E4">
            <w:r>
              <w:t>1:1-5:1</w:t>
            </w:r>
          </w:p>
        </w:tc>
        <w:tc>
          <w:tcPr>
            <w:tcW w:w="0" w:type="auto"/>
            <w:vAlign w:val="center"/>
          </w:tcPr>
          <w:p w14:paraId="66ADA546">
            <w:r>
              <w:t>动态混合阀实时配比</w:t>
            </w:r>
          </w:p>
        </w:tc>
      </w:tr>
      <w:tr w14:paraId="2795BDE7">
        <w:tblPrEx>
          <w:tblCellMar>
            <w:top w:w="0" w:type="dxa"/>
            <w:left w:w="0" w:type="dxa"/>
            <w:bottom w:w="0" w:type="dxa"/>
            <w:right w:w="0" w:type="dxa"/>
          </w:tblCellMar>
        </w:tblPrEx>
        <w:tc>
          <w:tcPr>
            <w:tcW w:w="0" w:type="auto"/>
            <w:vAlign w:val="center"/>
          </w:tcPr>
          <w:p w14:paraId="2A30FD48">
            <w:r>
              <w:rPr>
                <w:b/>
              </w:rPr>
              <w:t>输送系统</w:t>
            </w:r>
          </w:p>
        </w:tc>
        <w:tc>
          <w:tcPr>
            <w:tcW w:w="0" w:type="auto"/>
            <w:vAlign w:val="center"/>
          </w:tcPr>
          <w:p w14:paraId="0CB75851">
            <w:r>
              <w:t>输送速度</w:t>
            </w:r>
          </w:p>
        </w:tc>
        <w:tc>
          <w:tcPr>
            <w:tcW w:w="0" w:type="auto"/>
            <w:vAlign w:val="center"/>
          </w:tcPr>
          <w:p w14:paraId="49DA4BBD">
            <w:r>
              <w:t>0.5-3m/min</w:t>
            </w:r>
          </w:p>
        </w:tc>
        <w:tc>
          <w:tcPr>
            <w:tcW w:w="0" w:type="auto"/>
            <w:vAlign w:val="center"/>
          </w:tcPr>
          <w:p w14:paraId="077715FA">
            <w:r>
              <w:t>无级可调</w:t>
            </w:r>
          </w:p>
        </w:tc>
      </w:tr>
      <w:tr w14:paraId="45040B82">
        <w:tc>
          <w:tcPr>
            <w:tcW w:w="0" w:type="auto"/>
            <w:vAlign w:val="center"/>
          </w:tcPr>
          <w:p w14:paraId="60C06724"/>
        </w:tc>
        <w:tc>
          <w:tcPr>
            <w:tcW w:w="0" w:type="auto"/>
            <w:vAlign w:val="center"/>
          </w:tcPr>
          <w:p w14:paraId="74D032E7">
            <w:r>
              <w:t>最大承重能力</w:t>
            </w:r>
          </w:p>
        </w:tc>
        <w:tc>
          <w:tcPr>
            <w:tcW w:w="0" w:type="auto"/>
            <w:vAlign w:val="center"/>
          </w:tcPr>
          <w:p w14:paraId="040F6189">
            <w:r>
              <w:t>5吨</w:t>
            </w:r>
          </w:p>
        </w:tc>
        <w:tc>
          <w:tcPr>
            <w:tcW w:w="0" w:type="auto"/>
            <w:vAlign w:val="center"/>
          </w:tcPr>
          <w:p w14:paraId="73BA31F1">
            <w:r>
              <w:t>悬挂链/辊道式结构</w:t>
            </w:r>
          </w:p>
        </w:tc>
      </w:tr>
      <w:tr w14:paraId="2373F2F5">
        <w:tblPrEx>
          <w:tblCellMar>
            <w:top w:w="0" w:type="dxa"/>
            <w:left w:w="0" w:type="dxa"/>
            <w:bottom w:w="0" w:type="dxa"/>
            <w:right w:w="0" w:type="dxa"/>
          </w:tblCellMar>
        </w:tblPrEx>
        <w:tc>
          <w:tcPr>
            <w:tcW w:w="0" w:type="auto"/>
            <w:vAlign w:val="center"/>
          </w:tcPr>
          <w:p w14:paraId="516CA12C"/>
        </w:tc>
        <w:tc>
          <w:tcPr>
            <w:tcW w:w="0" w:type="auto"/>
            <w:vAlign w:val="center"/>
          </w:tcPr>
          <w:p w14:paraId="05FC9232">
            <w:r>
              <w:t>定位停靠精度</w:t>
            </w:r>
          </w:p>
        </w:tc>
        <w:tc>
          <w:tcPr>
            <w:tcW w:w="0" w:type="auto"/>
            <w:vAlign w:val="center"/>
          </w:tcPr>
          <w:p w14:paraId="1253CAF7">
            <w:r>
              <w:t>±2mm</w:t>
            </w:r>
          </w:p>
        </w:tc>
        <w:tc>
          <w:tcPr>
            <w:tcW w:w="0" w:type="auto"/>
            <w:vAlign w:val="center"/>
          </w:tcPr>
          <w:p w14:paraId="1F3C0ED3">
            <w:r>
              <w:t>光电传感器+编码器反馈</w:t>
            </w:r>
          </w:p>
        </w:tc>
      </w:tr>
      <w:tr w14:paraId="0988AE69">
        <w:tblPrEx>
          <w:tblCellMar>
            <w:top w:w="0" w:type="dxa"/>
            <w:left w:w="0" w:type="dxa"/>
            <w:bottom w:w="0" w:type="dxa"/>
            <w:right w:w="0" w:type="dxa"/>
          </w:tblCellMar>
        </w:tblPrEx>
        <w:tc>
          <w:tcPr>
            <w:tcW w:w="0" w:type="auto"/>
            <w:vAlign w:val="center"/>
          </w:tcPr>
          <w:p w14:paraId="500B22AF">
            <w:r>
              <w:rPr>
                <w:b/>
              </w:rPr>
              <w:t>控制系统</w:t>
            </w:r>
          </w:p>
        </w:tc>
        <w:tc>
          <w:tcPr>
            <w:tcW w:w="0" w:type="auto"/>
            <w:vAlign w:val="center"/>
          </w:tcPr>
          <w:p w14:paraId="51CB14E5">
            <w:r>
              <w:t>PLC型号</w:t>
            </w:r>
          </w:p>
        </w:tc>
        <w:tc>
          <w:tcPr>
            <w:tcW w:w="0" w:type="auto"/>
            <w:vAlign w:val="center"/>
          </w:tcPr>
          <w:p w14:paraId="39EE555C">
            <w:r>
              <w:t>西门子S7-1500</w:t>
            </w:r>
          </w:p>
        </w:tc>
        <w:tc>
          <w:tcPr>
            <w:tcW w:w="0" w:type="auto"/>
            <w:vAlign w:val="center"/>
          </w:tcPr>
          <w:p w14:paraId="33B79A9C">
            <w:r>
              <w:t>模块化扩展</w:t>
            </w:r>
          </w:p>
        </w:tc>
      </w:tr>
      <w:tr w14:paraId="67EC8E78">
        <w:tblPrEx>
          <w:tblCellMar>
            <w:top w:w="0" w:type="dxa"/>
            <w:left w:w="0" w:type="dxa"/>
            <w:bottom w:w="0" w:type="dxa"/>
            <w:right w:w="0" w:type="dxa"/>
          </w:tblCellMar>
        </w:tblPrEx>
        <w:tc>
          <w:tcPr>
            <w:tcW w:w="0" w:type="auto"/>
            <w:vAlign w:val="center"/>
          </w:tcPr>
          <w:p w14:paraId="673AE4CF"/>
        </w:tc>
        <w:tc>
          <w:tcPr>
            <w:tcW w:w="0" w:type="auto"/>
            <w:vAlign w:val="center"/>
          </w:tcPr>
          <w:p w14:paraId="08F4163E">
            <w:r>
              <w:t>工艺配方存储量</w:t>
            </w:r>
          </w:p>
        </w:tc>
        <w:tc>
          <w:tcPr>
            <w:tcW w:w="0" w:type="auto"/>
            <w:vAlign w:val="center"/>
          </w:tcPr>
          <w:p w14:paraId="02B8C782">
            <w:r>
              <w:t>≥100组</w:t>
            </w:r>
          </w:p>
        </w:tc>
        <w:tc>
          <w:tcPr>
            <w:tcW w:w="0" w:type="auto"/>
            <w:vAlign w:val="center"/>
          </w:tcPr>
          <w:p w14:paraId="72DF5AF6">
            <w:r>
              <w:t>支持自定义参数保存</w:t>
            </w:r>
          </w:p>
        </w:tc>
      </w:tr>
      <w:tr w14:paraId="38349C21">
        <w:tc>
          <w:tcPr>
            <w:tcW w:w="0" w:type="auto"/>
            <w:vAlign w:val="center"/>
          </w:tcPr>
          <w:p w14:paraId="78D34617"/>
        </w:tc>
        <w:tc>
          <w:tcPr>
            <w:tcW w:w="0" w:type="auto"/>
            <w:vAlign w:val="center"/>
          </w:tcPr>
          <w:p w14:paraId="221A4E09">
            <w:r>
              <w:t>3D视觉扫描精度</w:t>
            </w:r>
          </w:p>
        </w:tc>
        <w:tc>
          <w:tcPr>
            <w:tcW w:w="0" w:type="auto"/>
            <w:vAlign w:val="center"/>
          </w:tcPr>
          <w:p w14:paraId="115F2C1C">
            <w:r>
              <w:t>±0.5mm</w:t>
            </w:r>
          </w:p>
        </w:tc>
        <w:tc>
          <w:tcPr>
            <w:tcW w:w="0" w:type="auto"/>
            <w:vAlign w:val="center"/>
          </w:tcPr>
          <w:p w14:paraId="48B698C6">
            <w:r>
              <w:t>激光轮廓传感器</w:t>
            </w:r>
          </w:p>
        </w:tc>
      </w:tr>
      <w:tr w14:paraId="4AEB609A">
        <w:tblPrEx>
          <w:tblCellMar>
            <w:top w:w="0" w:type="dxa"/>
            <w:left w:w="0" w:type="dxa"/>
            <w:bottom w:w="0" w:type="dxa"/>
            <w:right w:w="0" w:type="dxa"/>
          </w:tblCellMar>
        </w:tblPrEx>
        <w:tc>
          <w:tcPr>
            <w:tcW w:w="0" w:type="auto"/>
            <w:vAlign w:val="center"/>
          </w:tcPr>
          <w:p w14:paraId="1150E4F7"/>
        </w:tc>
        <w:tc>
          <w:tcPr>
            <w:tcW w:w="0" w:type="auto"/>
            <w:vAlign w:val="center"/>
          </w:tcPr>
          <w:p w14:paraId="00CCE107">
            <w:r>
              <w:t>环境温湿度监测范围</w:t>
            </w:r>
          </w:p>
        </w:tc>
        <w:tc>
          <w:tcPr>
            <w:tcW w:w="0" w:type="auto"/>
            <w:vAlign w:val="center"/>
          </w:tcPr>
          <w:p w14:paraId="34106B7C">
            <w:r>
              <w:t>温度15-35℃，湿度40%-70%</w:t>
            </w:r>
          </w:p>
        </w:tc>
        <w:tc>
          <w:tcPr>
            <w:tcW w:w="0" w:type="auto"/>
            <w:vAlign w:val="center"/>
          </w:tcPr>
          <w:p w14:paraId="67928ED3">
            <w:r>
              <w:t>超限自动报警</w:t>
            </w:r>
          </w:p>
        </w:tc>
      </w:tr>
      <w:tr w14:paraId="0FE366F6">
        <w:tblPrEx>
          <w:tblCellMar>
            <w:top w:w="0" w:type="dxa"/>
            <w:left w:w="0" w:type="dxa"/>
            <w:bottom w:w="0" w:type="dxa"/>
            <w:right w:w="0" w:type="dxa"/>
          </w:tblCellMar>
        </w:tblPrEx>
        <w:tc>
          <w:tcPr>
            <w:tcW w:w="0" w:type="auto"/>
            <w:vAlign w:val="center"/>
          </w:tcPr>
          <w:p w14:paraId="0E14C4AE">
            <w:r>
              <w:rPr>
                <w:b/>
              </w:rPr>
              <w:t>辅助装置</w:t>
            </w:r>
          </w:p>
        </w:tc>
        <w:tc>
          <w:tcPr>
            <w:tcW w:w="0" w:type="auto"/>
            <w:vAlign w:val="center"/>
          </w:tcPr>
          <w:p w14:paraId="3294632F">
            <w:r>
              <w:t>漆雾处理效率</w:t>
            </w:r>
          </w:p>
        </w:tc>
        <w:tc>
          <w:tcPr>
            <w:tcW w:w="0" w:type="auto"/>
            <w:vAlign w:val="center"/>
          </w:tcPr>
          <w:p w14:paraId="13F977C3">
            <w:r>
              <w:t>≥98%</w:t>
            </w:r>
          </w:p>
        </w:tc>
        <w:tc>
          <w:tcPr>
            <w:tcW w:w="0" w:type="auto"/>
            <w:vAlign w:val="center"/>
          </w:tcPr>
          <w:p w14:paraId="2B941A11">
            <w:r>
              <w:t>文丘里式/静电吸附式</w:t>
            </w:r>
          </w:p>
        </w:tc>
      </w:tr>
      <w:tr w14:paraId="4638FF72">
        <w:tblPrEx>
          <w:tblCellMar>
            <w:top w:w="0" w:type="dxa"/>
            <w:left w:w="0" w:type="dxa"/>
            <w:bottom w:w="0" w:type="dxa"/>
            <w:right w:w="0" w:type="dxa"/>
          </w:tblCellMar>
        </w:tblPrEx>
        <w:tc>
          <w:tcPr>
            <w:tcW w:w="0" w:type="auto"/>
            <w:vAlign w:val="center"/>
          </w:tcPr>
          <w:p w14:paraId="5C174C21"/>
        </w:tc>
        <w:tc>
          <w:tcPr>
            <w:tcW w:w="0" w:type="auto"/>
            <w:vAlign w:val="center"/>
          </w:tcPr>
          <w:p w14:paraId="1D3091FF">
            <w:r>
              <w:t>烘干固化温度</w:t>
            </w:r>
          </w:p>
        </w:tc>
        <w:tc>
          <w:tcPr>
            <w:tcW w:w="0" w:type="auto"/>
            <w:vAlign w:val="center"/>
          </w:tcPr>
          <w:p w14:paraId="5EC82E7A">
            <w:r>
              <w:t>60-80℃</w:t>
            </w:r>
          </w:p>
        </w:tc>
        <w:tc>
          <w:tcPr>
            <w:tcW w:w="0" w:type="auto"/>
            <w:vAlign w:val="center"/>
          </w:tcPr>
          <w:p w14:paraId="3390AD97">
            <w:r>
              <w:t>循环热风，精度±3℃</w:t>
            </w:r>
          </w:p>
        </w:tc>
      </w:tr>
      <w:tr w14:paraId="5D76F305">
        <w:tc>
          <w:tcPr>
            <w:tcW w:w="0" w:type="auto"/>
            <w:vAlign w:val="center"/>
          </w:tcPr>
          <w:p w14:paraId="324CE702"/>
        </w:tc>
        <w:tc>
          <w:tcPr>
            <w:tcW w:w="0" w:type="auto"/>
            <w:vAlign w:val="center"/>
          </w:tcPr>
          <w:p w14:paraId="7C899120">
            <w:r>
              <w:t>烘干时间</w:t>
            </w:r>
          </w:p>
        </w:tc>
        <w:tc>
          <w:tcPr>
            <w:tcW w:w="0" w:type="auto"/>
            <w:vAlign w:val="center"/>
          </w:tcPr>
          <w:p w14:paraId="45D668C6">
            <w:r>
              <w:t>3-15min</w:t>
            </w:r>
          </w:p>
        </w:tc>
        <w:tc>
          <w:tcPr>
            <w:tcW w:w="0" w:type="auto"/>
            <w:vAlign w:val="center"/>
          </w:tcPr>
          <w:p w14:paraId="69174D20">
            <w:r>
              <w:t>根据涂层厚度调节</w:t>
            </w:r>
          </w:p>
        </w:tc>
      </w:tr>
    </w:tbl>
    <w:p w14:paraId="32BF569C">
      <w:pPr>
        <w:pStyle w:val="3"/>
      </w:pPr>
      <w:r>
        <w:t>二、设备结构组成与功能</w:t>
      </w:r>
    </w:p>
    <w:p w14:paraId="7DD638B7">
      <w:pPr>
        <w:pStyle w:val="4"/>
      </w:pPr>
      <w:r>
        <w:t>1. 机械臂系统</w:t>
      </w:r>
    </w:p>
    <w:p w14:paraId="3E9E2889">
      <w:r>
        <w:t>机械臂系统是设备的运动执行核心，采用六轴工业机器人结构，主要由基座、腰部旋转关节、大臂、小臂、腕部关节及末端执行器（喷枪安装座）组成。基座通过膨胀螺栓固定于地面，承载整个机械臂的重量及运动惯性；腰部关节实现360°旋转（±180°范围），大臂与小臂通过伺服电机驱动的齿轮减速器实现俯仰运动，腕部关节包含俯仰、偏摆及旋转三个自由度，确保喷枪可从任意角度对准铁芯表面。</w:t>
      </w:r>
    </w:p>
    <w:p w14:paraId="6901CF66">
      <w:r>
        <w:t>系统配备伺服驱动单元及精密滚珠丝杠导轨，伺服电机通过绝对值编码器实时反馈位置信号，配合PLC的闭环控制算法，实现重复定位精度±0.1mm。为适配大型铁芯（长度6米），机械臂工作半径设计为2.5-4.0m，针对4米以上长铁芯，可通过双机械臂协同作业（左右对称布局）实现全覆盖喷涂。末端执行器配备快换接口，支持5分钟内完成喷枪更换，满足不同涂料类型（溶剂型/水性）的切换需求。</w:t>
      </w:r>
    </w:p>
    <w:p w14:paraId="61D07547">
      <w:r>
        <w:t>机械臂的运动控制采用“示教-再现”模式，工程师可通过示教器手动引导机械臂沿铁芯表面运动，记录关键路径点，系统自动生成平滑轨迹；对于复杂结构铁芯，可通过3D视觉扫描生成点云数据，由离线编程软件自动规划最优路径，路径间隔根据涂层厚度需求设定（通常5-10mm），确保无漏喷区域。</w:t>
      </w:r>
    </w:p>
    <w:p w14:paraId="2BA078AD">
      <w:pPr>
        <w:pStyle w:val="4"/>
      </w:pPr>
      <w:r>
        <w:t>2. 喷枪系统</w:t>
      </w:r>
    </w:p>
    <w:p w14:paraId="5A0F98D7">
      <w:r>
        <w:t>喷枪系统是涂装作业的核心执行部件，主流配置为静电旋杯喷枪，由喷帽、喷嘴、针阀、枪体、静电发生器及供漆接口组成。喷帽呈喇叭状，内侧设有环形气流通道，压缩空气经通道喷出后形成成形空气，控制漆雾扇幅（100-300mm可调）；喷嘴为可拆卸式，根据涂料粘度选择口径：低粘度涂料（如水性漆）选1.2-1.5mm喷嘴，高粘度涂料（如环氧底漆）选1.8-2.0mm喷嘴，喷嘴磨损超过0.2mm时需更换，否则会导致雾化颗粒不均匀。</w:t>
      </w:r>
    </w:p>
    <w:p w14:paraId="5B18F844">
      <w:r>
        <w:t>针阀由伺服电机驱动，通过控制阀芯开度调节涂料流量（0-500ml/min），响应时间≤0.1秒，确保启停瞬间无涂料堆积。静电发生器集成于枪体后部，通过高压电缆输出50-100kV直流负高压，使涂料粒子带电，在铁芯（接地正极）与喷枪（负极）之间形成静电场，涂料粒子沿电场线定向移动并吸附于铁芯表面，该过程使涂料利用率提升至85%以上。</w:t>
      </w:r>
    </w:p>
    <w:p w14:paraId="13B8F527">
      <w:r>
        <w:t>针对双组分涂料（如环氧底漆+固化剂），系统配备动态混合喷枪，通过比例泵分别输送涂料与固化剂，在枪体前端的动态混合阀内实现实时混合，混合比例可通过PLC调节（1:1-5:1），混合腔采用螺旋式结构，确保混合均匀度＞95%。混合阀每工作100小时需拆解清洁，防止固化剂残留堵塞通道。</w:t>
      </w:r>
    </w:p>
    <w:p w14:paraId="137ABAD7">
      <w:pPr>
        <w:pStyle w:val="4"/>
      </w:pPr>
      <w:r>
        <w:t>3. 输送系统</w:t>
      </w:r>
    </w:p>
    <w:p w14:paraId="2DF690E5">
      <w:r>
        <w:t>输送系统负责铁芯在喷涂工序中的定位与转运，根据车间布局分为悬挂链式与辊道式两种结构。悬挂链式系统由承重轨道（工字钢或方钢）、驱动电机（带减速器）、链条组件（节距160mm）及悬挂吊架组成，轨道通过膨胀螺栓固定于车间顶部，驱动电机功率5.5kW，通过变频调速实现0.5-3m/min的输送速度。吊架底部安装气动夹紧装置，包含2个对称夹爪（材质为聚氨酯），夹紧力通过压力传感器闭环控制（设定值0.3-0.5MPa），确保铁芯在喷涂过程中无晃动（振幅＜0.5mm）。</w:t>
      </w:r>
    </w:p>
    <w:p w14:paraId="3F0097C0">
      <w:r>
        <w:t>辊道式系统适用于重型铁芯（＞3吨），由主动辊（直径150mm）、从动辊（间距300mm）、驱动链条及定位挡板组成，主动辊由伺服电机通过链传动驱动，表面包裹橡胶层（硬度60 Shore A）防止铁芯打滑。输送系统配备定位传感器（漫反射式光电开关），当铁芯到达喷涂工位时，传感器触发信号，PLC控制制动器使输送系统停止（定位精度±2mm），同时顶升机构将铁芯顶起（上升高度50mm），避免与辊道接触导致涂层划伤。</w:t>
      </w:r>
    </w:p>
    <w:p w14:paraId="237A4829">
      <w:r>
        <w:t>针对铁芯360°喷涂需求，部分设备采用旋转工作台，工作台面由伺服电机驱动，旋转速度0-5rpm可调，配合机械臂实现铁芯周向无死角喷涂。工作台承重平台采用镂空设计，减少漆雾堆积，台面每工作8小时需用专用溶剂清洁。</w:t>
      </w:r>
    </w:p>
    <w:p w14:paraId="6C38977E">
      <w:pPr>
        <w:pStyle w:val="4"/>
      </w:pPr>
      <w:r>
        <w:t>4. 控制系统</w:t>
      </w:r>
    </w:p>
    <w:p w14:paraId="5E6BFB50">
      <w:r>
        <w:t>控制系统以西门子S7-1500 PLC为核心，构建“感知-决策-执行”的闭环控制架构。硬件层面包括：CPU模块（处理速度0.08μs/指令）、数字量输入模块（采集传感器信号）、数字量输出模块（控制电磁阀、电机启停）、模拟量输入模块（采集压力、温度等4-20mA信号）、模拟量输出模块（控制比例阀、变频器）及Profinet通信模块（实现与触摸屏、伺服驱动器的实时数据交互，响应周期≤1ms）。</w:t>
      </w:r>
    </w:p>
    <w:p w14:paraId="1653D96D">
      <w:r>
        <w:t>人机界面采用15英寸触摸屏，界面布局包括：主控页面（显示设备运行状态、关键参数）、工艺参数设置页面（涂料流量、雾化压力、静电电压等）、报警信息页面（实时故障代码及处理提示）、历史数据页面（近3个月喷涂参数记录）。系统支持100组以上工艺配方存储，切换配方时自动调用对应喷嘴口径、供漆压力等参数，无需手动调节。</w:t>
      </w:r>
    </w:p>
    <w:p w14:paraId="3A44F80B">
      <w:r>
        <w:t>3D视觉系统（激光轮廓传感器）安装于机械臂末端或固定于喷涂室顶部，通过线激光扫描铁芯表面，生成三维点云数据（采样频率1kHz，点云密度1000点/mm），工业PC基于点云数据自动识别铁芯轮廓（如拐角、通风孔位置），并通过路径规划算法生成喷涂轨迹，避开非涂装区域，轨迹生成时间＜30秒/件。环境监测模块集成温湿度传感器（精度±0.5℃/±3%RH），当温度＜15℃或＞35℃、湿度＜40%或＞70%时，系统自动暂停喷涂并触发声光报警。</w:t>
      </w:r>
    </w:p>
    <w:p w14:paraId="5488CD30">
      <w:pPr>
        <w:pStyle w:val="4"/>
      </w:pPr>
      <w:r>
        <w:t>5. 辅助装置</w:t>
      </w:r>
    </w:p>
    <w:p w14:paraId="61178F33">
      <w:r>
        <w:t>辅助装置包括前处理系统、漆雾处理系统及烘干固化炉。前处理系统用于去除铁芯表面的油污、氧化皮及杂质，采用“喷淋+浸洗”组合工艺：首先通过喷淋泵（流量50m³/h）将40-50℃的脱脂剂溶液（浓度2-5%）高压喷淋铁芯表面（压力0.3MPa），去除可溶性油污；随后进入浸洗槽（容积10m³），通过超声波清洗（频率28kHz）去除顽固污渍，清洗时间15-20分钟；最后经磷化处理（磷化液温度60-70℃，pH值2-3），在铁芯表面形成1-3μm的磷化膜，提升涂料附着力。</w:t>
      </w:r>
    </w:p>
    <w:p w14:paraId="4FC18E24">
      <w:r>
        <w:t>漆雾处理系统采用文丘里式干式分离技术，由抽风装置（风量15000m³/h）、文丘里管、过滤棉及活性炭吸附塔组成。喷涂过程中产生的漆雾被抽风装置吸入文丘里管，与高速气流混合后形成旋转运动，漆雾颗粒因离心力被甩向管壁，与喷淋水结合形成漆渣，随后通过过滤棉（精度5μm）进一步捕集细小颗粒，最后经活性炭吸附塔（活性炭填充量500kg）去除VOCs，处理后的废气排放浓度符合GB 16297-1996标准（非甲烷总烃≤120mg/m³）。</w:t>
      </w:r>
    </w:p>
    <w:p w14:paraId="272E863A">
      <w:r>
        <w:t>烘干固化炉采用热风循环加热方式，由加热管（功率30kW）、循环风机（风量8000m³/h）、温度传感器及保温层（厚度150mm，材质岩棉）组成。炉内温度控制在60-80℃，通过PID算法调节加热管功率，使温度波动≤±3℃；热风以0.8m/s的速度在炉内循环，确保铁芯各部位均匀受热。</w:t>
      </w:r>
    </w:p>
    <w:p w14:paraId="185F3871">
      <w:pPr>
        <w:pStyle w:val="3"/>
      </w:pPr>
      <w:r>
        <w:t>三、机械原理</w:t>
      </w:r>
    </w:p>
    <w:p w14:paraId="7D3545C3">
      <w:pPr>
        <w:pStyle w:val="4"/>
      </w:pPr>
      <w:r>
        <w:t>1. 机械传动系统原理</w:t>
      </w:r>
    </w:p>
    <w:p w14:paraId="7C18D260">
      <w:r>
        <w:t>机械传动系统采用“伺服电机-滚珠丝杠-同步带”的复合传动方案。X轴（横向移动）与Y轴（纵向移动）采用伺服电机驱动滚珠丝杠：伺服电机通过联轴器与滚珠丝杠刚性连接，丝杠螺母与机械臂滑台固定，当电机旋转时，丝杠转动带动螺母直线移动，实现机械臂的线性运动。滚珠丝杠采用高精度C3级，导程10-20mm，通过预紧消除间隙（预紧力500-800N），传动效率达90%以上，刚性较梯形丝杠提升40%。</w:t>
      </w:r>
    </w:p>
    <w:p w14:paraId="1E295B96">
      <w:r>
        <w:t>Z轴（垂直升降）及腕部关节采用同步带传动，同步带选用RPP3M型号，齿距3mm，带轮齿数20-40齿，通过齿状啮合实现无滑差传动（传动误差＜0.1mm/m）。同步带张紧力通过调节轮调节，张紧量控制在带长的1-2%，避免过紧导致轴承发热或过松产生振动。编码器（分辨率1024线）安装于电机轴端，实时采集电机转角信号，反馈至PLC形成闭环控制，当实际位置与指令位置偏差超过±0.05mm时，PLC输出调节信号修正电机转速，最终将运动误差控制在±0.1mm内。</w:t>
      </w:r>
    </w:p>
    <w:p w14:paraId="4A064521">
      <w:r>
        <w:t>机械臂的多关节协同运动通过运动学逆解算法实现：PLC根据末端执行器的目标位置（X,Y,Z,Rx,Ry,Rz），计算各关节的旋转角度，通过伺服驱动器控制电机输出对应转速和扭矩。当机械臂从A点移动到B点时，系统自动规划圆弧过渡轨迹，确保运动平稳（加速度≤0.5m/s²），避免冲击导致的涂层抖动。</w:t>
      </w:r>
    </w:p>
    <w:p w14:paraId="2B2B00A5">
      <w:pPr>
        <w:pStyle w:val="4"/>
      </w:pPr>
      <w:r>
        <w:t>2. 涂料输送与雾化原理</w:t>
      </w:r>
    </w:p>
    <w:p w14:paraId="6450B85F">
      <w:r>
        <w:t>涂料输送流程为：涂料从储料桶经供漆泵加压后，通过管路输送至喷枪，经雾化后喷射至铁芯表面。供漆单元采用定量齿轮泵，由伺服电机驱动一对啮合齿轮旋转，齿轮啮合间隙形成密封腔，将涂料从进口压送至出口，流量精度±1%（设定流量500ml/min时，实际流量波动≤5ml/min）。泵体配备恒温控制单元（加热管功率1.5kW），通过铂电阻传感器监测涂料温度，当温度偏离设定值（25±2℃）时，PLC调节加热功率，确保涂料粘度稳定在150-200cP。</w:t>
      </w:r>
    </w:p>
    <w:p w14:paraId="54454D64">
      <w:r>
        <w:t>双组分涂料需经动态混合阀混合：涂料与固化剂分别由两个齿轮泵输送，按设定配比进入混合阀，阀内螺旋式搅拌芯（转速3000rpm）将两种组分强制混合，混合均匀度通过在线粘度计监测（偏差≤5%）。混合后的涂料经稳压阀（设定压力0.3-0.5MPa）进入喷枪，此时静电发生器产生50-100kV高压静电，使涂料粒子带电（电荷密度10⁻⁶C/m³），同时旋杯（转速0-60000rpm）高速旋转，通过离心力将涂料甩出并初步雾化，再经成形空气（压力0.2-0.4MPa）二次雾化，形成10-50μm的均匀颗粒。</w:t>
      </w:r>
    </w:p>
    <w:p w14:paraId="2B8A34C7">
      <w:r>
        <w:t>雾化颗粒的大小通过调节旋杯转速和成形空气压力控制：高粘度涂料（200cP）采用高转速（50000-60000rpm）和高压力（0.4-0.5MPa），低粘度涂料（150cP）采用低转速（30000-40000rpm）和低压力（0.2-0.3MPa）。旋风回收系统安装于喷枪两侧，通过负压（-500Pa）吸入未附着的漆雾，经分离后重新输送至储料桶，使材料利用率提升至95%。</w:t>
      </w:r>
    </w:p>
    <w:p w14:paraId="533231C5">
      <w:pPr>
        <w:pStyle w:val="4"/>
      </w:pPr>
      <w:r>
        <w:t>3. 输送系统驱动原理</w:t>
      </w:r>
    </w:p>
    <w:p w14:paraId="598D1EFC">
      <w:r>
        <w:t>输送系统的动力传递通过“电机-减速器-传动件”实现，驱动电机选用三相异步电机，功率3-7.5kW（根据承重选择），通过变频器实现无级调速（0-50Hz对应0.5-3m/min）。减速器采用行星齿轮减速器（传动比10:1-30:1），输出扭矩500-2000N·m，确保在最大承重5吨时输送平稳（速度波动＜±0.1m/min）。</w:t>
      </w:r>
    </w:p>
    <w:p w14:paraId="480E28EF">
      <w:r>
        <w:t>悬挂链式输送系统中：驱动电机通过链条与主动链轮连接，主动链轮（节距160mm，齿数15齿）带动悬挂链条运动，链条通过吊具与铁芯连接。为防止链条下垂，轨道每隔3m设置一个托轮（材质尼龙），链条下垂量控制在15-20mm/2m。张紧装置采用重锤式，通过配重块（重量50-100kg）提供恒定张紧力，避免链条因热胀冷缩导致的松弛或过紧。</w:t>
      </w:r>
    </w:p>
    <w:p w14:paraId="62B137A7">
      <w:r>
        <w:t>辊道式输送系统中：驱动电机通过链传动带动主动辊旋转，主动辊与从动辊通过铁芯摩擦力联动。主动辊间距300mm，确保铁芯（最小长度1.2m）至少由4个辊道支撑，防止弯曲变形。气动夹紧装置的驱动原理为：压缩空气（0.6MPa）经电磁阀进入气缸，推动活塞杆带动夹爪闭合，夹紧力通过压力传感器反馈至PLC，当夹紧力达到设定值（0.3MPa）时，PLC关闭电磁阀保压。定位停靠时，PLC通过编码器计算铁芯位移，当距离目标位置100mm时，控制变频器降低电机转速（从3m/min降至0.5m/min），实现软停靠。</w:t>
      </w:r>
    </w:p>
    <w:p w14:paraId="02D664DE">
      <w:pPr>
        <w:pStyle w:val="3"/>
      </w:pPr>
      <w:r>
        <w:t>四、控制系统原理</w:t>
      </w:r>
    </w:p>
    <w:p w14:paraId="4D384D92">
      <w:pPr>
        <w:pStyle w:val="4"/>
      </w:pPr>
      <w:r>
        <w:t>1. 控制系统硬件组成</w:t>
      </w:r>
    </w:p>
    <w:p w14:paraId="0DFCEA2A">
      <w:r>
        <w:t>控制系统硬件以西门子S7-1500 PLC为核心，构建模块化、可扩展的硬件架构，主要包括控制层、传感层、执行层及人机交互层。</w:t>
      </w:r>
    </w:p>
    <w:p w14:paraId="604E6931">
      <w:r>
        <w:t>控制层核心为S7-1500 CPU模块（型号1516-3PN/DP），集成Profinet接口（传输速率100Mbps），支持与伺服驱动器、视觉系统等设备的实时通信，程序存储容量2MB，数据存储容量512KB，可满足1000点I/O控制需求。扩展模块包括：数字量输入模块（16点DC 24V，响应时间≤1ms）、数字量输出模块（16点DC 24V/0.5A）、模拟量输入模块（8通道，16位精度）、模拟量输出模块（4通道，16位精度）。</w:t>
      </w:r>
    </w:p>
    <w:p w14:paraId="3D562B98">
      <w:r>
        <w:t>传感层包括：3D激光轮廓传感器（采样频率1kHz，扫描范围50-500mm）、在线膜厚仪（测量范围0-200μm，精度±1μm）、温湿度传感器（测量范围温度0-60℃、湿度0-100%RH）、压力传感器（测量范围0-1MPa）。</w:t>
      </w:r>
    </w:p>
    <w:p w14:paraId="6E554049">
      <w:r>
        <w:t>执行层包括：伺服驱动器（支持位置/速度/扭矩模式，电流环响应时间≤1ms）、变频器（控制输送系统驱动电机，调速范围0-60Hz）、静电发生器（输入AC 220V,输出DC 50-100kV，电流≤100μA）。</w:t>
      </w:r>
    </w:p>
    <w:p w14:paraId="3E34D05D">
      <w:r>
        <w:t>人机交互层采用西门子TP1500精智面板（15英寸触摸屏，分辨率1920×1080），支持多点触控，通过Profinet与PLC通信，实现参数设置、状态监控、报警显示等功能。</w:t>
      </w:r>
    </w:p>
    <w:p w14:paraId="5FE65FF0">
      <w:pPr>
        <w:pStyle w:val="4"/>
      </w:pPr>
      <w:r>
        <w:t>2. 控制系统软件架构</w:t>
      </w:r>
    </w:p>
    <w:p w14:paraId="6BA07A72">
      <w:r>
        <w:t>控制系统软件基于西门子TIA博途平台开发，采用结构化编程思想，程序架构分为主程序组织块、功能块（FB）、功能（FC）及数据块（DB）。</w:t>
      </w:r>
    </w:p>
    <w:p w14:paraId="11BD8FB5">
      <w:r>
        <w:t>主程序组织块OB1为程序入口，负责按周期（默认100ms）调用各功能模块，包括：初始化模块（FC100）、手动/自动模式切换模块（FC101）、喷涂流程控制模块（FB100）、故障诊断模块（FC102）。</w:t>
      </w:r>
    </w:p>
    <w:p w14:paraId="0C153A48">
      <w:r>
        <w:t>功能块（FB）用于封装复用性高的控制逻辑，如：喷枪控制功能块FB200（包含涂料流量调节、雾化压力调节、静电电压控制等子功能）、机械臂运动控制功能块FB300（输入目标位置坐标，通过运动学逆解计算各关节角度）。</w:t>
      </w:r>
    </w:p>
    <w:p w14:paraId="53BD9428">
      <w:r>
        <w:t>中断组织块用于处理异步事件：定时中断OB35（周期100ms，用于周期性采集模拟量数据）、诊断中断OB82（模拟量模块通道故障时触发）、硬件中断OB40（急停按钮被按下时触发）。</w:t>
      </w:r>
    </w:p>
    <w:p w14:paraId="4697E6C2">
      <w:r>
        <w:t>路径规划软件模块基于C++开发，集成于工业PC中，通过TCP/IP与PLC通信。其工作流程为：接收3D视觉系统的点云数据→点云滤波→提取铁芯表面特征→生成喷涂轨迹（B样条曲线拟合）→将轨迹点坐标转换为机械臂关节角度→下载至PLC执行。离线编程功能支持在计算机中模拟喷涂过程，通过数字孪生模型验证轨迹合理性，减少现场调试时间。</w:t>
      </w:r>
    </w:p>
    <w:p w14:paraId="2FDFDE24">
      <w:pPr>
        <w:pStyle w:val="4"/>
      </w:pPr>
      <w:r>
        <w:t>3. 自动化控制逻辑</w:t>
      </w:r>
    </w:p>
    <w:p w14:paraId="2CC853DE">
      <w:r>
        <w:t>设备的自动化控制逻辑遵循“工件识别→参数配置→流程执行→质量检测→异常处理”的闭环流程。</w:t>
      </w:r>
    </w:p>
    <w:p w14:paraId="4007EAAF">
      <w:r>
        <w:t>工件定位与识别：当铁芯进入喷涂室入口时，入口光电传感器检测到工件，触发PLC启动3D视觉扫描。视觉系统在2秒内完成铁芯轮廓扫描，生成点云数据并传输至工业PC，工业PC通过特征匹配算法识别铁芯型号，自动调用对应工艺配方。若识别失败，HMI显示“请手动选择铁芯型号”提示，由操作人员通过触摸屏选择。</w:t>
      </w:r>
    </w:p>
    <w:p w14:paraId="43B165EF">
      <w:r>
        <w:t>喷涂流程执行：定位完成后，PLC控制气动夹紧装置将铁芯固定，随后启动机械臂按规划轨迹运动。喷涂过程中，系统采用“粗喷-精喷”两步法：粗喷阶段，喷枪以较高流量（800ml/min）、较快速度（1.5m/s）进行大面积覆盖，涂层厚度控制在60-80μm；精喷阶段，通过在线膜厚仪检测粗喷涂层厚度，对厚度不足区域（＜60μm）进行补喷，补喷流量降至400ml/min，速度降至0.8m/s，确保最终涂层厚度均匀（偏差≤±5μm）。</w:t>
      </w:r>
    </w:p>
    <w:p w14:paraId="7631056C">
      <w:r>
        <w:t>参数实时调节：PLC通过闭环控制动态调节喷涂参数：当压力传感器检测到供漆压力低于设定值时，PLC输出信号增加齿轮泵转速；当静电感应器检测到静电电压低于50kV时，控制静电发生器增大输出电压；当环境湿度超过70%时，自动开启除湿装置。</w:t>
      </w:r>
    </w:p>
    <w:p w14:paraId="6DD6AEE4">
      <w:r>
        <w:t>安全互锁与异常处理：系统设计多重安全互锁逻辑：喷涂室门未关闭时，禁止启动喷涂；机械臂运动范围内有人时，安全光幕被遮挡，触发急停；涂料液位低于最低液位时，停止供漆泵并报警。异常处理流程为：检测到异常→PLC记录故障代码→HMI显示故障原因及处理建议→操作人员排除故障后复位报警→系统从故障前步骤继续运行。</w:t>
      </w:r>
    </w:p>
    <w:p w14:paraId="559878B0">
      <w:pPr>
        <w:pStyle w:val="3"/>
      </w:pPr>
      <w:r>
        <w:t>五、设备操作与维护规范</w:t>
      </w:r>
    </w:p>
    <w:p w14:paraId="2FE1C26B">
      <w:pPr>
        <w:pStyle w:val="4"/>
      </w:pPr>
      <w:r>
        <w:t>1. 操作流程</w:t>
      </w:r>
    </w:p>
    <w:p w14:paraId="4B8A981D">
      <w:pPr>
        <w:pStyle w:val="5"/>
      </w:pPr>
      <w:r>
        <w:t>1.1 开机前准备</w:t>
      </w:r>
    </w:p>
    <w:p w14:paraId="46FFFE58">
      <w:r>
        <w:t>安全检查：确认喷涂室门关闭，安全光幕无遮挡，急停按钮处于复位状态；检查设备周围无杂物，操作人员佩戴好防护装备（A级防毒面具、防静电防护服、护目镜）。</w:t>
      </w:r>
    </w:p>
    <w:p w14:paraId="64C6F4B1">
      <w:r>
        <w:t>气源检查：打开压缩空气总阀，调节减压阀使系统压力稳定在0.6-0.8MPa；检查气管接头无泄漏（用肥皂水涂抹接头，无气泡产生）。</w:t>
      </w:r>
    </w:p>
    <w:p w14:paraId="73AD8619">
      <w:r>
        <w:t>电源检查：合上设备总电源开关，检查控制柜内电压表显示380V±5%；启动UPS电源，确保PLC、触摸屏等控制设备供电稳定。</w:t>
      </w:r>
    </w:p>
    <w:p w14:paraId="5FD0E677">
      <w:r>
        <w:t>涂料准备：根据生产计划选择涂料类型，检查储料桶液位（不低于1/3桶），开启搅拌器搅拌涂料（搅拌时间30分钟）；测量涂料粘度（25℃时150-200cP，涂-4杯流出时间18-22秒），粘度不符时添加稀释剂或增稠剂调节。</w:t>
      </w:r>
    </w:p>
    <w:p w14:paraId="01D964A2">
      <w:pPr>
        <w:pStyle w:val="5"/>
      </w:pPr>
      <w:r>
        <w:t>1.2 开机与参数设置</w:t>
      </w:r>
    </w:p>
    <w:p w14:paraId="3EDEB064">
      <w:r>
        <w:t>启动辅助系统：依次开启前处理系统（脱脂槽加热至40-50℃）、漆雾处理系统（抽风机运行，风压-500Pa）、烘干固化炉（设定温度60-80℃，预热30分钟）。</w:t>
      </w:r>
    </w:p>
    <w:p w14:paraId="7519F99F">
      <w:r>
        <w:t>系统初始化：在触摸屏主控页面点击“系统启动”，PLC自动初始化各模块，初始化完成后HMI显示“就绪”。</w:t>
      </w:r>
    </w:p>
    <w:p w14:paraId="4B575493">
      <w:r>
        <w:t>工艺参数设置：点击“配方管理”，选择对应铁芯型号的工艺配方，确认参数：喷嘴口径、雾化压力、静电电压、喷涂速度、烘干时间；如需调整参数，点击“手动设置”修改并保存为新配方。</w:t>
      </w:r>
    </w:p>
    <w:p w14:paraId="6EC2FF13">
      <w:pPr>
        <w:pStyle w:val="5"/>
      </w:pPr>
      <w:r>
        <w:t>1.3 自动喷涂操作</w:t>
      </w:r>
    </w:p>
    <w:p w14:paraId="67E5B366">
      <w:r>
        <w:t>上料：将铁芯吊装至输送系统入口，确保铁芯中心与输送中心线对齐，按下“上料启动”按钮，输送系统将铁芯送至喷涂室入口。</w:t>
      </w:r>
    </w:p>
    <w:p w14:paraId="1E4EAE27">
      <w:r>
        <w:t>定位与扫描：铁芯触发入口光电传感器后，输送系统自动停止，3D视觉系统启动扫描（2秒完成），HMI显示铁芯轮廓图及定位结果（偏差≤±2mm），确认无误后点击“开始喷涂”。</w:t>
      </w:r>
    </w:p>
    <w:p w14:paraId="387CD3F3">
      <w:r>
        <w:t>喷涂过程监控：机械臂按轨迹运动，喷枪启动喷涂，HMI实时显示当前喷涂位置、涂层厚度、供漆压力等参数；操作人员需密切观察漆雾状态（正常为均匀扇形雾状），发现异常立即按下“暂停”按钮。</w:t>
      </w:r>
    </w:p>
    <w:p w14:paraId="6FF73F6F">
      <w:pPr>
        <w:pStyle w:val="5"/>
      </w:pPr>
      <w:r>
        <w:t>1.4 停机与清理</w:t>
      </w:r>
    </w:p>
    <w:p w14:paraId="2DDD0E8B">
      <w:r>
        <w:t>正常停机：喷涂完成后，机械臂自动返回原点，输送系统将铁芯送至烘干炉；所有铁芯喷涂完成后，点击“系统停止”，依次关闭喷枪、供漆泵、机械臂伺服系统，最后关闭辅助系统。</w:t>
      </w:r>
    </w:p>
    <w:p w14:paraId="2FBBB5D5">
      <w:r>
        <w:t>设备清理：拆卸喷枪喷嘴，用专用溶剂清洗喷嘴、针阀及混合腔（双组分喷枪需彻底清洗固化剂通道）；清理喷涂室地面漆渣，用铲刀铲除硬化漆渣，并用溶剂擦拭地面。</w:t>
      </w:r>
    </w:p>
    <w:p w14:paraId="1F359193">
      <w:r>
        <w:t>关机：关闭设备总电源，填写《设备运行记录表》，记录当日喷涂数量、设备运行时间、异常情况等。</w:t>
      </w:r>
    </w:p>
    <w:p w14:paraId="5FE8566E">
      <w:pPr>
        <w:pStyle w:val="4"/>
      </w:pPr>
      <w:r>
        <w:t>2. 日常维护与保养</w:t>
      </w:r>
    </w:p>
    <w:p w14:paraId="5B5875AB">
      <w:pPr>
        <w:pStyle w:val="5"/>
      </w:pPr>
      <w:r>
        <w:t>2.1 每班维护项目（每班结束后执行）</w:t>
      </w:r>
    </w:p>
    <w:p w14:paraId="6E3ED0E1">
      <w:r>
        <w:t>传感器清洁：用无尘布蘸无水乙醇擦拭3D视觉传感器镜头、光电传感器感应面，确保镜头无油污、灰尘，传感器指示灯正常（绿色常亮）。</w:t>
      </w:r>
    </w:p>
    <w:p w14:paraId="0960C41E">
      <w:r>
        <w:t>气管检查：沿气管走向检查接头是否松动，用肥皂水涂抹接头处，确保无气泡产生，气管无老化裂纹。</w:t>
      </w:r>
    </w:p>
    <w:p w14:paraId="2DC8107B">
      <w:r>
        <w:t>喷枪清洁：拆卸喷嘴、喷帽，用溶剂冲洗内部通道，用软毛刷清理堵塞物，确保喷嘴通畅，无涂料残留。</w:t>
      </w:r>
    </w:p>
    <w:p w14:paraId="301E067E">
      <w:r>
        <w:t>漆雾处理系统检查：检查过滤棉表面漆渣堆积量，清理抽屉式漆渣收集盒，确保过滤棉阻力＜500Pa（压差计显示）。</w:t>
      </w:r>
    </w:p>
    <w:p w14:paraId="2C4B0F39">
      <w:pPr>
        <w:pStyle w:val="5"/>
      </w:pPr>
      <w:r>
        <w:t>2.2 每周维护项目（每周一上午执行）</w:t>
      </w:r>
    </w:p>
    <w:p w14:paraId="3DF2F51D">
      <w:r>
        <w:t>机械臂导轨润滑：打开机械臂导轨防护罩，用黄油枪向导轨润滑脂嘴注入ISO VG460号导轨油，每点注入量5-10g，注油后手动移动机械臂，使润滑油均匀分布；润滑后清理溢出的油脂。</w:t>
      </w:r>
    </w:p>
    <w:p w14:paraId="640BE2A4">
      <w:r>
        <w:t>伺服电机检查：用红外测温仪测量电机外壳温度（运行时≤60℃）；用听诊器监听电机运行声音，应无异常杂音；检查电机连接线束插头是否松动，紧固螺丝扭矩2.5N·m。</w:t>
      </w:r>
    </w:p>
    <w:p w14:paraId="52376698">
      <w:r>
        <w:t>输送链条张紧度检查：测量悬挂链条下垂量（2m长度段下垂15-20mm），如超出范围，调节张紧装置配重块；辊道式输送系统检查辊道平行度（偏差≤0.5mm/m），通过调节轴承座垫片修正。</w:t>
      </w:r>
    </w:p>
    <w:p w14:paraId="45AC18CD">
      <w:r>
        <w:t>静电发生器检查：用高压表测量静电发生器输出电压（设定80kV时，实测75-85kV）；检查高压电缆有无破损，接头绝缘电阻≥100MΩ（用兆欧表测量）。</w:t>
      </w:r>
    </w:p>
    <w:p w14:paraId="43E18BE3">
      <w:pPr>
        <w:pStyle w:val="5"/>
      </w:pPr>
      <w:r>
        <w:t>2.3 每月维护项目（每月最后一个工作日执行）</w:t>
      </w:r>
    </w:p>
    <w:p w14:paraId="7F69CFAE">
      <w:r>
        <w:t>齿轮泵维护：拆卸齿轮泵进出口法兰，取出齿轮组，用溶剂清洗齿轮表面残留涂料，检查齿轮啮合间隙（应≤0.05mm），如超差则更换齿轮组；更换泵轴密封件（氟橡胶材质），安装时涂抹密封胶防止泄漏。</w:t>
      </w:r>
    </w:p>
    <w:p w14:paraId="5871D303">
      <w:r>
        <w:t>烘干炉温度校准：用标准温度计放入烘干炉内，设定温度70℃，待稳定后对比炉内传感器显示值，偏差＞±3℃时，通过触摸屏“温度校准”功能修正。</w:t>
      </w:r>
    </w:p>
    <w:p w14:paraId="546BCEDA">
      <w:r>
        <w:t>PLC电池更换：检查PLC电池电压（应≥3.6V），如低于3V，在带电状态下更换电池（型号西门子6ES7971-0BA00），更换时间＜3分钟；更换后通过TIA博途软件读取电池状态，确认正常。</w:t>
      </w:r>
    </w:p>
    <w:p w14:paraId="5C3AF817">
      <w:pPr>
        <w:pStyle w:val="4"/>
      </w:pPr>
      <w:r>
        <w:t>3. 预防性维护策略</w:t>
      </w:r>
    </w:p>
    <w:p w14:paraId="256AA616">
      <w:r>
        <w:t>预防性维护以设备关键部件的生命周期数据为依据，通过定期检查、更换易损件，避免突发故障。</w:t>
      </w:r>
    </w:p>
    <w:p w14:paraId="64315923">
      <w:r>
        <w:t>关键部件维护周期与方法：</w:t>
      </w:r>
    </w:p>
    <w:p w14:paraId="1D01D89A">
      <w:r>
        <w:t>喷嘴：500小时，拆卸后用超声波清洗（溶剂中清洗10分钟），口径磨损＞0.2mm时更换。</w:t>
      </w:r>
    </w:p>
    <w:p w14:paraId="008C7509">
      <w:r>
        <w:t>同步带：2000小时，检查齿面磨损情况，测量张紧力（3M同步带张紧力50-80N），齿面出现裂纹或张紧力无法调节时更换。</w:t>
      </w:r>
    </w:p>
    <w:p w14:paraId="45096DE9">
      <w:r>
        <w:t>滚珠丝杠：5000小时，拆卸螺母，清洗丝杠表面，重新加注润滑脂，轴向间隙＞0.1mm时更换。</w:t>
      </w:r>
    </w:p>
    <w:p w14:paraId="47A76AC5">
      <w:r>
        <w:t>静电发生器：8000小时，更换高压模块，清洁放电针（用细砂纸打磨针尖），输出电压波动＞±10kV时更换。</w:t>
      </w:r>
    </w:p>
    <w:p w14:paraId="7746A3F4">
      <w:r>
        <w:t>齿轮泵密封件：2000小时，更换氟橡胶密封圈（硬度70 Shore A），密封面出现划痕或渗漏时更换。</w:t>
      </w:r>
    </w:p>
    <w:p w14:paraId="7F8F7A41">
      <w:r>
        <w:t>漆雾过滤棉：800小时，目视检查表面堵塞情况，阻力＞1000Pa时更换。</w:t>
      </w:r>
    </w:p>
    <w:p w14:paraId="340220DE">
      <w:r>
        <w:t>状态监测技术应用：</w:t>
      </w:r>
    </w:p>
    <w:p w14:paraId="753EAFAE">
      <w:r>
        <w:t>振动监测：在机械臂大臂、小臂关节处安装振动传感器（采样频率1kHz），实时监测振动加速度（正常＜4.5m/s²），当连续30秒超过阈值时，HMI显示“关节异常”预警。</w:t>
      </w:r>
    </w:p>
    <w:p w14:paraId="14F64C4C">
      <w:r>
        <w:t>油液分析：对液压系统每2000小时取样，检测油液污染度（NAS 8级以下为合格），通过铁谱仪分析油中金属颗粒（＞5μm颗粒数＜200个/mL），超标时更换液压油及滤芯。</w:t>
      </w:r>
    </w:p>
    <w:p w14:paraId="5A3FA8F1">
      <w:r>
        <w:t>红外热成像：每周用红外热像仪扫描控制柜、电机、电缆接头等部位，记录温度值（控制柜内部温度≤40℃，电机轴承温度≤环境温度+40℃），发现热点及时处理。</w:t>
      </w:r>
    </w:p>
    <w:p w14:paraId="4F501F19">
      <w:r>
        <w:t>备件管理策略：</w:t>
      </w:r>
    </w:p>
    <w:p w14:paraId="5FCD7A6D">
      <w:r>
        <w:t>采用ABC分类法管理备件：A类关键备件（伺服电机、PLC模块、静电发生器）安全库存≥3套；B类重要备件（喷嘴、齿轮泵、同步带）安全库存≥10套；C类一般备件（传感器、电磁阀、气管接头）安全库存≥50套。</w:t>
      </w:r>
    </w:p>
    <w:p w14:paraId="662ADDAC">
      <w:r>
        <w:t>备件寿命预测通过设备管理系统实现：录入备件安装时间、运行小时数，系统根据MTBF数据自动计算剩余寿命，提前30天生成更换提醒。</w:t>
      </w:r>
    </w:p>
    <w:p w14:paraId="1BA9A22C">
      <w:pPr>
        <w:pStyle w:val="3"/>
      </w:pPr>
      <w:r>
        <w:t>六、常见故障分析与处理对策</w:t>
      </w:r>
    </w:p>
    <w:p w14:paraId="4AE7A841">
      <w:pPr>
        <w:pStyle w:val="4"/>
      </w:pPr>
      <w:r>
        <w:t>1. 机械系统常见故障</w:t>
      </w:r>
    </w:p>
    <w:p w14:paraId="2E33B944">
      <w:pPr>
        <w:pStyle w:val="5"/>
      </w:pPr>
      <w:r>
        <w:t>1.1 机械臂卡滞</w:t>
      </w:r>
    </w:p>
    <w:p w14:paraId="5325200D">
      <w:r>
        <w:t>故障现象：机械臂运动过程中突然停止或运动不顺畅，HMI显示“伺服驱动器过载”报警（代码A0501）。</w:t>
      </w:r>
    </w:p>
    <w:p w14:paraId="0D48FD10">
      <w:r>
        <w:t>成因分析：滚珠丝杠润滑不足（润滑周期超过5000小时未维护）；伺服电机编码器故障（线缆破损或接头松动）；机械臂关节轴承磨损（游隙过大）；外部障碍物阻挡机械臂运动。</w:t>
      </w:r>
    </w:p>
    <w:p w14:paraId="6CF899C8">
      <w:r>
        <w:t>处理步骤：紧急停机，检查机械臂运动范围内有无障碍物，清除后尝试手动盘动机械臂，若阻力均匀则排除机械卡阻；检查滚珠丝杠润滑情况，如表面无油脂或有铁锈，拆卸防护罩后注入ISO VG460导轨油，手动移动机械臂10次使润滑均匀；用万用表测量编码器线缆通断，若断线则更换线缆，用示波器观察编码器输出波形，若波形畸变则更换编码器；测量关节轴承游隙，如超过0.1mm，拆卸关节更换轴承，安装时涂抹高温润滑脂。</w:t>
      </w:r>
    </w:p>
    <w:p w14:paraId="73400B49">
      <w:r>
        <w:t>预防措施：严格执行每周润滑计划，用振动传感器监测关节振动（加速度＞4.5m/s²时预警），定期检查编码器线缆固定情况。</w:t>
      </w:r>
    </w:p>
    <w:p w14:paraId="195F3185">
      <w:pPr>
        <w:pStyle w:val="5"/>
      </w:pPr>
      <w:r>
        <w:t>1.2 喷枪堵塞</w:t>
      </w:r>
    </w:p>
    <w:p w14:paraId="036572FF">
      <w:r>
        <w:t>故障现象：喷枪不出漆或出漆量异常（断断续续），涂层出现漏喷或条纹状缺陷。</w:t>
      </w:r>
    </w:p>
    <w:p w14:paraId="2F117574">
      <w:r>
        <w:t>成因分析：喷嘴口径选择过小（涂料粘度200cP时选用1.2mm喷嘴）；涂料未充分搅拌（搅拌时间＜30分钟）；双组分涂料固化剂残留（停机后未及时清洗喷枪）；供漆管路过滤器堵塞（滤芯精度10μm，使用时间超过800小时）。</w:t>
      </w:r>
    </w:p>
    <w:p w14:paraId="15092B96">
      <w:r>
        <w:t>处理步骤：关闭喷枪控制开关，拆卸喷嘴、喷帽，用专用溶剂浸泡10分钟，用0.3mm通针清理喷嘴孔径；检查涂料搅拌情况，重新搅拌30分钟后测量粘度，必要时更换大口径喷嘴；拆卸双组分喷枪混合阀，用溶剂冲洗混合腔，检查动态混合芯是否堵塞，堵塞时用超声波清洗；更换供漆管路过滤器，打开旁通阀排放管路内残留涂料，直至新涂料流出（无杂质）。</w:t>
      </w:r>
    </w:p>
    <w:p w14:paraId="4E04B384">
      <w:r>
        <w:t>预防措施：根据涂料粘度正确选型喷嘴（粘度150-200cP对应1.5-2.0mm喷嘴），停机后立即执行喷枪清洗程序，每800小时更换过滤器滤芯。</w:t>
      </w:r>
    </w:p>
    <w:p w14:paraId="03D7AA36">
      <w:pPr>
        <w:pStyle w:val="5"/>
      </w:pPr>
      <w:r>
        <w:t>1.3 输送系统打滑</w:t>
      </w:r>
    </w:p>
    <w:p w14:paraId="4FEA4E88">
      <w:r>
        <w:t>故障现象：输送系统运行时链条/辊道空转，铁芯停滞不前或移动速度缓慢，HMI显示“输送电机过载”报警（代码A0302）。</w:t>
      </w:r>
    </w:p>
    <w:p w14:paraId="50823BCD">
      <w:r>
        <w:t>成因分析：悬挂链张紧度不足（下垂量＞20mm/2m）；驱动滚筒轴承磨损（轴承温度超过环境温度40℃）；辊道表面橡胶层老化（硬度＜50 Shore A）；铁芯重量超过输送系统额定承重。</w:t>
      </w:r>
    </w:p>
    <w:p w14:paraId="0E0446F5">
      <w:r>
        <w:t>处理步骤：测量悬挂链下垂量，如2m长度段下垂＞20mm，调节张紧装置配重块，重新测量下垂量至15-20mm；用红外测温仪检测驱动滚筒轴承温度，如超过70℃，拆卸轴承座更换轴承，安装时涂抹锂基润滑脂；检查辊道橡胶层，如表面出现裂纹或硬度不足，更换橡胶套；核对铁芯重量，如超过额定承重，分批次输送或更换承重更大的输送系统。</w:t>
      </w:r>
    </w:p>
    <w:p w14:paraId="4CB01152">
      <w:r>
        <w:t>预防措施：每周检查输送链张紧度，每月测量轴承温度，每半年检测橡胶层硬度，严格执行铁芯重量核对制度。</w:t>
      </w:r>
    </w:p>
    <w:p w14:paraId="1A13934E">
      <w:pPr>
        <w:pStyle w:val="4"/>
      </w:pPr>
      <w:r>
        <w:t>2. 电气系统常见故障</w:t>
      </w:r>
    </w:p>
    <w:p w14:paraId="44C985AD">
      <w:pPr>
        <w:pStyle w:val="5"/>
      </w:pPr>
      <w:r>
        <w:t>2.1 供电异常</w:t>
      </w:r>
    </w:p>
    <w:p w14:paraId="79FA27EB">
      <w:r>
        <w:t>故障现象：设备无法启动，控制柜内电源指示灯不亮，或启动后立即跳闸。</w:t>
      </w:r>
    </w:p>
    <w:p w14:paraId="769BE86B">
      <w:r>
        <w:t>成因分析：车间电网电压异常（三相电压偏离380V±5%）；设备总电源开关过载保护动作（额定电流100A，实际电流超过120A）；零线腐蚀或接触不良（相电压差＞20V）；UPS电源故障（电池电压＜180V）。</w:t>
      </w:r>
    </w:p>
    <w:p w14:paraId="4808343F">
      <w:r>
        <w:t>处理步骤：用万用表测量车间总电源电压，如电压＜361V或＞399V，联系供电部门调节；如电压正常，检查设备总电源开关，按下过载保护复位按钮，重新合闸；检查设备负载电流，用钳形电流表测量各相电流，如某相电流超过100A，逐一断开各分路开关，排查短路设备；检查零线接线端子，用砂纸清理氧化层，重新紧固，测量三相电压平衡度（相电压差≤20V）；检查UPS电源，如电池电压＜180V，更换蓄电池组，充电8小时后测试备用时间（应≥30分钟）。</w:t>
      </w:r>
    </w:p>
    <w:p w14:paraId="55CF9503">
      <w:r>
        <w:t>预防措施：在设备电源输入端安装稳压器（容量50kVA），定期检查零线接头（每季度紧固一次），UPS电池每2年更换一次，雷雨季节配备防雷器（浪涌电流≥40kA）。</w:t>
      </w:r>
    </w:p>
    <w:p w14:paraId="70D7E637">
      <w:pPr>
        <w:pStyle w:val="5"/>
      </w:pPr>
      <w:r>
        <w:t>2.2 电机过载</w:t>
      </w:r>
    </w:p>
    <w:p w14:paraId="12BF96B5">
      <w:r>
        <w:t>故障现象：输送电机或机械臂伺服电机运行中突然停止，驱动器显示“过载”报警（代码F07011）。</w:t>
      </w:r>
    </w:p>
    <w:p w14:paraId="4793396F">
      <w:r>
        <w:t>成因分析：电机轴承磨损（转动阻力增大，轴承游隙＞0.1mm）；电机匝间短路（绝缘电阻下降，相间绝缘电阻＜100MΩ）；负载过大（机械臂负载超过20kg，或输送系统卡滞）；驱动器参数设置错误（过载保护阈值设为额定电流的100%）。</w:t>
      </w:r>
    </w:p>
    <w:p w14:paraId="03ADFFB4">
      <w:r>
        <w:t>处理步骤：停机后手动盘动电机轴，若阻力明显增大，拆卸电机更换轴承，测量轴承游隙应≤0.05mm；用兆欧表（500V档）测量电机相间绝缘电阻，如＜100MΩ，解体电机检查绕组，若发现烧焦痕迹则重绕线圈或更换电机；检查机械负载，如机械臂负载超过20kg，移除多余附件；检查输送系统是否卡滞，按“输送系统打滑”故障处理步骤排除卡滞；通过驱动器调试软件修改过载保护参数，将阈值设为额定电流的150%，过载时间设为3秒。</w:t>
      </w:r>
    </w:p>
    <w:p w14:paraId="492191FA">
      <w:r>
        <w:t>预防措施：每5000小时测量电机绝缘电阻，用红外测温仪监测电机温度（运行时≤60℃），定期检查驱动器参数（每月备份一次参数）。</w:t>
      </w:r>
    </w:p>
    <w:p w14:paraId="42FB7776">
      <w:pPr>
        <w:pStyle w:val="5"/>
      </w:pPr>
      <w:r>
        <w:t>2.3 传感器失灵</w:t>
      </w:r>
    </w:p>
    <w:p w14:paraId="7C0E8A85">
      <w:r>
        <w:t>故障现象：3D视觉系统无法识别铁芯轮廓，或光电传感器无信号输出（指示灯不亮），导致设备无法启动喷涂。</w:t>
      </w:r>
    </w:p>
    <w:p w14:paraId="66D67A68">
      <w:r>
        <w:t>成因分析：传感器镜头污染（漆雾或灰尘覆盖，透光率＜80%）；光电传感器位置偏移（感应面与铁芯距离超出检测范围50±5mm）；激光轮廓传感器激光发射器故障（输出功率＜1mW）；传感器线缆接地不良（与动力电缆并行敷设，引入电磁干扰）。</w:t>
      </w:r>
    </w:p>
    <w:p w14:paraId="7445E616">
      <w:r>
        <w:t>处理步骤：用无尘布蘸无水乙醇擦拭传感器镜头，直至透光率恢复；对于光电传感器，调整位置使感应面与铁芯距离为50mm，指示灯变为绿色常亮；检查激光轮廓传感器发射器，用激光功率计测量输出功率，如＜1mW，更换发射器模块；重新敷设传感器线缆，与动力电缆间距＞300mm，采用屏蔽电缆（屏蔽层单端接地），在传感器端安装浪涌保护器；用示波器观察传感器输出信号，如存在高频干扰，在信号线两端并联100nF电容滤波。</w:t>
      </w:r>
    </w:p>
    <w:p w14:paraId="08FEB176">
      <w:r>
        <w:t>预防措施：每班清洁传感器镜头，每周检查传感器位置，传感器线缆单独穿管敷设，远离变频器、伺服驱动器等干扰源。</w:t>
      </w:r>
    </w:p>
    <w:p w14:paraId="080B0541">
      <w:pPr>
        <w:pStyle w:val="4"/>
      </w:pPr>
      <w:r>
        <w:t>3. 控制系统常见故障</w:t>
      </w:r>
    </w:p>
    <w:p w14:paraId="77054C1E">
      <w:pPr>
        <w:pStyle w:val="5"/>
      </w:pPr>
      <w:r>
        <w:t>3.1 PLC程序错误</w:t>
      </w:r>
    </w:p>
    <w:p w14:paraId="774048C2">
      <w:r>
        <w:t>故障现象：设备运行中流程卡顿（停留在“定位”步骤不跳转），或执行错误动作（未定位完成即启动喷涂）。</w:t>
      </w:r>
    </w:p>
    <w:p w14:paraId="20E54053">
      <w:r>
        <w:t>成因分析：定时器设定错误（烘干延时定时器预设值3秒，实际需要10分钟）；逻辑互锁条件不满足（“喷涂允许”信号未置位，因门限开关信号未闭合）；程序数据丢失（PLC电池电压＜3.6V）；离线下载程序时版本不匹配（TIA博途版本与PLC固件版本不兼容）。</w:t>
      </w:r>
    </w:p>
    <w:p w14:paraId="36FF2712">
      <w:r>
        <w:t>处理步骤：通过TIA博途软件在线监控程序，检查卡顿步骤的定时器设定值，修改后下载至PLC；监控互锁信号状态，若信号为0，检查门限开关，确保信号正常；更换PLC电池，重新下载备份程序；检查PLC固件版本，将软件版本升级至与固件匹配，重新下载程序。</w:t>
      </w:r>
    </w:p>
    <w:p w14:paraId="352B1431">
      <w:r>
        <w:t>预防措施：程序修改后立即备份，每月检查PLC电池电压，严格执行程序版本管理。</w:t>
      </w:r>
    </w:p>
    <w:p w14:paraId="7AC9959A">
      <w:pPr>
        <w:pStyle w:val="5"/>
      </w:pPr>
      <w:r>
        <w:t>3.2 通信故障</w:t>
      </w:r>
    </w:p>
    <w:p w14:paraId="717E5000">
      <w:r>
        <w:t>故障现象：触摸屏与PLC无法通信（HMI显示“连接失败”），或机械臂与PLC数据交换中断（伺服驱动器报“通信超时”）。</w:t>
      </w:r>
    </w:p>
    <w:p w14:paraId="041C3E50">
      <w:r>
        <w:t>成因分析：Profinet网线接触不良（水晶头氧化或针脚弯曲）；网络交换机故障（端口指示灯不亮，数据丢包率＞1%）；设备IP地址冲突（PLC与视觉系统IP地址重复）；终端电阻未正确设置（Profinet总线两端未接110Ω终端电阻）。</w:t>
      </w:r>
    </w:p>
    <w:p w14:paraId="332F770C">
      <w:r>
        <w:t>处理步骤：检查网线水晶头，用网线测试仪测试通断，更换氧化的水晶头；更换网络交换机端口，用ping命令测试网络连通性（丢包率应为0）；检查所有设备IP地址，确保在同一网段且不重复；检查Profinet总线两端设备，确保终端电阻开关置于“ON”位置，用万用表测量总线电阻应为110±10Ω。</w:t>
      </w:r>
    </w:p>
    <w:p w14:paraId="7646EA85">
      <w:r>
        <w:t>预防措施：网线采用穿管敷设，网络交换机安装冗余电源，定期检查IP地址分配表，总线终端电阻状态纳入日常巡检项目。</w:t>
      </w:r>
    </w:p>
    <w:p w14:paraId="3BD2EEF5">
      <w:pPr>
        <w:pStyle w:val="4"/>
      </w:pPr>
      <w:r>
        <w:t>4. 喷涂质量缺陷及对策</w:t>
      </w:r>
    </w:p>
    <w:p w14:paraId="290BE0DA">
      <w:pPr>
        <w:pStyle w:val="5"/>
      </w:pPr>
      <w:r>
        <w:t>4.1 涂层桔皮</w:t>
      </w:r>
    </w:p>
    <w:p w14:paraId="20CAB5CE">
      <w:r>
        <w:t>故障现象：涂层表面呈现桔子皮纹理，光泽度低（＜60GU），手感粗糙（Ra＞3.2μm）。</w:t>
      </w:r>
    </w:p>
    <w:p w14:paraId="397DC50F">
      <w:r>
        <w:t>成因分析：雾化压力过低（＜0.2MPa，涂料雾化颗粒粗大＞50μm）；涂料粘度偏高（＞200cP，流平性差）；喷涂距离过远（喷枪与铁芯表面距离＞300mm，漆雾到达表面时已部分干燥）；环境温度过高（＞35℃，溶剂挥发过快）。</w:t>
      </w:r>
    </w:p>
    <w:p w14:paraId="47D30F82">
      <w:r>
        <w:t>处理步骤：调节雾化压力至0.3-0.5MPa（根据涂料粘度：150cP时0.3MPa，200cP时0.5MPa），用粒度仪测量雾化颗粒直径控制在10-50μm；添加稀释剂降低涂料粘度（25℃时150-200cP，涂-4杯流出时间18-22秒），搅拌均匀后静置15分钟；调整机械臂轨迹，使喷枪与铁芯表面距离保持150-250mm；开启车间空调，将环境温度降至15-35℃，如无空调则在喷涂室安装冷却风机（风量5000m³/h）。</w:t>
      </w:r>
    </w:p>
    <w:p w14:paraId="6E40D0C7">
      <w:r>
        <w:t>预防措施：定期校准雾化压力传感器（每月一次），涂料使用前测量粘度并记录，通过HMI实时监控环境温度（设置高温报警阈值35℃）。</w:t>
      </w:r>
    </w:p>
    <w:p w14:paraId="2D7BDBCC">
      <w:pPr>
        <w:pStyle w:val="5"/>
      </w:pPr>
      <w:r>
        <w:t>4.2 涂层针孔</w:t>
      </w:r>
    </w:p>
    <w:p w14:paraId="43450463">
      <w:r>
        <w:t>故障现象：涂层表面出现细小孔洞（直径0.1-1mm），穿透涂层直达基材，影响防腐性能。</w:t>
      </w:r>
    </w:p>
    <w:p w14:paraId="29147264">
      <w:r>
        <w:t>成因分析：环境湿度过高（＞70%，涂料中水分蒸发形成气泡）；涂料搅拌时混入空气，未静置脱泡（搅拌后静置时间＜15分钟）；喷涂厚度过大（单次喷涂厚度＞80μm，溶剂挥发速度超过涂层表面固化速度）；底漆未完全干燥即喷涂面漆（底漆溶剂挥发顶破面漆涂层）。</w:t>
      </w:r>
    </w:p>
    <w:p w14:paraId="3D0E0FD5">
      <w:r>
        <w:t>处理步骤：开启除湿机降低环境湿度至40%-70%，如湿度仍超标，暂停喷涂并对涂料进行脱水处理（添加脱水剂，用量2%）；涂料搅拌后静置30分钟，或采用真空脱泡机（真空度-0.09MPa，脱泡时间20分钟）；调整喷涂参数，采用“薄喷多遍”工艺（单次厚度40-60μm，2-3遍完成总厚度），烘干时间每遍3-5分钟；延长底漆烘干时间（从10分钟延长至15分钟），用红外测温仪确认底漆表面温度降至室温后再涂面漆。</w:t>
      </w:r>
    </w:p>
    <w:p w14:paraId="028D165B">
      <w:r>
        <w:t>预防措施：在喷涂室安装温湿度自动记录仪（每10分钟记录一次数据），涂料搅拌后强制静置30分钟，制定涂层厚度工艺卡（明确单次厚度和遍数）。</w:t>
      </w:r>
    </w:p>
    <w:p w14:paraId="369D023D">
      <w:pPr>
        <w:pStyle w:val="3"/>
      </w:pPr>
      <w:r>
        <w:t>七、安全与环保要求</w:t>
      </w:r>
    </w:p>
    <w:p w14:paraId="49D8863F">
      <w:pPr>
        <w:pStyle w:val="4"/>
      </w:pPr>
      <w:r>
        <w:t>1. 安全防护装置</w:t>
      </w:r>
    </w:p>
    <w:p w14:paraId="6E7D6F11">
      <w:r>
        <w:t>物理隔离装置：安全围栏采用2mm厚冷轧钢板制作，高度≥1.2m，立柱间距≤1.5m，围栏门配备机械锁和电气联锁装置（门未关闭时切断设备动力电源）；喷涂室为全封闭结构，观察窗采用5mm厚防爆玻璃（抗冲击强度≥7J），内部安装防爆照明灯（防护等级IP65，电压24V）；急停按钮在设备操作面板、控制柜、喷涂室入口等位置设置，按下行程≥10mm，串联接入安全继电器回路，按下后立即切断所有输出（响应时间＜100ms）。</w:t>
      </w:r>
    </w:p>
    <w:p w14:paraId="0EB663EF">
      <w:r>
        <w:t>电气联锁装置：安全光幕安装于机械臂运动区域边界（分辨率14mm，保护高度1.5m），光束被遮挡时0.1秒内触发急停；双手启动装置要求启动喷涂工序时同时按下两个操作按钮（间距＞500mm）；门限开关安装于喷涂室门、控制柜柜门，开关信号断开时禁止设备启动或立即停机。</w:t>
      </w:r>
    </w:p>
    <w:p w14:paraId="62F2DC28">
      <w:r>
        <w:t>智能监测装置：可燃气体传感器安装于喷涂室内（检测范围0-100%LEL），当溶剂蒸气浓度超过LEL的25%时，触发声光报警并启动排风系统（风量15000m³/h）；电机过载保护通过热继电器实现（整定电流为额定电流的1.2倍）；静电接地监测确保喷枪、输送系统、铁芯工装接地电阻≤10Ω，接地不良时禁止启动静电发生器。</w:t>
      </w:r>
    </w:p>
    <w:p w14:paraId="55776F51">
      <w:r>
        <w:t>安全防护装置的定期检查要求：每日开工前测试急停按钮功能；每周检查安全光幕对准情况；每月测量接地电阻。</w:t>
      </w:r>
    </w:p>
    <w:p w14:paraId="2D4288BC">
      <w:pPr>
        <w:pStyle w:val="4"/>
      </w:pPr>
      <w:r>
        <w:t>2. 操作安全规范</w:t>
      </w:r>
    </w:p>
    <w:p w14:paraId="5DDA68C1">
      <w:r>
        <w:t>个人防护装备：呼吸系统防护佩戴A级防毒面具（配合P100滤毒罐），滤毒罐累计使用时间不超过8小时；身体防护穿着防静电防护服（表面电阻10⁶-10⁸Ω），袖口、裤脚收紧；眼部防护佩戴化学护目镜；手部防护佩戴丁腈橡胶手套（耐溶剂型）。</w:t>
      </w:r>
    </w:p>
    <w:p w14:paraId="352A63CA">
      <w:r>
        <w:t>作业安全规程：挂牌上锁程序要求设备维修时，操作人员在总电源开关处悬挂警示牌并使用个人锁具锁定；受限空间作业前进行气体检测（氧含量19.5%-23.5%，可燃气体＜LEL的10%，VOCs浓度＜200mg/m³），作业时配备监护人并保持通风（换气次数≥15次/小时）；静电防护要求操作人员进入车间前触摸静电释放球（释放时间≥3秒），禁止在喷涂室内使用非防爆工具；紧急情况处置时，溶剂泄漏用沙土覆盖，火灾时使用CO₂灭火器灭火并按下急停按钮。</w:t>
      </w:r>
    </w:p>
    <w:p w14:paraId="339D1DD9">
      <w:r>
        <w:t>安全培训与演练：新员工上岗前接受8小时安全培训，考核合格方可独立操作；每季度组织一次应急演练（模拟火灾、中毒等场景）。</w:t>
      </w:r>
    </w:p>
    <w:p w14:paraId="754E32AD">
      <w:pPr>
        <w:pStyle w:val="4"/>
      </w:pPr>
      <w:r>
        <w:t>3. 环保措施</w:t>
      </w:r>
    </w:p>
    <w:p w14:paraId="200D994E">
      <w:r>
        <w:t>VOCs治理：漆雾处理系统采用文丘里式+活性炭吸附工艺，漆雾捕集效率≥98%；废气再循环将30%-50%的净化后空气送回喷涂室，降低新风处理能耗；溶剂回收配备冷凝回收装置（冷凝温度5℃），回收效率≥80%。</w:t>
      </w:r>
    </w:p>
    <w:p w14:paraId="7FA351CA">
      <w:r>
        <w:t>固废处理：漆渣收集于密封桶中，委托有资质的危废处理单位处置；废过滤材料（废漆雾过滤棉、活性炭）分类存放于防渗漏容器中（HW12类危废）；废涂料桶由供应商回收或交由危废处理单位清洗后再生利用。</w:t>
      </w:r>
    </w:p>
    <w:p w14:paraId="4B39A522">
      <w:r>
        <w:t>节能降耗：输送系统、风机、泵类设备采用变频器控制，平均节电率30%；烘干炉废气通过换热器加热新风（换热效率≥70%）；车间及设备照明采用LED灯具（光效≥100lm/W）。</w:t>
      </w:r>
    </w:p>
    <w:p w14:paraId="011E7A11">
      <w:r>
        <w:t>环保监测要求：每月委托第三方检测机构监测VOCs排放浓度；每季度检查漆雾处理系统效率；每年进行节能审计。</w:t>
      </w:r>
    </w:p>
    <w:p w14:paraId="5047468E">
      <w:pPr>
        <w:pStyle w:val="3"/>
      </w:pPr>
      <w:r>
        <w:t>八、附录</w:t>
      </w:r>
    </w:p>
    <w:p w14:paraId="1574211A">
      <w:pPr>
        <w:pStyle w:val="4"/>
      </w:pPr>
      <w:r>
        <w:t>1. 设备技术参数表</w:t>
      </w:r>
    </w:p>
    <w:p w14:paraId="74955429">
      <w:r>
        <w:t>（同第一章1.2节表格内容）</w:t>
      </w:r>
    </w:p>
    <w:p w14:paraId="72BB21C1">
      <w:pPr>
        <w:pStyle w:val="4"/>
      </w:pPr>
      <w:r>
        <w:t>2. 常用备件清单及更换周期</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30FA69C7">
        <w:tblPrEx>
          <w:tblCellMar>
            <w:top w:w="0" w:type="dxa"/>
            <w:left w:w="0" w:type="dxa"/>
            <w:bottom w:w="0" w:type="dxa"/>
            <w:right w:w="0" w:type="dxa"/>
          </w:tblCellMar>
        </w:tblPrEx>
        <w:tc>
          <w:tcPr>
            <w:tcW w:w="0" w:type="auto"/>
            <w:vAlign w:val="center"/>
          </w:tcPr>
          <w:p w14:paraId="6B5A219F">
            <w:pPr>
              <w:jc w:val="center"/>
              <w:rPr>
                <w:b/>
              </w:rPr>
            </w:pPr>
            <w:r>
              <w:rPr>
                <w:b/>
              </w:rPr>
              <w:t>备件名称</w:t>
            </w:r>
          </w:p>
        </w:tc>
        <w:tc>
          <w:tcPr>
            <w:tcW w:w="0" w:type="auto"/>
            <w:vAlign w:val="center"/>
          </w:tcPr>
          <w:p w14:paraId="58A90C77">
            <w:pPr>
              <w:jc w:val="center"/>
              <w:rPr>
                <w:b/>
              </w:rPr>
            </w:pPr>
            <w:r>
              <w:rPr>
                <w:b/>
              </w:rPr>
              <w:t>型号规格</w:t>
            </w:r>
          </w:p>
        </w:tc>
        <w:tc>
          <w:tcPr>
            <w:tcW w:w="0" w:type="auto"/>
            <w:vAlign w:val="center"/>
          </w:tcPr>
          <w:p w14:paraId="63D48ADD">
            <w:pPr>
              <w:jc w:val="center"/>
              <w:rPr>
                <w:b/>
              </w:rPr>
            </w:pPr>
            <w:r>
              <w:rPr>
                <w:b/>
              </w:rPr>
              <w:t>更换周期</w:t>
            </w:r>
          </w:p>
        </w:tc>
        <w:tc>
          <w:tcPr>
            <w:tcW w:w="0" w:type="auto"/>
            <w:vAlign w:val="center"/>
          </w:tcPr>
          <w:p w14:paraId="36BBFAB6">
            <w:pPr>
              <w:jc w:val="center"/>
              <w:rPr>
                <w:b/>
              </w:rPr>
            </w:pPr>
            <w:r>
              <w:rPr>
                <w:b/>
              </w:rPr>
              <w:t>用途</w:t>
            </w:r>
          </w:p>
        </w:tc>
      </w:tr>
      <w:tr w14:paraId="5D6A5E23">
        <w:tblPrEx>
          <w:tblCellMar>
            <w:top w:w="0" w:type="dxa"/>
            <w:left w:w="0" w:type="dxa"/>
            <w:bottom w:w="0" w:type="dxa"/>
            <w:right w:w="0" w:type="dxa"/>
          </w:tblCellMar>
        </w:tblPrEx>
        <w:tc>
          <w:tcPr>
            <w:tcW w:w="0" w:type="auto"/>
            <w:vAlign w:val="center"/>
          </w:tcPr>
          <w:p w14:paraId="22491332">
            <w:r>
              <w:t>喷嘴</w:t>
            </w:r>
          </w:p>
        </w:tc>
        <w:tc>
          <w:tcPr>
            <w:tcW w:w="0" w:type="auto"/>
            <w:vAlign w:val="center"/>
          </w:tcPr>
          <w:p w14:paraId="5CCAC73E">
            <w:r>
              <w:t>1.2mm/1.5mm/1.8mm/2.0mm</w:t>
            </w:r>
          </w:p>
        </w:tc>
        <w:tc>
          <w:tcPr>
            <w:tcW w:w="0" w:type="auto"/>
            <w:vAlign w:val="center"/>
          </w:tcPr>
          <w:p w14:paraId="3D807CF5">
            <w:r>
              <w:t>500小时</w:t>
            </w:r>
          </w:p>
        </w:tc>
        <w:tc>
          <w:tcPr>
            <w:tcW w:w="0" w:type="auto"/>
            <w:vAlign w:val="center"/>
          </w:tcPr>
          <w:p w14:paraId="4E6E211A">
            <w:r>
              <w:t>涂料雾化</w:t>
            </w:r>
          </w:p>
        </w:tc>
      </w:tr>
      <w:tr w14:paraId="523A14B9">
        <w:tblPrEx>
          <w:tblCellMar>
            <w:top w:w="0" w:type="dxa"/>
            <w:left w:w="0" w:type="dxa"/>
            <w:bottom w:w="0" w:type="dxa"/>
            <w:right w:w="0" w:type="dxa"/>
          </w:tblCellMar>
        </w:tblPrEx>
        <w:tc>
          <w:tcPr>
            <w:tcW w:w="0" w:type="auto"/>
            <w:vAlign w:val="center"/>
          </w:tcPr>
          <w:p w14:paraId="19FA7DA6">
            <w:r>
              <w:t>静电发生器高压模块</w:t>
            </w:r>
          </w:p>
        </w:tc>
        <w:tc>
          <w:tcPr>
            <w:tcW w:w="0" w:type="auto"/>
            <w:vAlign w:val="center"/>
          </w:tcPr>
          <w:p w14:paraId="4E9FFA7E">
            <w:r>
              <w:t>ASAHI SEIKO HVC-100</w:t>
            </w:r>
          </w:p>
        </w:tc>
        <w:tc>
          <w:tcPr>
            <w:tcW w:w="0" w:type="auto"/>
            <w:vAlign w:val="center"/>
          </w:tcPr>
          <w:p w14:paraId="47300695">
            <w:r>
              <w:t>8000小时</w:t>
            </w:r>
          </w:p>
        </w:tc>
        <w:tc>
          <w:tcPr>
            <w:tcW w:w="0" w:type="auto"/>
            <w:vAlign w:val="center"/>
          </w:tcPr>
          <w:p w14:paraId="62678012">
            <w:r>
              <w:t>产生静电高压</w:t>
            </w:r>
          </w:p>
        </w:tc>
      </w:tr>
      <w:tr w14:paraId="0C0B6B09">
        <w:tc>
          <w:tcPr>
            <w:tcW w:w="0" w:type="auto"/>
            <w:vAlign w:val="center"/>
          </w:tcPr>
          <w:p w14:paraId="46F0D69F">
            <w:r>
              <w:t>伺服电机编码器</w:t>
            </w:r>
          </w:p>
        </w:tc>
        <w:tc>
          <w:tcPr>
            <w:tcW w:w="0" w:type="auto"/>
            <w:vAlign w:val="center"/>
          </w:tcPr>
          <w:p w14:paraId="2CCC1E19">
            <w:r>
              <w:t>1024线，TTL输出</w:t>
            </w:r>
          </w:p>
        </w:tc>
        <w:tc>
          <w:tcPr>
            <w:tcW w:w="0" w:type="auto"/>
            <w:vAlign w:val="center"/>
          </w:tcPr>
          <w:p w14:paraId="070B7FAE">
            <w:r>
              <w:t>10000小时</w:t>
            </w:r>
          </w:p>
        </w:tc>
        <w:tc>
          <w:tcPr>
            <w:tcW w:w="0" w:type="auto"/>
            <w:vAlign w:val="center"/>
          </w:tcPr>
          <w:p w14:paraId="0E7362C3">
            <w:r>
              <w:t>位置反馈</w:t>
            </w:r>
          </w:p>
        </w:tc>
      </w:tr>
      <w:tr w14:paraId="01C9AE61">
        <w:tblPrEx>
          <w:tblCellMar>
            <w:top w:w="0" w:type="dxa"/>
            <w:left w:w="0" w:type="dxa"/>
            <w:bottom w:w="0" w:type="dxa"/>
            <w:right w:w="0" w:type="dxa"/>
          </w:tblCellMar>
        </w:tblPrEx>
        <w:tc>
          <w:tcPr>
            <w:tcW w:w="0" w:type="auto"/>
            <w:vAlign w:val="center"/>
          </w:tcPr>
          <w:p w14:paraId="41BF6A45">
            <w:r>
              <w:t>滚珠丝杠</w:t>
            </w:r>
          </w:p>
        </w:tc>
        <w:tc>
          <w:tcPr>
            <w:tcW w:w="0" w:type="auto"/>
            <w:vAlign w:val="center"/>
          </w:tcPr>
          <w:p w14:paraId="2CCD137C">
            <w:r>
              <w:t>C3级，导程10mm</w:t>
            </w:r>
          </w:p>
        </w:tc>
        <w:tc>
          <w:tcPr>
            <w:tcW w:w="0" w:type="auto"/>
            <w:vAlign w:val="center"/>
          </w:tcPr>
          <w:p w14:paraId="0EF16925">
            <w:r>
              <w:t>20000小时</w:t>
            </w:r>
          </w:p>
        </w:tc>
        <w:tc>
          <w:tcPr>
            <w:tcW w:w="0" w:type="auto"/>
            <w:vAlign w:val="center"/>
          </w:tcPr>
          <w:p w14:paraId="4E9FB8EC">
            <w:r>
              <w:t>机械臂线性传动</w:t>
            </w:r>
          </w:p>
        </w:tc>
      </w:tr>
      <w:tr w14:paraId="374D2091">
        <w:tblPrEx>
          <w:tblCellMar>
            <w:top w:w="0" w:type="dxa"/>
            <w:left w:w="0" w:type="dxa"/>
            <w:bottom w:w="0" w:type="dxa"/>
            <w:right w:w="0" w:type="dxa"/>
          </w:tblCellMar>
        </w:tblPrEx>
        <w:tc>
          <w:tcPr>
            <w:tcW w:w="0" w:type="auto"/>
            <w:vAlign w:val="center"/>
          </w:tcPr>
          <w:p w14:paraId="048AD676">
            <w:r>
              <w:t>同步带</w:t>
            </w:r>
          </w:p>
        </w:tc>
        <w:tc>
          <w:tcPr>
            <w:tcW w:w="0" w:type="auto"/>
            <w:vAlign w:val="center"/>
          </w:tcPr>
          <w:p w14:paraId="4458B63E">
            <w:r>
              <w:t>MEGADYNE RPP3M，2m长</w:t>
            </w:r>
          </w:p>
        </w:tc>
        <w:tc>
          <w:tcPr>
            <w:tcW w:w="0" w:type="auto"/>
            <w:vAlign w:val="center"/>
          </w:tcPr>
          <w:p w14:paraId="71E4CB62">
            <w:r>
              <w:t>5000小时</w:t>
            </w:r>
          </w:p>
        </w:tc>
        <w:tc>
          <w:tcPr>
            <w:tcW w:w="0" w:type="auto"/>
            <w:vAlign w:val="center"/>
          </w:tcPr>
          <w:p w14:paraId="74A4ACD0">
            <w:r>
              <w:t>腕部关节传动</w:t>
            </w:r>
          </w:p>
        </w:tc>
      </w:tr>
      <w:tr w14:paraId="3E098905">
        <w:tblPrEx>
          <w:tblCellMar>
            <w:top w:w="0" w:type="dxa"/>
            <w:left w:w="0" w:type="dxa"/>
            <w:bottom w:w="0" w:type="dxa"/>
            <w:right w:w="0" w:type="dxa"/>
          </w:tblCellMar>
        </w:tblPrEx>
        <w:tc>
          <w:tcPr>
            <w:tcW w:w="0" w:type="auto"/>
            <w:vAlign w:val="center"/>
          </w:tcPr>
          <w:p w14:paraId="5E83DB7E">
            <w:r>
              <w:t>漆雾过滤棉</w:t>
            </w:r>
          </w:p>
        </w:tc>
        <w:tc>
          <w:tcPr>
            <w:tcW w:w="0" w:type="auto"/>
            <w:vAlign w:val="center"/>
          </w:tcPr>
          <w:p w14:paraId="68741304">
            <w:r>
              <w:t>5μm，500×600mm</w:t>
            </w:r>
          </w:p>
        </w:tc>
        <w:tc>
          <w:tcPr>
            <w:tcW w:w="0" w:type="auto"/>
            <w:vAlign w:val="center"/>
          </w:tcPr>
          <w:p w14:paraId="5CCAAAFF">
            <w:r>
              <w:t>800小时</w:t>
            </w:r>
          </w:p>
        </w:tc>
        <w:tc>
          <w:tcPr>
            <w:tcW w:w="0" w:type="auto"/>
            <w:vAlign w:val="center"/>
          </w:tcPr>
          <w:p w14:paraId="122B4EB4">
            <w:r>
              <w:t>漆雾捕集</w:t>
            </w:r>
          </w:p>
        </w:tc>
      </w:tr>
      <w:tr w14:paraId="50C7E421">
        <w:tc>
          <w:tcPr>
            <w:tcW w:w="0" w:type="auto"/>
            <w:vAlign w:val="center"/>
          </w:tcPr>
          <w:p w14:paraId="5FE7E13D">
            <w:r>
              <w:t>齿轮泵密封件</w:t>
            </w:r>
          </w:p>
        </w:tc>
        <w:tc>
          <w:tcPr>
            <w:tcW w:w="0" w:type="auto"/>
            <w:vAlign w:val="center"/>
          </w:tcPr>
          <w:p w14:paraId="528AC105">
            <w:r>
              <w:t>氟橡胶，内径20mm</w:t>
            </w:r>
          </w:p>
        </w:tc>
        <w:tc>
          <w:tcPr>
            <w:tcW w:w="0" w:type="auto"/>
            <w:vAlign w:val="center"/>
          </w:tcPr>
          <w:p w14:paraId="6F4F3478">
            <w:r>
              <w:t>2000小时</w:t>
            </w:r>
          </w:p>
        </w:tc>
        <w:tc>
          <w:tcPr>
            <w:tcW w:w="0" w:type="auto"/>
            <w:vAlign w:val="center"/>
          </w:tcPr>
          <w:p w14:paraId="10A179EA">
            <w:r>
              <w:t>防止涂料泄漏</w:t>
            </w:r>
          </w:p>
        </w:tc>
      </w:tr>
      <w:tr w14:paraId="6789EE84">
        <w:tblPrEx>
          <w:tblCellMar>
            <w:top w:w="0" w:type="dxa"/>
            <w:left w:w="0" w:type="dxa"/>
            <w:bottom w:w="0" w:type="dxa"/>
            <w:right w:w="0" w:type="dxa"/>
          </w:tblCellMar>
        </w:tblPrEx>
        <w:tc>
          <w:tcPr>
            <w:tcW w:w="0" w:type="auto"/>
            <w:vAlign w:val="center"/>
          </w:tcPr>
          <w:p w14:paraId="73206AEB">
            <w:r>
              <w:t>PLC电池</w:t>
            </w:r>
          </w:p>
        </w:tc>
        <w:tc>
          <w:tcPr>
            <w:tcW w:w="0" w:type="auto"/>
            <w:vAlign w:val="center"/>
          </w:tcPr>
          <w:p w14:paraId="44E7F5AF">
            <w:r>
              <w:t>西门子6ES7971-0BA00</w:t>
            </w:r>
          </w:p>
        </w:tc>
        <w:tc>
          <w:tcPr>
            <w:tcW w:w="0" w:type="auto"/>
            <w:vAlign w:val="center"/>
          </w:tcPr>
          <w:p w14:paraId="1A92EBC9">
            <w:r>
              <w:t>2年</w:t>
            </w:r>
          </w:p>
        </w:tc>
        <w:tc>
          <w:tcPr>
            <w:tcW w:w="0" w:type="auto"/>
            <w:vAlign w:val="center"/>
          </w:tcPr>
          <w:p w14:paraId="535778FD">
            <w:r>
              <w:t>程序数据备份</w:t>
            </w:r>
          </w:p>
        </w:tc>
      </w:tr>
      <w:tr w14:paraId="2D86909D">
        <w:tblPrEx>
          <w:tblCellMar>
            <w:top w:w="0" w:type="dxa"/>
            <w:left w:w="0" w:type="dxa"/>
            <w:bottom w:w="0" w:type="dxa"/>
            <w:right w:w="0" w:type="dxa"/>
          </w:tblCellMar>
        </w:tblPrEx>
        <w:tc>
          <w:tcPr>
            <w:tcW w:w="0" w:type="auto"/>
            <w:vAlign w:val="center"/>
          </w:tcPr>
          <w:p w14:paraId="170F418B">
            <w:r>
              <w:t>接近开关</w:t>
            </w:r>
          </w:p>
        </w:tc>
        <w:tc>
          <w:tcPr>
            <w:tcW w:w="0" w:type="auto"/>
            <w:vAlign w:val="center"/>
          </w:tcPr>
          <w:p w14:paraId="0D31F617">
            <w:r>
              <w:t>Omron E2E-X10MY1</w:t>
            </w:r>
          </w:p>
        </w:tc>
        <w:tc>
          <w:tcPr>
            <w:tcW w:w="0" w:type="auto"/>
            <w:vAlign w:val="center"/>
          </w:tcPr>
          <w:p w14:paraId="591ECDE7">
            <w:r>
              <w:t>10000小时</w:t>
            </w:r>
          </w:p>
        </w:tc>
        <w:tc>
          <w:tcPr>
            <w:tcW w:w="0" w:type="auto"/>
            <w:vAlign w:val="center"/>
          </w:tcPr>
          <w:p w14:paraId="7CDB104C">
            <w:r>
              <w:t>铁芯定位</w:t>
            </w:r>
          </w:p>
        </w:tc>
      </w:tr>
      <w:tr w14:paraId="6AB3C7DC">
        <w:tblPrEx>
          <w:tblCellMar>
            <w:top w:w="0" w:type="dxa"/>
            <w:left w:w="0" w:type="dxa"/>
            <w:bottom w:w="0" w:type="dxa"/>
            <w:right w:w="0" w:type="dxa"/>
          </w:tblCellMar>
        </w:tblPrEx>
        <w:tc>
          <w:tcPr>
            <w:tcW w:w="0" w:type="auto"/>
            <w:vAlign w:val="center"/>
          </w:tcPr>
          <w:p w14:paraId="3815CA3C">
            <w:r>
              <w:t>高压电缆</w:t>
            </w:r>
          </w:p>
        </w:tc>
        <w:tc>
          <w:tcPr>
            <w:tcW w:w="0" w:type="auto"/>
            <w:vAlign w:val="center"/>
          </w:tcPr>
          <w:p w14:paraId="741C7EBE">
            <w:r>
              <w:t>75kV，2m长</w:t>
            </w:r>
          </w:p>
        </w:tc>
        <w:tc>
          <w:tcPr>
            <w:tcW w:w="0" w:type="auto"/>
            <w:vAlign w:val="center"/>
          </w:tcPr>
          <w:p w14:paraId="41E4CD25">
            <w:r>
              <w:t>5000小时</w:t>
            </w:r>
          </w:p>
        </w:tc>
        <w:tc>
          <w:tcPr>
            <w:tcW w:w="0" w:type="auto"/>
            <w:vAlign w:val="center"/>
          </w:tcPr>
          <w:p w14:paraId="16C16B22">
            <w:r>
              <w:t>静电发生器与喷枪连接</w:t>
            </w:r>
          </w:p>
        </w:tc>
      </w:tr>
    </w:tbl>
    <w:p w14:paraId="25F80B3D">
      <w:pPr>
        <w:pStyle w:val="4"/>
      </w:pPr>
      <w:r>
        <w:t>3. 故障诊断流程图</w:t>
      </w:r>
    </w:p>
    <w:p w14:paraId="0E815153">
      <w:r>
        <w:t>机械臂卡滞故障诊断流程：故障现象→检查障碍物→手动盘动判断阻力→检查润滑→检查编码器→检查轴承→联系厂家。</w:t>
      </w:r>
    </w:p>
    <w:p w14:paraId="52C31236">
      <w:r>
        <w:t>喷涂不均故障诊断流程：故障现象→检查涂料粘度→检查输送速度→检查喷枪角度→检查膜厚仪→检查涂料流量。</w:t>
      </w:r>
    </w:p>
    <w:p w14:paraId="4B4EC0E9">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DejaVu Sans">
    <w:panose1 w:val="020B0603030804020204"/>
    <w:charset w:val="00"/>
    <w:family w:val="auto"/>
    <w:pitch w:val="default"/>
    <w:sig w:usb0="E7006EFF" w:usb1="D200FDFF" w:usb2="0A246029" w:usb3="0400200C" w:csb0="600001FF" w:csb1="DFFF0000"/>
  </w:font>
  <w:font w:name="微软雅黑">
    <w:altName w:val="汉仪旗黑KW 55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5DB63A"/>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A6FE74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25</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2025-10-05T23:56:13Z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1AF737E9D9542C811D95E2687C9FC223_43</vt:lpwstr>
  </property>
  <property fmtid="{D5CDD505-2E9C-101B-9397-08002B2CF9AE}" pid="4" name="KSOTemplateDocerSaveRecord">
    <vt:lpwstr>eyJoZGlkIjoiNzI4YmNmYThhZjA0NTVhODllNDhjMGZiNmFkMDJjN2YiLCJ1c2VySWQiOiIxNjA5OTI0MDI0In0=</vt:lpwstr>
  </property>
</Properties>
</file>