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5A113">
      <w:pPr>
        <w:pStyle w:val="2"/>
      </w:pPr>
    </w:p>
    <w:p w14:paraId="3ABCAF23">
      <w:pPr>
        <w:pStyle w:val="2"/>
      </w:pPr>
      <w:r>
        <w:t>锂电重式平衡叉车技术手册与故障分析指南</w:t>
      </w:r>
    </w:p>
    <w:p w14:paraId="0BF8A33A">
      <w:pPr>
        <w:pStyle w:val="3"/>
      </w:pPr>
      <w:r>
        <w:t>一、概述</w:t>
      </w:r>
    </w:p>
    <w:p w14:paraId="194AC883">
      <w:pPr>
        <w:pStyle w:val="4"/>
      </w:pPr>
      <w:r>
        <w:t>1.1 锂电重式平衡叉车的定义与应用场景</w:t>
      </w:r>
    </w:p>
    <w:p w14:paraId="3F856026">
      <w:r>
        <w:t>锂电重式平衡叉车是一种以锂电池为动力源，采用平衡重式结构设计的工业物料搬运设备，主要用于5-10吨及以上重载货物的装卸、堆垛和短途转运。其核心特征在于通过车体后部的平衡重抵消货物重量产生的倾覆力矩，配合电能驱动系统实现零排放、低噪音（运行噪音≤75dB）和高精度控制（定位精度±5mm），相较于传统内燃叉车，可减少CO₂排放80%以上，年维护成本降低40%，是现代工业物流向绿色化、智能化转型的关键装备。</w:t>
      </w:r>
    </w:p>
    <w:p w14:paraId="2890372A">
      <w:r>
        <w:t>在应用场景中，该设备针对不同行业需求提供定制化解决方案：重工业制造领域（如钢铁、造船）中，10吨级叉车配合抱夹属具实现钢卷、大型铸件的无损伤搬运，单次作业周期缩短至2分钟/次；港口集装箱码头场景下，8吨级叉车通过防爆型设计（Ex d IIB T4）适应易燃易爆环境，日均作业量达150标准箱；仓储物流中心内，5吨级叉车采用多向行驶技术（前进/后退/侧向），在狭窄通道（宽度≤3m）内实现托盘货物堆垛，空间利用率提升30%；重型机械装配车间，配备升降平台的叉车可完成发动机缸体等大型部件的精准对接，重复定位精度控制在±2mm，装配合格率达99.5%。典型案例显示，某汽车制造基地引入10台8吨级锂电叉车后，原材料周转效率提升50%，车间空气质量改善（PM2.5降低60%），验证了其在重载场景下的综合优势。</w:t>
      </w:r>
    </w:p>
    <w:p w14:paraId="09A5FC49">
      <w:pPr>
        <w:pStyle w:val="4"/>
      </w:pPr>
      <w:r>
        <w:t>1.2 设备分类与技术参数</w:t>
      </w:r>
    </w:p>
    <w:p w14:paraId="3F3CFE54">
      <w:pPr>
        <w:pStyle w:val="5"/>
      </w:pPr>
      <w:r>
        <w:t>按负载能力与驱动形式分类</w:t>
      </w:r>
    </w:p>
    <w:tbl>
      <w:tblPr>
        <w:tblStyle w:val="50"/>
        <w:tblW w:w="0" w:type="auto"/>
        <w:tblInd w:w="0" w:type="dxa"/>
        <w:tblLayout w:type="fixed"/>
        <w:tblCellMar>
          <w:top w:w="0" w:type="dxa"/>
          <w:left w:w="0" w:type="dxa"/>
          <w:bottom w:w="0" w:type="dxa"/>
          <w:right w:w="0" w:type="dxa"/>
        </w:tblCellMar>
      </w:tblPr>
      <w:tblGrid>
        <w:gridCol w:w="1234"/>
        <w:gridCol w:w="1234"/>
        <w:gridCol w:w="1234"/>
        <w:gridCol w:w="1234"/>
        <w:gridCol w:w="1234"/>
        <w:gridCol w:w="1234"/>
        <w:gridCol w:w="1234"/>
      </w:tblGrid>
      <w:tr w14:paraId="69F0AB8F">
        <w:tblPrEx>
          <w:tblCellMar>
            <w:top w:w="0" w:type="dxa"/>
            <w:left w:w="0" w:type="dxa"/>
            <w:bottom w:w="0" w:type="dxa"/>
            <w:right w:w="0" w:type="dxa"/>
          </w:tblCellMar>
        </w:tblPrEx>
        <w:tc>
          <w:tcPr>
            <w:tcW w:w="0" w:type="auto"/>
            <w:vAlign w:val="center"/>
          </w:tcPr>
          <w:p w14:paraId="6CEB7DA0">
            <w:pPr>
              <w:jc w:val="center"/>
              <w:rPr>
                <w:b/>
              </w:rPr>
            </w:pPr>
            <w:r>
              <w:rPr>
                <w:b/>
              </w:rPr>
              <w:t>分类</w:t>
            </w:r>
          </w:p>
        </w:tc>
        <w:tc>
          <w:tcPr>
            <w:tcW w:w="0" w:type="auto"/>
            <w:vAlign w:val="center"/>
          </w:tcPr>
          <w:p w14:paraId="11DCF8FB">
            <w:pPr>
              <w:jc w:val="center"/>
              <w:rPr>
                <w:b/>
              </w:rPr>
            </w:pPr>
            <w:r>
              <w:rPr>
                <w:b/>
              </w:rPr>
              <w:t>负载范围</w:t>
            </w:r>
          </w:p>
        </w:tc>
        <w:tc>
          <w:tcPr>
            <w:tcW w:w="0" w:type="auto"/>
            <w:vAlign w:val="center"/>
          </w:tcPr>
          <w:p w14:paraId="4BA6BC31">
            <w:pPr>
              <w:jc w:val="center"/>
              <w:rPr>
                <w:b/>
              </w:rPr>
            </w:pPr>
            <w:r>
              <w:rPr>
                <w:b/>
              </w:rPr>
              <w:t>驱动形式</w:t>
            </w:r>
          </w:p>
        </w:tc>
        <w:tc>
          <w:tcPr>
            <w:tcW w:w="0" w:type="auto"/>
            <w:vAlign w:val="center"/>
          </w:tcPr>
          <w:p w14:paraId="151E0EF0">
            <w:pPr>
              <w:jc w:val="center"/>
              <w:rPr>
                <w:b/>
              </w:rPr>
            </w:pPr>
            <w:r>
              <w:rPr>
                <w:b/>
              </w:rPr>
              <w:t>转向方式</w:t>
            </w:r>
          </w:p>
        </w:tc>
        <w:tc>
          <w:tcPr>
            <w:tcW w:w="0" w:type="auto"/>
            <w:vAlign w:val="center"/>
          </w:tcPr>
          <w:p w14:paraId="171FC5E1">
            <w:pPr>
              <w:jc w:val="center"/>
              <w:rPr>
                <w:b/>
              </w:rPr>
            </w:pPr>
            <w:r>
              <w:rPr>
                <w:b/>
              </w:rPr>
              <w:t>额定速度</w:t>
            </w:r>
          </w:p>
        </w:tc>
        <w:tc>
          <w:tcPr>
            <w:tcW w:w="0" w:type="auto"/>
            <w:vAlign w:val="center"/>
          </w:tcPr>
          <w:p w14:paraId="52104F0A">
            <w:pPr>
              <w:jc w:val="center"/>
              <w:rPr>
                <w:b/>
              </w:rPr>
            </w:pPr>
            <w:r>
              <w:rPr>
                <w:b/>
              </w:rPr>
              <w:t>最小转弯半径</w:t>
            </w:r>
          </w:p>
        </w:tc>
        <w:tc>
          <w:tcPr>
            <w:tcW w:w="0" w:type="auto"/>
            <w:vAlign w:val="center"/>
          </w:tcPr>
          <w:p w14:paraId="6637E043">
            <w:pPr>
              <w:jc w:val="center"/>
              <w:rPr>
                <w:b/>
              </w:rPr>
            </w:pPr>
            <w:r>
              <w:rPr>
                <w:b/>
              </w:rPr>
              <w:t>典型应用场景</w:t>
            </w:r>
          </w:p>
        </w:tc>
      </w:tr>
      <w:tr w14:paraId="293B8E77">
        <w:tblPrEx>
          <w:tblCellMar>
            <w:top w:w="0" w:type="dxa"/>
            <w:left w:w="0" w:type="dxa"/>
            <w:bottom w:w="0" w:type="dxa"/>
            <w:right w:w="0" w:type="dxa"/>
          </w:tblCellMar>
        </w:tblPrEx>
        <w:tc>
          <w:tcPr>
            <w:tcW w:w="0" w:type="auto"/>
            <w:vAlign w:val="center"/>
          </w:tcPr>
          <w:p w14:paraId="6C46FAF1">
            <w:r>
              <w:t>中重载型</w:t>
            </w:r>
          </w:p>
        </w:tc>
        <w:tc>
          <w:tcPr>
            <w:tcW w:w="0" w:type="auto"/>
            <w:vAlign w:val="center"/>
          </w:tcPr>
          <w:p w14:paraId="011AAFBD">
            <w:r>
              <w:t>5-8吨</w:t>
            </w:r>
          </w:p>
        </w:tc>
        <w:tc>
          <w:tcPr>
            <w:tcW w:w="0" w:type="auto"/>
            <w:vAlign w:val="center"/>
          </w:tcPr>
          <w:p w14:paraId="521754EE">
            <w:r>
              <w:t>双轮驱动（永磁同步电机）</w:t>
            </w:r>
          </w:p>
        </w:tc>
        <w:tc>
          <w:tcPr>
            <w:tcW w:w="0" w:type="auto"/>
            <w:vAlign w:val="center"/>
          </w:tcPr>
          <w:p w14:paraId="35C0D73E">
            <w:r>
              <w:t>液压助力转向</w:t>
            </w:r>
          </w:p>
        </w:tc>
        <w:tc>
          <w:tcPr>
            <w:tcW w:w="0" w:type="auto"/>
            <w:vAlign w:val="center"/>
          </w:tcPr>
          <w:p w14:paraId="75348D02">
            <w:r>
              <w:t>15-20km/h</w:t>
            </w:r>
          </w:p>
        </w:tc>
        <w:tc>
          <w:tcPr>
            <w:tcW w:w="0" w:type="auto"/>
            <w:vAlign w:val="center"/>
          </w:tcPr>
          <w:p w14:paraId="78B876FF">
            <w:r>
              <w:t>3.5-4.5m</w:t>
            </w:r>
          </w:p>
        </w:tc>
        <w:tc>
          <w:tcPr>
            <w:tcW w:w="0" w:type="auto"/>
            <w:vAlign w:val="center"/>
          </w:tcPr>
          <w:p w14:paraId="74F45383">
            <w:r>
              <w:t>仓储物流、托盘货物转运</w:t>
            </w:r>
          </w:p>
        </w:tc>
      </w:tr>
      <w:tr w14:paraId="7BD2A823">
        <w:tblPrEx>
          <w:tblCellMar>
            <w:top w:w="0" w:type="dxa"/>
            <w:left w:w="0" w:type="dxa"/>
            <w:bottom w:w="0" w:type="dxa"/>
            <w:right w:w="0" w:type="dxa"/>
          </w:tblCellMar>
        </w:tblPrEx>
        <w:tc>
          <w:tcPr>
            <w:tcW w:w="0" w:type="auto"/>
            <w:vAlign w:val="center"/>
          </w:tcPr>
          <w:p w14:paraId="038E5817">
            <w:r>
              <w:t>重载型</w:t>
            </w:r>
          </w:p>
        </w:tc>
        <w:tc>
          <w:tcPr>
            <w:tcW w:w="0" w:type="auto"/>
            <w:vAlign w:val="center"/>
          </w:tcPr>
          <w:p w14:paraId="4CAE750B">
            <w:r>
              <w:t>8-12吨</w:t>
            </w:r>
          </w:p>
        </w:tc>
        <w:tc>
          <w:tcPr>
            <w:tcW w:w="0" w:type="auto"/>
            <w:vAlign w:val="center"/>
          </w:tcPr>
          <w:p w14:paraId="5B505CBF">
            <w:r>
              <w:t>四轮驱动（双电机差速）</w:t>
            </w:r>
          </w:p>
        </w:tc>
        <w:tc>
          <w:tcPr>
            <w:tcW w:w="0" w:type="auto"/>
            <w:vAlign w:val="center"/>
          </w:tcPr>
          <w:p w14:paraId="66217C94">
            <w:r>
              <w:t>全液压转向</w:t>
            </w:r>
          </w:p>
        </w:tc>
        <w:tc>
          <w:tcPr>
            <w:tcW w:w="0" w:type="auto"/>
            <w:vAlign w:val="center"/>
          </w:tcPr>
          <w:p w14:paraId="652B1020">
            <w:r>
              <w:t>12-18km/h</w:t>
            </w:r>
          </w:p>
        </w:tc>
        <w:tc>
          <w:tcPr>
            <w:tcW w:w="0" w:type="auto"/>
            <w:vAlign w:val="center"/>
          </w:tcPr>
          <w:p w14:paraId="7CE6FE2A">
            <w:r>
              <w:t>4.5-5.5m</w:t>
            </w:r>
          </w:p>
        </w:tc>
        <w:tc>
          <w:tcPr>
            <w:tcW w:w="0" w:type="auto"/>
            <w:vAlign w:val="center"/>
          </w:tcPr>
          <w:p w14:paraId="49A95D73">
            <w:r>
              <w:t>港口码头、集装箱接驳</w:t>
            </w:r>
          </w:p>
        </w:tc>
      </w:tr>
      <w:tr w14:paraId="5404CFF9">
        <w:tc>
          <w:tcPr>
            <w:tcW w:w="0" w:type="auto"/>
            <w:vAlign w:val="center"/>
          </w:tcPr>
          <w:p w14:paraId="0E2279D4">
            <w:r>
              <w:t>超重载型</w:t>
            </w:r>
          </w:p>
        </w:tc>
        <w:tc>
          <w:tcPr>
            <w:tcW w:w="0" w:type="auto"/>
            <w:vAlign w:val="center"/>
          </w:tcPr>
          <w:p w14:paraId="5A6749BE">
            <w:r>
              <w:t>12吨以上</w:t>
            </w:r>
          </w:p>
        </w:tc>
        <w:tc>
          <w:tcPr>
            <w:tcW w:w="0" w:type="auto"/>
            <w:vAlign w:val="center"/>
          </w:tcPr>
          <w:p w14:paraId="27F8879C">
            <w:r>
              <w:t>液压马达驱动</w:t>
            </w:r>
          </w:p>
        </w:tc>
        <w:tc>
          <w:tcPr>
            <w:tcW w:w="0" w:type="auto"/>
            <w:vAlign w:val="center"/>
          </w:tcPr>
          <w:p w14:paraId="6E7BD9B6">
            <w:r>
              <w:t>多模式转向（蟹行/斜行）</w:t>
            </w:r>
          </w:p>
        </w:tc>
        <w:tc>
          <w:tcPr>
            <w:tcW w:w="0" w:type="auto"/>
            <w:vAlign w:val="center"/>
          </w:tcPr>
          <w:p w14:paraId="4118140D">
            <w:r>
              <w:t>8-15km/h</w:t>
            </w:r>
          </w:p>
        </w:tc>
        <w:tc>
          <w:tcPr>
            <w:tcW w:w="0" w:type="auto"/>
            <w:vAlign w:val="center"/>
          </w:tcPr>
          <w:p w14:paraId="24D44794">
            <w:r>
              <w:t>5.5-7.0m</w:t>
            </w:r>
          </w:p>
        </w:tc>
        <w:tc>
          <w:tcPr>
            <w:tcW w:w="0" w:type="auto"/>
            <w:vAlign w:val="center"/>
          </w:tcPr>
          <w:p w14:paraId="1EE8381D">
            <w:r>
              <w:t>重工业、大型设备搬运</w:t>
            </w:r>
          </w:p>
        </w:tc>
      </w:tr>
    </w:tbl>
    <w:p w14:paraId="4349ADC2">
      <w:pPr>
        <w:pStyle w:val="5"/>
      </w:pPr>
      <w:r>
        <w:t>核心技术参数（以8吨级重载型为例）</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53773DBC">
        <w:tblPrEx>
          <w:tblCellMar>
            <w:top w:w="0" w:type="dxa"/>
            <w:left w:w="0" w:type="dxa"/>
            <w:bottom w:w="0" w:type="dxa"/>
            <w:right w:w="0" w:type="dxa"/>
          </w:tblCellMar>
        </w:tblPrEx>
        <w:tc>
          <w:tcPr>
            <w:tcW w:w="0" w:type="auto"/>
            <w:vAlign w:val="center"/>
          </w:tcPr>
          <w:p w14:paraId="13511F4A">
            <w:pPr>
              <w:jc w:val="center"/>
              <w:rPr>
                <w:b/>
              </w:rPr>
            </w:pPr>
            <w:r>
              <w:rPr>
                <w:b/>
              </w:rPr>
              <w:t>参数项</w:t>
            </w:r>
          </w:p>
        </w:tc>
        <w:tc>
          <w:tcPr>
            <w:tcW w:w="0" w:type="auto"/>
            <w:vAlign w:val="center"/>
          </w:tcPr>
          <w:p w14:paraId="7753B904">
            <w:pPr>
              <w:jc w:val="center"/>
              <w:rPr>
                <w:b/>
              </w:rPr>
            </w:pPr>
            <w:r>
              <w:rPr>
                <w:b/>
              </w:rPr>
              <w:t>技术指标</w:t>
            </w:r>
          </w:p>
        </w:tc>
        <w:tc>
          <w:tcPr>
            <w:tcW w:w="0" w:type="auto"/>
            <w:vAlign w:val="center"/>
          </w:tcPr>
          <w:p w14:paraId="06916BE5">
            <w:pPr>
              <w:jc w:val="center"/>
              <w:rPr>
                <w:b/>
              </w:rPr>
            </w:pPr>
            <w:r>
              <w:rPr>
                <w:b/>
              </w:rPr>
              <w:t>测试条件</w:t>
            </w:r>
          </w:p>
        </w:tc>
      </w:tr>
      <w:tr w14:paraId="38FF2110">
        <w:tblPrEx>
          <w:tblCellMar>
            <w:top w:w="0" w:type="dxa"/>
            <w:left w:w="0" w:type="dxa"/>
            <w:bottom w:w="0" w:type="dxa"/>
            <w:right w:w="0" w:type="dxa"/>
          </w:tblCellMar>
        </w:tblPrEx>
        <w:tc>
          <w:tcPr>
            <w:tcW w:w="0" w:type="auto"/>
            <w:vAlign w:val="center"/>
          </w:tcPr>
          <w:p w14:paraId="32474A2D">
            <w:r>
              <w:t>最大承载能力</w:t>
            </w:r>
          </w:p>
        </w:tc>
        <w:tc>
          <w:tcPr>
            <w:tcW w:w="0" w:type="auto"/>
            <w:vAlign w:val="center"/>
          </w:tcPr>
          <w:p w14:paraId="1D4A0747">
            <w:r>
              <w:t>8吨（均匀载荷）</w:t>
            </w:r>
          </w:p>
        </w:tc>
        <w:tc>
          <w:tcPr>
            <w:tcW w:w="0" w:type="auto"/>
            <w:vAlign w:val="center"/>
          </w:tcPr>
          <w:p w14:paraId="1252B69B">
            <w:r>
              <w:t>货叉长度2.4m，载荷中心距600mm</w:t>
            </w:r>
          </w:p>
        </w:tc>
      </w:tr>
      <w:tr w14:paraId="0B9AF598">
        <w:tblPrEx>
          <w:tblCellMar>
            <w:top w:w="0" w:type="dxa"/>
            <w:left w:w="0" w:type="dxa"/>
            <w:bottom w:w="0" w:type="dxa"/>
            <w:right w:w="0" w:type="dxa"/>
          </w:tblCellMar>
        </w:tblPrEx>
        <w:tc>
          <w:tcPr>
            <w:tcW w:w="0" w:type="auto"/>
            <w:vAlign w:val="center"/>
          </w:tcPr>
          <w:p w14:paraId="7E116C4A">
            <w:r>
              <w:t>续航里程</w:t>
            </w:r>
          </w:p>
        </w:tc>
        <w:tc>
          <w:tcPr>
            <w:tcW w:w="0" w:type="auto"/>
            <w:vAlign w:val="center"/>
          </w:tcPr>
          <w:p w14:paraId="45A50DD3">
            <w:r>
              <w:t>6-8小时（满载）/10-12小时（空载）</w:t>
            </w:r>
          </w:p>
        </w:tc>
        <w:tc>
          <w:tcPr>
            <w:tcW w:w="0" w:type="auto"/>
            <w:vAlign w:val="center"/>
          </w:tcPr>
          <w:p w14:paraId="12DE47BE">
            <w:r>
              <w:t>电池容量400Ah，放电深度80%</w:t>
            </w:r>
          </w:p>
        </w:tc>
      </w:tr>
      <w:tr w14:paraId="00970557">
        <w:tc>
          <w:tcPr>
            <w:tcW w:w="0" w:type="auto"/>
            <w:vAlign w:val="center"/>
          </w:tcPr>
          <w:p w14:paraId="096FCEBC">
            <w:r>
              <w:t>起升高度</w:t>
            </w:r>
          </w:p>
        </w:tc>
        <w:tc>
          <w:tcPr>
            <w:tcW w:w="0" w:type="auto"/>
            <w:vAlign w:val="center"/>
          </w:tcPr>
          <w:p w14:paraId="744FA6B2">
            <w:r>
              <w:t>3-6m（标准门架）/6-12m（三级门架）</w:t>
            </w:r>
          </w:p>
        </w:tc>
        <w:tc>
          <w:tcPr>
            <w:tcW w:w="0" w:type="auto"/>
            <w:vAlign w:val="center"/>
          </w:tcPr>
          <w:p w14:paraId="23FE344B">
            <w:r>
              <w:t>满载起升速度0.2-0.5m/s</w:t>
            </w:r>
          </w:p>
        </w:tc>
      </w:tr>
      <w:tr w14:paraId="3FC95332">
        <w:tblPrEx>
          <w:tblCellMar>
            <w:top w:w="0" w:type="dxa"/>
            <w:left w:w="0" w:type="dxa"/>
            <w:bottom w:w="0" w:type="dxa"/>
            <w:right w:w="0" w:type="dxa"/>
          </w:tblCellMar>
        </w:tblPrEx>
        <w:tc>
          <w:tcPr>
            <w:tcW w:w="0" w:type="auto"/>
            <w:vAlign w:val="center"/>
          </w:tcPr>
          <w:p w14:paraId="502AEAA8">
            <w:r>
              <w:t>爬坡能力</w:t>
            </w:r>
          </w:p>
        </w:tc>
        <w:tc>
          <w:tcPr>
            <w:tcW w:w="0" w:type="auto"/>
            <w:vAlign w:val="center"/>
          </w:tcPr>
          <w:p w14:paraId="5EA115DD">
            <w:r>
              <w:t>15°（满载）/20°（空载）</w:t>
            </w:r>
          </w:p>
        </w:tc>
        <w:tc>
          <w:tcPr>
            <w:tcW w:w="0" w:type="auto"/>
            <w:vAlign w:val="center"/>
          </w:tcPr>
          <w:p w14:paraId="3A7FCADC">
            <w:r>
              <w:t>速度3km/h，路面附着系数≥0.8</w:t>
            </w:r>
          </w:p>
        </w:tc>
      </w:tr>
      <w:tr w14:paraId="7F565EE9">
        <w:tblPrEx>
          <w:tblCellMar>
            <w:top w:w="0" w:type="dxa"/>
            <w:left w:w="0" w:type="dxa"/>
            <w:bottom w:w="0" w:type="dxa"/>
            <w:right w:w="0" w:type="dxa"/>
          </w:tblCellMar>
        </w:tblPrEx>
        <w:tc>
          <w:tcPr>
            <w:tcW w:w="0" w:type="auto"/>
            <w:vAlign w:val="center"/>
          </w:tcPr>
          <w:p w14:paraId="111BB892">
            <w:r>
              <w:t>制动距离</w:t>
            </w:r>
          </w:p>
        </w:tc>
        <w:tc>
          <w:tcPr>
            <w:tcW w:w="0" w:type="auto"/>
            <w:vAlign w:val="center"/>
          </w:tcPr>
          <w:p w14:paraId="7596AA35">
            <w:r>
              <w:t>≤5m（满载，速度10km/h）</w:t>
            </w:r>
          </w:p>
        </w:tc>
        <w:tc>
          <w:tcPr>
            <w:tcW w:w="0" w:type="auto"/>
            <w:vAlign w:val="center"/>
          </w:tcPr>
          <w:p w14:paraId="4C08DBCD">
            <w:r>
              <w:t>制动方式：电制动+液压盘式制动</w:t>
            </w:r>
          </w:p>
        </w:tc>
      </w:tr>
      <w:tr w14:paraId="11314E40">
        <w:tblPrEx>
          <w:tblCellMar>
            <w:top w:w="0" w:type="dxa"/>
            <w:left w:w="0" w:type="dxa"/>
            <w:bottom w:w="0" w:type="dxa"/>
            <w:right w:w="0" w:type="dxa"/>
          </w:tblCellMar>
        </w:tblPrEx>
        <w:tc>
          <w:tcPr>
            <w:tcW w:w="0" w:type="auto"/>
            <w:vAlign w:val="center"/>
          </w:tcPr>
          <w:p w14:paraId="31DD58FF">
            <w:r>
              <w:t>电池充电时间</w:t>
            </w:r>
          </w:p>
        </w:tc>
        <w:tc>
          <w:tcPr>
            <w:tcW w:w="0" w:type="auto"/>
            <w:vAlign w:val="center"/>
          </w:tcPr>
          <w:p w14:paraId="13398A22">
            <w:r>
              <w:t>1.5h（快充）/8h（慢充）</w:t>
            </w:r>
          </w:p>
        </w:tc>
        <w:tc>
          <w:tcPr>
            <w:tcW w:w="0" w:type="auto"/>
            <w:vAlign w:val="center"/>
          </w:tcPr>
          <w:p w14:paraId="6945EFB9">
            <w:r>
              <w:t>快充功率80kW，慢充功率10kW</w:t>
            </w:r>
          </w:p>
        </w:tc>
      </w:tr>
    </w:tbl>
    <w:p w14:paraId="3EFC7457">
      <w:pPr>
        <w:pStyle w:val="4"/>
      </w:pPr>
      <w:r>
        <w:t>1.3 手册使用说明与安全警示</w:t>
      </w:r>
    </w:p>
    <w:p w14:paraId="2116CD08">
      <w:pPr>
        <w:pStyle w:val="5"/>
      </w:pPr>
      <w:r>
        <w:t>手册使用对象与方法</w:t>
      </w:r>
    </w:p>
    <w:p w14:paraId="2D824E47">
      <w:r>
        <w:t>本手册供设备工程师、维护技术人员使用，需具备电气控制（PLC编程、传感器调试）、机械传动（齿轮箱维护、液压系统调试）基础知识。不同场景重点阅读章节：</w:t>
      </w:r>
    </w:p>
    <w:p w14:paraId="02D83AEF">
      <w:pPr>
        <w:numPr>
          <w:ilvl w:val="0"/>
          <w:numId w:val="13"/>
        </w:numPr>
        <w:spacing w:before="0" w:beforeAutospacing="1" w:after="0" w:afterAutospacing="1"/>
        <w:ind w:left="720" w:hanging="360"/>
      </w:pPr>
      <w:r>
        <w:rPr>
          <w:b/>
        </w:rPr>
        <w:t>安装调试</w:t>
      </w:r>
      <w:r>
        <w:t>：重点阅读第二章（结构组成）、第四章（控制系统），需配合制造商提供的装配图（如门架安装垂直度公差±1mm/m）、电气原理图（I/O地址分配表）；</w:t>
      </w:r>
    </w:p>
    <w:p w14:paraId="28D160F5">
      <w:pPr>
        <w:numPr>
          <w:ilvl w:val="0"/>
          <w:numId w:val="13"/>
        </w:numPr>
        <w:spacing w:before="0" w:beforeAutospacing="1" w:after="0" w:afterAutospacing="1"/>
        <w:ind w:left="720" w:hanging="360"/>
      </w:pPr>
      <w:r>
        <w:rPr>
          <w:b/>
        </w:rPr>
        <w:t>日常操作</w:t>
      </w:r>
      <w:r>
        <w:t>：参考第四章（控制流程），熟悉HMI界面操作（速度设定、属具切换）及安全联锁条件（如“未系安全带禁止启动”）；</w:t>
      </w:r>
    </w:p>
    <w:p w14:paraId="0AEEA550">
      <w:pPr>
        <w:numPr>
          <w:ilvl w:val="0"/>
          <w:numId w:val="13"/>
        </w:numPr>
        <w:spacing w:before="0" w:beforeAutospacing="1" w:after="0" w:afterAutospacing="1"/>
        <w:ind w:left="720" w:hanging="360"/>
      </w:pPr>
      <w:r>
        <w:rPr>
          <w:b/>
        </w:rPr>
        <w:t>故障处理</w:t>
      </w:r>
      <w:r>
        <w:t>：查阅第五章（故障诊断），根据故障现象（如“行驶跑偏”）定位成因，按步骤执行排除对策（如“调整转向拉杆长度至前束值±2mm”）。</w:t>
      </w:r>
    </w:p>
    <w:p w14:paraId="6E8D8D3E">
      <w:r>
        <w:t>建议建立“设备运行档案”，记录每日运行时长、充电次数、故障代码等数据，每月生成性能分析报告，优化维护策略。</w:t>
      </w:r>
    </w:p>
    <w:p w14:paraId="02514C1F">
      <w:pPr>
        <w:pStyle w:val="5"/>
      </w:pPr>
      <w:r>
        <w:t>安全警示</w:t>
      </w:r>
    </w:p>
    <w:p w14:paraId="763100C5">
      <w:r>
        <w:t>⚠️</w:t>
      </w:r>
      <w:r>
        <w:rPr>
          <w:b/>
        </w:rPr>
        <w:t>电气安全</w:t>
      </w:r>
      <w:r>
        <w:t>：动力系统采用80-120V高压电，维护前必须执行“上锁挂牌”程序：切断主电源（悬挂“禁止合闸”警示牌）、验电确认（使用1000V绝缘手套）、放电处理（电容放电≥5分钟）。电池舱接地电阻≤4Ω，动力电缆（YJV-0.6/1kV，截面16-50mm²）与控制电缆（RVVP屏蔽线）分层敷设（间距≥150mm），避免电磁干扰导致传感器信号漂移（偏差＞±3%）。</w:t>
      </w:r>
    </w:p>
    <w:p w14:paraId="5F561198">
      <w:r>
        <w:t>⚠️</w:t>
      </w:r>
      <w:r>
        <w:rPr>
          <w:b/>
        </w:rPr>
        <w:t>机械操作安全</w:t>
      </w:r>
      <w:r>
        <w:t>：叉车作业区域设置黄色警示线（宽度100mm），行人与设备保持≥2m安全距离。重载转运时必须确认货物重心与货叉中心重合（偏心距≤300mm），使用专用夹具固定（夹紧力≥货物重量的1.5倍），禁止超载运行（最大负载不得超过额定值的110%）。起升高度＞2m时，开启门架前倾缓冲功能（速度≤0.5m/s），防止货物晃动坠落。</w:t>
      </w:r>
    </w:p>
    <w:p w14:paraId="1265E1B3">
      <w:r>
        <w:t>⚠️</w:t>
      </w:r>
      <w:r>
        <w:rPr>
          <w:b/>
        </w:rPr>
        <w:t>环境安全</w:t>
      </w:r>
      <w:r>
        <w:t>：锂电池存储温度控制在0-45℃，避免阳光直射或靠近热源（距离≥1m）。充电区域配备七氟丙烷灭火器（灭火浓度8%），电池发生热失控时（壳体温度＞80℃），立即启动应急预案：人员撤离→使用灭火毯覆盖→启动通风系统（换气量≥10次/小时）。</w:t>
      </w:r>
    </w:p>
    <w:p w14:paraId="34F03999">
      <w:pPr>
        <w:pStyle w:val="3"/>
      </w:pPr>
      <w:r>
        <w:t>二、结构组成与功能特性</w:t>
      </w:r>
    </w:p>
    <w:p w14:paraId="56152C65">
      <w:pPr>
        <w:pStyle w:val="4"/>
      </w:pPr>
      <w:r>
        <w:t>2.1 动力系统</w:t>
      </w:r>
    </w:p>
    <w:p w14:paraId="13B470C4">
      <w:pPr>
        <w:pStyle w:val="5"/>
      </w:pPr>
      <w:r>
        <w:t>2.1.1 锂电池组</w:t>
      </w:r>
    </w:p>
    <w:p w14:paraId="28DAC1CA">
      <w:r>
        <w:t>核心配置采用磷酸铁锂电池（部分高端车型选用三元锂电池），电压等级80V/96V/120V，容量200-500Ah，典型循环寿命≥2000次（80%放电深度）。以10吨级叉车为例，配备双电池箱体（大箱体容量300Ah，小箱体100Ah），总能量36kWh，满载工况下续航能力达6-8小时。电池组通过电池管理系统（BMS）实现智能化管理，实时监测单体电压（精度±5mV）、温度（-20~55℃）及SOC（荷电状态，误差≤3%），具备多重保护功能：过充保护（单体电压＞3.65V时切断充电）、过放保护（＜2.5V时限制放电）、过流保护（放电电流＞2C时触发限流）、均衡保护（单体压差＞0.3V时启动主动均衡）。电池箱体采用IP65防护设计，通过灌胶密封（环氧树脂，厚度5mm）和达克罗螺栓（盐雾腐蚀≥1000小时）适应潮湿、粉尘环境，确保在-30~60℃温度范围内稳定工作。</w:t>
      </w:r>
    </w:p>
    <w:p w14:paraId="7A11FE84">
      <w:pPr>
        <w:pStyle w:val="5"/>
      </w:pPr>
      <w:r>
        <w:t>2.1.2 驱动电机</w:t>
      </w:r>
    </w:p>
    <w:p w14:paraId="61B6FE67">
      <w:r>
        <w:t>主流配置永磁同步电机（PMSM），功率范围15-50kW，额定转速1500-3000r/min，效率≥94%（IE4能效等级），峰值扭矩300-5000N·m。电机采用水冷或强制风冷冷却：水冷系统流量≥2L/min，进出口温差≤10℃；风冷系统风量≥2m³/min，确保绕组温度≤155℃（F级绝缘）。电机控制器（MCU）采用矢量控制技术，开关频率10-20kHz，电流环响应时间≤1ms，支持扭矩、速度、位置三种控制模式。典型参数：22kW电机额定电流180A，峰值电流360A（持续3秒），转速控制精度±0.5%额定转速，具备过载（120%额定负载60秒保护）、堵转（5秒保护）等完善保护功能。电机与变速箱通过花键联轴器连接，同轴度要求≤0.1mm，径向跳动≤0.05mm，确保动力传递平稳。</w:t>
      </w:r>
    </w:p>
    <w:p w14:paraId="1AEA85BA">
      <w:pPr>
        <w:pStyle w:val="4"/>
      </w:pPr>
      <w:r>
        <w:t>2.2 传动系统</w:t>
      </w:r>
    </w:p>
    <w:p w14:paraId="08929234">
      <w:pPr>
        <w:pStyle w:val="5"/>
      </w:pPr>
      <w:r>
        <w:t>2.2.1 变速箱与驱动桥</w:t>
      </w:r>
    </w:p>
    <w:p w14:paraId="27D25472">
      <w:r>
        <w:t>根据负载能力采用不同传动形式：中重载型（5-8吨）多配置行星齿轮减速器，速比3.5:1-6:1，齿轮模数3-5mm，齿面渗碳淬火（HRC58-62），啮合间隙0.15-0.3mm，传动效率≥92%；超重载型（12吨以上）采用液力变矩器+动力换挡变速箱组合，液力变矩器通过油液传递动力，实现过载保护（变矩系数3-5），变速箱为3-4档结构，换挡响应时间≤0.5秒。驱动桥为整体式铸造结构（材质QT500-7），内置差速器（允许左右轮转速差≤30%）和轮边减速器（单级或双级齿轮传动），桥壳挠度控制在≤L/1500（L为轴距）。驱动桥承载能力≥15吨/轮，通过100万次疲劳测试（加载1.2倍额定载荷）无裂纹，确保在崎岖路面长期工作可靠性。</w:t>
      </w:r>
    </w:p>
    <w:p w14:paraId="2697402C">
      <w:pPr>
        <w:pStyle w:val="5"/>
      </w:pPr>
      <w:r>
        <w:t>2.2.2 传动链与车轮</w:t>
      </w:r>
    </w:p>
    <w:p w14:paraId="4194F02C">
      <w:r>
        <w:t>传动链由万向节总成、传动轴、驱动轮组成：万向节为十字轴式，轴承型号32210，允许最大折角30°，每1000小时加注锂基润滑脂（NLGI 2级）；传动轴采用无缝钢管（直径50-80mm，壁厚5-8mm），两端焊接法兰，动平衡精度≤5g·cm。驱动轮配置实心轮胎（直径600-800mm，宽度200-300mm），材质为天然橡胶+丁苯橡胶（邵氏硬度85±5A），胎面花纹深度≥10mm，耐磨性能≥5000小时/花纹深度1mm。轮毂装配双列圆锥滚子轴承（型号32215），游隙0.05-0.1mm，轴承座采用铸铁材质（HT300），通过螺栓（M20×80mm，扭矩500±50N·m）固定于驱动桥。</w:t>
      </w:r>
    </w:p>
    <w:p w14:paraId="6784FCC7">
      <w:pPr>
        <w:pStyle w:val="4"/>
      </w:pPr>
      <w:r>
        <w:t>2.3 转向与制动系统</w:t>
      </w:r>
    </w:p>
    <w:p w14:paraId="28C10EB2">
      <w:pPr>
        <w:pStyle w:val="5"/>
      </w:pPr>
      <w:r>
        <w:t>2.3.1 转向系统</w:t>
      </w:r>
    </w:p>
    <w:p w14:paraId="69923FAB">
      <w:r>
        <w:t>采用液压助力转向，主要由转向泵、转向油缸、转向控制阀组成。转向泵为齿轮泵（排量10-20mL/r），工作压力8-12MPa，流量20-40L/min；转向油缸缸径50-80mm，行程150-300mm，活塞杆镀铬（厚度0.05mm），密封件为聚氨酯材质（耐温-40~120℃）；转向控制阀为中位卸荷式，确保转向盘中位时系统卸荷（压力≤1MPa）。转向角范围±80°，最小转弯半径3.5-7.0m（根据轴距调整），转向力≤150N（方向盘操作力）。转向系统配置转向限位阀，防止转向过度导致油管爆裂；转向角传感器（非接触式，量程±90°，精度±0.5°）实时反馈转向角度，实现闭环控制。转向桥为焊接钢结构，连接前桥与车架，转向节通过主销与车轮连接，配合推力轴承实现360°转动，转向轮偏摆量≤2mm/m，确保直线行驶稳定性。</w:t>
      </w:r>
    </w:p>
    <w:p w14:paraId="757239BB">
      <w:pPr>
        <w:pStyle w:val="5"/>
      </w:pPr>
      <w:r>
        <w:t>2.3.2 制动系统</w:t>
      </w:r>
    </w:p>
    <w:p w14:paraId="789EFE28">
      <w:r>
        <w:t>行车制动为液压盘式制动，制动盘直径200-400mm（厚度15-30mm），材质45#钢，表面淬火（HRC45-50），端面跳动≤0.1mm。刹车片采用陶瓷摩擦材料（摩擦系数0.4-0.5），厚度10-15mm，磨损极限3mm。制动系统为双回路设计（前桥、后桥独立），工作压力10-15MPa，通过制动总泵（串联式）和制动分泵（单活塞或双活塞）驱动刹车片夹紧制动盘。制动距离：满载10km/h车速下≤5m，30km/h车速下≤15m。驻车制动为电磁鼓式制动器，安装于驱动电机输出轴端，制动力矩≥1.5倍额定扭矩（如22kW电机对应驻车扭矩≥330N·m），确保车辆在15°坡道驻车无滑移。制动系统配备压力传感器（0-30MPa，精度±1%FS）和温度传感器（-40-200℃），实时监测制动状态，异常时通过HMI报警。</w:t>
      </w:r>
    </w:p>
    <w:p w14:paraId="3498D06E">
      <w:pPr>
        <w:pStyle w:val="4"/>
      </w:pPr>
      <w:r>
        <w:t>2.4 工作装置</w:t>
      </w:r>
    </w:p>
    <w:p w14:paraId="0E83903F">
      <w:pPr>
        <w:pStyle w:val="5"/>
      </w:pPr>
      <w:r>
        <w:t>2.4.1 门架系统</w:t>
      </w:r>
    </w:p>
    <w:p w14:paraId="020E0936">
      <w:r>
        <w:t>门架为三级或四级伸缩结构，材质Q355B低合金高强度钢，内外门架通过滚轮导向（轴承型号6204ZZ），滚轮间距500-800mm，确保起升平稳。起升高度3-12m，标准门架（3-6m）起升速度：空载0.5-0.8m/s，满载0.2-0.5m/s；高位门架（6-12m）起升速度：空载0.4-0.6m/s，满载0.15-0.3m/s。门架前倾/后仰角度3-6°（前倾用于卸货，后仰用于承载稳定），通过倾斜油缸实现动作，油缸工作压力16-20MPa，配置防爆阀（开启压力25MPa）防止油管破裂导致货叉坠落。门架立柱垂直度偏差≤1mm/m，满载工况下挠度≤L/2000（L为门架高度），确保起升货物无晃动。</w:t>
      </w:r>
    </w:p>
    <w:p w14:paraId="6C600B0C">
      <w:pPr>
        <w:pStyle w:val="5"/>
      </w:pPr>
      <w:r>
        <w:t>2.4.2 货叉与属具</w:t>
      </w:r>
    </w:p>
    <w:p w14:paraId="7E585182">
      <w:r>
        <w:t>标准货叉长度1.2-2.4m（根据托盘尺寸定制），材质40Cr合金结构钢，截面尺寸120×50mm，弯曲变形量≤L/1000（L为货叉长度），额定承载能力≥1.2倍叉车额定负载。货叉通过货叉架与门架连接，货叉架上设有调节孔（间距50mm），可根据货物宽度调整货叉间距。可选配多种属具：侧移器（横向调节±100mm，工作压力16MPa）、旋转器（360°旋转，角度控制精度±1°）、抱夹（用于非托盘货物，夹紧力0-50kN可调）、推出器（用于集装箱卸货，行程1.5-3m）。属具动作通过多路换向阀控制，响应时间≤3秒，与门架动作可联动操作（如起升同时侧移）。</w:t>
      </w:r>
    </w:p>
    <w:p w14:paraId="6346FB83">
      <w:pPr>
        <w:pStyle w:val="4"/>
      </w:pPr>
      <w:r>
        <w:t>2.5 电气控制系统</w:t>
      </w:r>
    </w:p>
    <w:p w14:paraId="327C1C3D">
      <w:pPr>
        <w:pStyle w:val="5"/>
      </w:pPr>
      <w:r>
        <w:t>2.5.1 控制单元与传感器</w:t>
      </w:r>
    </w:p>
    <w:p w14:paraId="0EC06BA7">
      <w:r>
        <w:t>整车控制器（VCU）采用PLC（如西门子S7-1214C或汇川H3U），处理速度≥0.1μs/指令，支持CANopen、Modbus TCP/IP通讯协议，实现动力分配、行走/起升逻辑控制及故障诊断。电机控制器（MCU）独立控制驱动电机和液压泵电机，通过CAN总线与VCU通讯（周期≤10ms）。关键传感器配置：</w:t>
      </w:r>
    </w:p>
    <w:p w14:paraId="760B80EA">
      <w:pPr>
        <w:numPr>
          <w:ilvl w:val="0"/>
          <w:numId w:val="14"/>
        </w:numPr>
        <w:spacing w:before="0" w:beforeAutospacing="1" w:after="0" w:afterAutospacing="1"/>
        <w:ind w:left="720" w:hanging="360"/>
      </w:pPr>
      <w:r>
        <w:t>速度传感器：驱动轮编码器（1024线增量式，分辨率0.01°），用于速度闭环控制；</w:t>
      </w:r>
    </w:p>
    <w:p w14:paraId="28286BD8">
      <w:pPr>
        <w:numPr>
          <w:ilvl w:val="0"/>
          <w:numId w:val="14"/>
        </w:numPr>
        <w:spacing w:before="0" w:beforeAutospacing="1" w:after="0" w:afterAutospacing="1"/>
        <w:ind w:left="720" w:hanging="360"/>
      </w:pPr>
      <w:r>
        <w:t>转向角传感器：非接触式（量程±90°，精度±0.5°），反馈转向轮位置；</w:t>
      </w:r>
    </w:p>
    <w:p w14:paraId="217BAFBB">
      <w:pPr>
        <w:numPr>
          <w:ilvl w:val="0"/>
          <w:numId w:val="14"/>
        </w:numPr>
        <w:spacing w:before="0" w:beforeAutospacing="1" w:after="0" w:afterAutospacing="1"/>
        <w:ind w:left="720" w:hanging="360"/>
      </w:pPr>
      <w:r>
        <w:t>起升高度传感器：拉线编码器（量程0-12m，精度±1mm），实现高度限位保护；</w:t>
      </w:r>
    </w:p>
    <w:p w14:paraId="5739960E">
      <w:pPr>
        <w:numPr>
          <w:ilvl w:val="0"/>
          <w:numId w:val="14"/>
        </w:numPr>
        <w:spacing w:before="0" w:beforeAutospacing="1" w:after="0" w:afterAutospacing="1"/>
        <w:ind w:left="720" w:hanging="360"/>
      </w:pPr>
      <w:r>
        <w:t>压力传感器：液压系统压力（0-30MPa）、制动系统压力（0-20MPa），监测系统压力状态；</w:t>
      </w:r>
    </w:p>
    <w:p w14:paraId="1B1E0268">
      <w:pPr>
        <w:numPr>
          <w:ilvl w:val="0"/>
          <w:numId w:val="14"/>
        </w:numPr>
        <w:spacing w:before="0" w:beforeAutospacing="1" w:after="0" w:afterAutospacing="1"/>
        <w:ind w:left="720" w:hanging="360"/>
      </w:pPr>
      <w:r>
        <w:t>安全传感器：激光防撞雷达（检测距离0.1-5m）、座椅压力开关（未落座禁止启动）、货叉超载传感器（精度±1%FS）。</w:t>
      </w:r>
    </w:p>
    <w:p w14:paraId="2E635084">
      <w:r>
        <w:t>传感器信号通过双绞屏蔽电缆传输（接地电阻≤1Ω），抗干扰能力强（噪声≤50mV）。</w:t>
      </w:r>
    </w:p>
    <w:p w14:paraId="62BD376F">
      <w:pPr>
        <w:pStyle w:val="5"/>
      </w:pPr>
      <w:r>
        <w:t>2.5.2 人机交互与辅助系统</w:t>
      </w:r>
    </w:p>
    <w:p w14:paraId="48D7A3BC">
      <w:r>
        <w:t>人机交互界面（HMI）为7-10英寸彩色触摸屏（分辨率800×480），显示车辆状态信息：车速、电池SOC、起升高度、故障代码等，支持参数设置（如最高速度限制、门架动作速度）和维护记录查询。操作装置包括：多功能手柄（集成方向、起升、属具控制）、脚踏板（加速、制动）、急停按钮（红色蘑菇头，安装高度1.3m）。辅助系统：LED工作灯（前大灯功率30W，照度≥50lux@10m；转向灯闪烁频率1Hz）、倒车雷达（探测距离0.5-3m，蜂鸣器音量≥85dB）、GPS定位模块（实时上传车辆位置、运行轨迹）。部分高端车型配备车载诊断系统（OBD），可通过蓝牙连接手机APP，实现远程故障诊断和维护提醒。</w:t>
      </w:r>
    </w:p>
    <w:p w14:paraId="1EE162ED">
      <w:pPr>
        <w:pStyle w:val="4"/>
      </w:pPr>
      <w:r>
        <w:t>2.6 车架与平衡重</w:t>
      </w:r>
    </w:p>
    <w:p w14:paraId="4C8AF667">
      <w:r>
        <w:t>车架采用箱型焊接结构（材质Q345B），主梁截面尺寸300×200-500×300mm（根据吨位调整），焊接后去应力退火（600-650℃保温2小时），满载工况下挠度≤L/2000（L为主梁跨度）。车架前部连接驱动桥和转向桥，后部安装平衡重，通过螺栓（M20×100mm，扭矩80±10N·m）固定。平衡重为铸铁（HT250）或混凝土配重（外包钢板），重量3-8吨（根据叉车额定负载调整，通常为负载的50-70%），重心与车架中轴线偏差≤5mm，确保叉车在额定载荷下的稳定性（静态稳定性系数≥1.2）。车架底部安装缓冲块（聚氨酯材质，厚度50mm），吸收行驶过程中的冲击能量（冲击加速度≤5g）。</w:t>
      </w:r>
    </w:p>
    <w:p w14:paraId="16BE2F6D">
      <w:pPr>
        <w:pStyle w:val="3"/>
      </w:pPr>
      <w:r>
        <w:t>三、机械工作原理</w:t>
      </w:r>
    </w:p>
    <w:p w14:paraId="03348716">
      <w:pPr>
        <w:pStyle w:val="4"/>
      </w:pPr>
      <w:r>
        <w:t>3.1 动力传递流程</w:t>
      </w:r>
    </w:p>
    <w:p w14:paraId="54E42A55">
      <w:r>
        <w:t>锂电重式平衡叉车的动力传递分为机械传动和液压传动两条路径。机械传动路径：锂电池组输出直流电，经电机控制器（MCU）逆变为三相交流电驱动驱动电机旋转，电机输出扭矩通过花键联轴器传递至变速箱，经齿轮减速（行星齿轮或液力变矩器）后，由传动轴和万向节总成将动力分配至驱动轮，实现车辆行驶。液压传动路径：另一路直流电驱动液压泵电机，带动齿轮泵或柱塞泵旋转，将机械能转化为液压能，液压油经多路换向阀分配至转向油缸、起升油缸、倾斜油缸和属具油缸，驱动转向、门架升降、货叉倾翻及属具动作。</w:t>
      </w:r>
    </w:p>
    <w:p w14:paraId="545A137A">
      <w:r>
        <w:t>动力匹配原理：VCU根据负载传感器信号（如货叉重量）和操作指令（加速踏板行程、起升按钮信号），动态调整驱动电机和液压泵电机的输出功率。例如满载起升时，VCU优先保证起升电机功率（限制行驶电机输出至50%额定功率），确保起升动作优先；行驶过程中，根据转向角大小自动调整两侧驱动轮转速（转向角＞80°时降速至5km/h），实现平稳转向。动力传递效率：机械传动效率≥90%，液压传动效率≥85%（不计管路损失），综合动力利用率≥80%（优于内燃叉车的30-40%）。</w:t>
      </w:r>
    </w:p>
    <w:p w14:paraId="10FFC502">
      <w:pPr>
        <w:pStyle w:val="4"/>
      </w:pPr>
      <w:r>
        <w:t>3.2 传动系统工作机制</w:t>
      </w:r>
    </w:p>
    <w:p w14:paraId="6769D1F3">
      <w:r>
        <w:t>机械传动系统中，行星齿轮变速箱的工作原理：太阳轮与电机输出轴连接，行星轮安装于行星架（与输出轴连接），齿圈固定或制动。当齿圈制动时，太阳轮驱动行星轮绕齿圈公转，行星架输出减速扭矩（速比=1+齿圈齿数/太阳轮齿数）；当齿圈解锁时，可实现空挡或不同速比切换。液力变矩器通过泵轮、涡轮和导轮传递动力：泵轮与发动机连接，涡轮与变速箱输入轴连接，导轮固定在壳体上。工作时，泵轮带动液压油高速旋转，冲击涡轮使其转动，导轮通过改变油液流向实现增矩（变矩系数3-5），在车辆起步和重载时提供更大扭矩。</w:t>
      </w:r>
    </w:p>
    <w:p w14:paraId="5C2262F6">
      <w:r>
        <w:t>液压传动系统采用双泵独立控制：前泵（排量10-20mL/r）驱动起升油缸和倾斜油缸，后泵（排量10mL/r）驱动转向油缸和属具油缸，通过压力补偿阀实现流量优先分配（起升动作优先于转向）。多路换向阀为滑阀式结构，阀芯通过电磁线圈或手动拉杆控制，中位时液压油直接回油箱（卸荷），工作位时压力油进入对应油缸。例如起升动作：按下“上升”按钮，电磁线圈通电使阀芯右移，液压油从P口→A口进入起升油缸下腔，推动活塞杆伸出，门架上升；松开按钮，阀芯复位，油缸下腔通过单向阀保压，门架停止在当前位置。</w:t>
      </w:r>
    </w:p>
    <w:p w14:paraId="19031648">
      <w:pPr>
        <w:pStyle w:val="4"/>
      </w:pPr>
      <w:r>
        <w:t>3.3 转向与制动原理</w:t>
      </w:r>
    </w:p>
    <w:p w14:paraId="31EEED79">
      <w:r>
        <w:t>液压助力转向原理：转动方向盘时，转向控制阀阀芯偏离中位，液压泵输出的高压油经阀芯进入转向油缸左腔或右腔，推动活塞杆伸缩，带动转向节和转向轮偏转。转向助力大小与方向盘转速成正比（转速越高，助力越大），通过流量控制阀调节（最大流量20L/min）。转向限位阀安装在转向油缸两端，当转向角达到±80°时，限位阀切断油路，防止转向过度。阿克曼转向几何设计：转向时内侧转向轮偏转角θ₁大于外侧轮偏转角θ₂，满足cotθ₂-cotθ₁=B/L（B为轮距，L为轴距），确保所有车轮绕同一转向中心滚动，减少轮胎磨损。</w:t>
      </w:r>
    </w:p>
    <w:p w14:paraId="32BA7AF1">
      <w:r>
        <w:t>制动系统工作原理：行车制动时，踩下制动踏板，制动总泵活塞推动液压油进入制动分泵，分泵活塞带动刹车片夹紧制动盘，产生摩擦力矩使车辆减速。同时，VCU检测制动踏板行程（0-100%），当行程＜30%时，仅通过驱动电机再生制动提供制动力（电机切换为发电机模式，将动能转化为电能回馈至电池）；行程30-70%时，再生制动与机械制动协同工作；行程＞70%时，机械制动为主，再生制动辅助。驻车制动时，按下驻车按钮，电磁线圈通电吸合制动蹄片，抱紧制动鼓实现驻车；断电时，弹簧力推动蹄片复位，解除制动。制动能量回收效率15-25%，可增加续航里程5-10%。</w:t>
      </w:r>
    </w:p>
    <w:p w14:paraId="5928682B">
      <w:pPr>
        <w:pStyle w:val="4"/>
      </w:pPr>
      <w:r>
        <w:t>3.4 工作装置动作原理</w:t>
      </w:r>
    </w:p>
    <w:p w14:paraId="2CB0B666">
      <w:r>
        <w:t>门架升降动作：起升油缸安装于门架内侧，活塞杆顶部连接链轮，链条一端固定在门架横梁，另一端连接货叉架。当油缸活塞杆伸出时，带动链轮上升，链条拉动货叉架沿门架导轨向上移动，实现货叉起升；活塞杆缩回时，货叉架在自重作用下下降。为提高起升稳定性，门架两侧各安装2-4组导向滚轮（轴承型号6204ZZ），滚轮与门架立柱间隙0.5-1mm，确保货叉架垂直运动（偏摆量≤2mm/m）。起升高度通过拉线编码器实时监测，达到设定高度时（如6m），VCU切断起升油缸供油，触发限位报警。</w:t>
      </w:r>
    </w:p>
    <w:p w14:paraId="04700599">
      <w:r>
        <w:t>货叉倾翻动作：倾斜油缸一端铰接在车架，另一端铰接在门架底部，通过活塞杆伸缩带动门架绕铰轴转动，实现货叉前倾或后仰。前倾角度3-5°（用于卸货时使货物滑向托盘），后仰角度5-6°（用于承载时防止货物滑落）。倾斜油缸配置双向液压锁，当多路阀中位时，液压锁关闭油缸进出油路，防止货叉自动倾翻（沉降量≤10mm/小时）。倾翻速度通过流量控制阀调节（前倾速度≤0.5°/s，后仰速度≤0.3°/s），避免动作过快导致货物晃动。</w:t>
      </w:r>
    </w:p>
    <w:p w14:paraId="758D0885">
      <w:pPr>
        <w:pStyle w:val="3"/>
      </w:pPr>
      <w:r>
        <w:t>四、控制系统原理</w:t>
      </w:r>
    </w:p>
    <w:p w14:paraId="573BD77C">
      <w:pPr>
        <w:pStyle w:val="4"/>
      </w:pPr>
      <w:r>
        <w:t>4.1 控制系统架构</w:t>
      </w:r>
    </w:p>
    <w:p w14:paraId="7CADC5F5">
      <w:r>
        <w:t>锂电重式平衡叉车的控制系统采用三层架构：管理层、控制层和执行层。管理层为上位机系统（可选配），通过工业以太网与叉车控制系统通讯，实现车队管理、任务调度和数据分析（如运行效率、能耗统计），支持与WMS/MES系统对接（数据更新周期30秒）。控制层以整车控制器（VCU）为核心，接收管理层指令和传感器信号，通过CAN总线（传输速率500kbps）向执行层发送控制指令。执行层包括电机控制器（MCU）、液压阀组、传感器和执行元件，执行具体动作并反馈状态信息。</w:t>
      </w:r>
    </w:p>
    <w:p w14:paraId="29440CCC">
      <w:r>
        <w:t>通讯网络采用“工业以太网+CAN总线”混合架构：管理层与控制层通过光纤环网连接（传输速率1000Mbps，冗余设计，切换时间＜50ms）；控制层与执行层通过CANopen总线连接（周期10-100ms），确保实时性要求。移动设备（如叉车）配备无线AP（覆盖半径50m，漫游切换时间＜50ms），实现与上位机的无线通讯（数据丢包率＜0.1%）。</w:t>
      </w:r>
    </w:p>
    <w:p w14:paraId="4491D24A">
      <w:pPr>
        <w:pStyle w:val="4"/>
      </w:pPr>
      <w:r>
        <w:t>4.2 电气系统组成</w:t>
      </w:r>
    </w:p>
    <w:p w14:paraId="1F0151E5">
      <w:r>
        <w:t>电气系统分为动力回路、控制回路和安全回路。动力回路：锂电池组（80-120V）→主接触器（额定电流250-500A）→电机控制器（MCU）→驱动电机/液压泵电机，承载大电流（50-500A），采用铜排（截面积10-50mm²）或高压电缆（YJV-0.6/1kV，截面16-70mm²）连接，配置熔断器（额定电流1.5倍最大工作电流）和浪涌保护器（Imax=40kA）。控制回路：DC/DC转换器（输入80-120V，输出24V/12V，功率1-5kW，纹波≤50mV）为PLC、传感器、继电器等低压部件供电，控制信号采用RVVP双绞屏蔽电缆（截面0.75-1.5mm²），屏蔽层单端接地（接地电阻≤1Ω）。安全回路：独立于控制回路的安全继电器系统（PILZ PNOZ X系列，安全等级PLd），串联急停按钮、安全光幕、限位开关等安全装置，当任一装置触发时，立即切断执行元件电源（响应时间≤100ms）。</w:t>
      </w:r>
    </w:p>
    <w:p w14:paraId="15B4B0FE">
      <w:r>
        <w:t>电气元件安装防护：控制器、接触器等安装在驾驶室后部的电气箱内（IP54防护），电机、传感器等安装在车体外部的元件防护等级≥IP65，确保在粉尘、喷淋环境下可靠工作。电缆敷设：动力电缆与控制电缆分层穿管（间距≥150mm），弯曲半径≥10倍电缆直径，避免机械损伤和电磁干扰。</w:t>
      </w:r>
    </w:p>
    <w:p w14:paraId="721D709A">
      <w:pPr>
        <w:pStyle w:val="4"/>
      </w:pPr>
      <w:r>
        <w:t>4.3 控制流程与逻辑</w:t>
      </w:r>
    </w:p>
    <w:p w14:paraId="31F12ECE">
      <w:r>
        <w:t>自动控制流程（以无人化作业为例）：上位机系统下发任务指令（如“从A区货架取货送至B区站台”），VCU接收指令后解析路径信息（包含起点、途经点、终点坐标），通过激光导航传感器（扫描地面反光板）或磁导航传感器（读取地面磁钉）实时定位车辆当前位置（X,Y,θ），与预设路径对比计算位置偏差（ΔX,ΔY,Δθ）。VCU采用PID算法控制转向角和车速，消除位置偏差：ΔX＞5mm时调节转向角修正横向偏差，Δθ＞1°时调节两侧轮速差修正航向偏差，控制周期50ms，路径跟踪精度±5mm。到达目标位置前5m减速至1km/h，通过RFID读卡器读取站点信息，触发精确定位（误差≤2mm），停靠后执行取货/卸货动作，完成后向上位机发送任务完成信号。</w:t>
      </w:r>
    </w:p>
    <w:p w14:paraId="74DA725C">
      <w:r>
        <w:t>手动控制流程：操作员通过加速踏板和方向手柄控制车辆行驶，手柄前推为前进，后拉为后退，左右扳动控制转向；通过起升手柄控制货叉升降（上扳上升，下扳下降），倾斜手柄控制货叉倾翻（前扳前倾，后扳后仰）。控制系统内置安全联锁逻辑：座椅感应开关未闭合（未落座）时，所有动作禁止；门架起升高度＞2m时，行驶速度限制≤3km/h；货叉超载（＞110%额定负载）时，起升动作禁止并报警；急停按钮按下时，所有电机断电，制动系统自动锁死。</w:t>
      </w:r>
    </w:p>
    <w:p w14:paraId="588901C7">
      <w:pPr>
        <w:pStyle w:val="3"/>
      </w:pPr>
      <w:r>
        <w:t>五、常见故障诊断与排除</w:t>
      </w:r>
    </w:p>
    <w:p w14:paraId="1C0E9720">
      <w:pPr>
        <w:pStyle w:val="4"/>
      </w:pPr>
      <w:r>
        <w:t>5.1 电气系统故障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493398E7">
        <w:tblPrEx>
          <w:tblCellMar>
            <w:top w:w="0" w:type="dxa"/>
            <w:left w:w="0" w:type="dxa"/>
            <w:bottom w:w="0" w:type="dxa"/>
            <w:right w:w="0" w:type="dxa"/>
          </w:tblCellMar>
        </w:tblPrEx>
        <w:tc>
          <w:tcPr>
            <w:tcW w:w="0" w:type="auto"/>
            <w:vAlign w:val="center"/>
          </w:tcPr>
          <w:p w14:paraId="6D769EC0">
            <w:pPr>
              <w:jc w:val="center"/>
              <w:rPr>
                <w:b/>
              </w:rPr>
            </w:pPr>
            <w:r>
              <w:rPr>
                <w:b/>
              </w:rPr>
              <w:t>故障现象</w:t>
            </w:r>
          </w:p>
        </w:tc>
        <w:tc>
          <w:tcPr>
            <w:tcW w:w="0" w:type="auto"/>
            <w:vAlign w:val="center"/>
          </w:tcPr>
          <w:p w14:paraId="202E61D3">
            <w:pPr>
              <w:jc w:val="center"/>
              <w:rPr>
                <w:b/>
              </w:rPr>
            </w:pPr>
            <w:r>
              <w:rPr>
                <w:b/>
              </w:rPr>
              <w:t>根本原因</w:t>
            </w:r>
          </w:p>
        </w:tc>
        <w:tc>
          <w:tcPr>
            <w:tcW w:w="0" w:type="auto"/>
            <w:vAlign w:val="center"/>
          </w:tcPr>
          <w:p w14:paraId="4C22A051">
            <w:pPr>
              <w:jc w:val="center"/>
              <w:rPr>
                <w:b/>
              </w:rPr>
            </w:pPr>
            <w:r>
              <w:rPr>
                <w:b/>
              </w:rPr>
              <w:t>排除对策</w:t>
            </w:r>
          </w:p>
        </w:tc>
      </w:tr>
      <w:tr w14:paraId="488F33EB">
        <w:tblPrEx>
          <w:tblCellMar>
            <w:top w:w="0" w:type="dxa"/>
            <w:left w:w="0" w:type="dxa"/>
            <w:bottom w:w="0" w:type="dxa"/>
            <w:right w:w="0" w:type="dxa"/>
          </w:tblCellMar>
        </w:tblPrEx>
        <w:tc>
          <w:tcPr>
            <w:tcW w:w="0" w:type="auto"/>
            <w:vAlign w:val="center"/>
          </w:tcPr>
          <w:p w14:paraId="684F6FFE">
            <w:r>
              <w:t>无法启动，仪表盘无显示</w:t>
            </w:r>
          </w:p>
        </w:tc>
        <w:tc>
          <w:tcPr>
            <w:tcW w:w="0" w:type="auto"/>
            <w:vAlign w:val="center"/>
          </w:tcPr>
          <w:p w14:paraId="468723CC">
            <w:r>
              <w:t>电池总电压＜80%额定电压（如96V电池＜76.8V）；主接触器粘连或线圈烧毁；BMS故障（无法正常唤醒）</w:t>
            </w:r>
          </w:p>
        </w:tc>
        <w:tc>
          <w:tcPr>
            <w:tcW w:w="0" w:type="auto"/>
            <w:vAlign w:val="center"/>
          </w:tcPr>
          <w:p w14:paraId="5DA8CAC7">
            <w:r>
              <w:t>1. 用万用表测量电池总电压，电压不足时充电（快充至SOC≥20%）；测量单体电压，压差＞0.3V时用均衡仪进行均衡充电（充电电流0.5C，截止电压3.65V）</w:t>
            </w:r>
            <w:r>
              <w:br w:type="textWrapping"/>
            </w:r>
            <w:r>
              <w:t>2. 拆解主接触器（型号LC1D250），清洁触点（砂纸打磨氧化层）或更换线圈（DC24V，电阻30Ω±5%）</w:t>
            </w:r>
            <w:r>
              <w:br w:type="textWrapping"/>
            </w:r>
            <w:r>
              <w:t>3. 检查BMS供电（24V）和通讯线路（CAN_H/CAN_L电压2.5V±0.5V），故障时更换BMS主板</w:t>
            </w:r>
          </w:p>
        </w:tc>
      </w:tr>
      <w:tr w14:paraId="67B60A1E">
        <w:tblPrEx>
          <w:tblCellMar>
            <w:top w:w="0" w:type="dxa"/>
            <w:left w:w="0" w:type="dxa"/>
            <w:bottom w:w="0" w:type="dxa"/>
            <w:right w:w="0" w:type="dxa"/>
          </w:tblCellMar>
        </w:tblPrEx>
        <w:tc>
          <w:tcPr>
            <w:tcW w:w="0" w:type="auto"/>
            <w:vAlign w:val="center"/>
          </w:tcPr>
          <w:p w14:paraId="47C4A009">
            <w:r>
              <w:t>续航里程骤降（＜额定值60%）</w:t>
            </w:r>
          </w:p>
        </w:tc>
        <w:tc>
          <w:tcPr>
            <w:tcW w:w="0" w:type="auto"/>
            <w:vAlign w:val="center"/>
          </w:tcPr>
          <w:p w14:paraId="44B0D611">
            <w:r>
              <w:t>电池容量衰减（循环次数＞2000次，容量＜80%额定值）；充电机输出电流不足（＜额定值80%）；电机效率下降（轴承磨损或退磁）</w:t>
            </w:r>
          </w:p>
        </w:tc>
        <w:tc>
          <w:tcPr>
            <w:tcW w:w="0" w:type="auto"/>
            <w:vAlign w:val="center"/>
          </w:tcPr>
          <w:p w14:paraId="75A5B9D5">
            <w:r>
              <w:t>1. 用电池容量测试仪（如新威BTS-5V50A）进行容量测试，容量＜80%时更换电池组</w:t>
            </w:r>
            <w:r>
              <w:br w:type="textWrapping"/>
            </w:r>
            <w:r>
              <w:t>2. 检查充电机输出电压（应为电池额定电压+5%）和电流，更换损坏的功率模块（如英飞凌IGBT模块）</w:t>
            </w:r>
            <w:r>
              <w:br w:type="textWrapping"/>
            </w:r>
            <w:r>
              <w:t>3. 测量电机三相电流不平衡度（应≤5%），用示波器检测反电动势（判断是否退磁），退磁时更换电机转子</w:t>
            </w:r>
          </w:p>
        </w:tc>
      </w:tr>
      <w:tr w14:paraId="2E61450A">
        <w:tc>
          <w:tcPr>
            <w:tcW w:w="0" w:type="auto"/>
            <w:vAlign w:val="center"/>
          </w:tcPr>
          <w:p w14:paraId="28305D7C">
            <w:r>
              <w:t>驱动电机异响伴随振动（振幅＞0.1mm）</w:t>
            </w:r>
          </w:p>
        </w:tc>
        <w:tc>
          <w:tcPr>
            <w:tcW w:w="0" w:type="auto"/>
            <w:vAlign w:val="center"/>
          </w:tcPr>
          <w:p w14:paraId="742497F7">
            <w:r>
              <w:t>电机轴承磨损（游隙＞0.15mm）；转子动平衡不良（不平衡量＞50g·cm）；电机与变速箱同轴度超差（＞0.1mm）</w:t>
            </w:r>
          </w:p>
        </w:tc>
        <w:tc>
          <w:tcPr>
            <w:tcW w:w="0" w:type="auto"/>
            <w:vAlign w:val="center"/>
          </w:tcPr>
          <w:p w14:paraId="556A09AC">
            <w:r>
              <w:t>1. 更换电机轴承（型号6205-2RS，游隙C3组），加注锂基润滑脂（每个轴承2-3g）</w:t>
            </w:r>
            <w:r>
              <w:br w:type="textWrapping"/>
            </w:r>
            <w:r>
              <w:t>2. 对电机转子进行动平衡测试（转速3000r/min），添加平衡块修正不平衡量至＜30g·cm</w:t>
            </w:r>
            <w:r>
              <w:br w:type="textWrapping"/>
            </w:r>
            <w:r>
              <w:t>3. 重新调整电机与变速箱的同轴度（径向跳动≤0.05mm，轴向窜动≤0.1mm）</w:t>
            </w:r>
          </w:p>
        </w:tc>
      </w:tr>
    </w:tbl>
    <w:p w14:paraId="7DB1C206">
      <w:pPr>
        <w:pStyle w:val="4"/>
      </w:pPr>
      <w:r>
        <w:t>5.2 液压系统故障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2B5EF789">
        <w:tblPrEx>
          <w:tblCellMar>
            <w:top w:w="0" w:type="dxa"/>
            <w:left w:w="0" w:type="dxa"/>
            <w:bottom w:w="0" w:type="dxa"/>
            <w:right w:w="0" w:type="dxa"/>
          </w:tblCellMar>
        </w:tblPrEx>
        <w:tc>
          <w:tcPr>
            <w:tcW w:w="0" w:type="auto"/>
            <w:vAlign w:val="center"/>
          </w:tcPr>
          <w:p w14:paraId="61ACC7C6">
            <w:pPr>
              <w:jc w:val="center"/>
              <w:rPr>
                <w:b/>
              </w:rPr>
            </w:pPr>
            <w:r>
              <w:rPr>
                <w:b/>
              </w:rPr>
              <w:t>故障现象</w:t>
            </w:r>
          </w:p>
        </w:tc>
        <w:tc>
          <w:tcPr>
            <w:tcW w:w="0" w:type="auto"/>
            <w:vAlign w:val="center"/>
          </w:tcPr>
          <w:p w14:paraId="499A25DC">
            <w:pPr>
              <w:jc w:val="center"/>
              <w:rPr>
                <w:b/>
              </w:rPr>
            </w:pPr>
            <w:r>
              <w:rPr>
                <w:b/>
              </w:rPr>
              <w:t>根本原因</w:t>
            </w:r>
          </w:p>
        </w:tc>
        <w:tc>
          <w:tcPr>
            <w:tcW w:w="0" w:type="auto"/>
            <w:vAlign w:val="center"/>
          </w:tcPr>
          <w:p w14:paraId="5B8699A8">
            <w:pPr>
              <w:jc w:val="center"/>
              <w:rPr>
                <w:b/>
              </w:rPr>
            </w:pPr>
            <w:r>
              <w:rPr>
                <w:b/>
              </w:rPr>
              <w:t>排除对策</w:t>
            </w:r>
          </w:p>
        </w:tc>
      </w:tr>
      <w:tr w14:paraId="11426C41">
        <w:tblPrEx>
          <w:tblCellMar>
            <w:top w:w="0" w:type="dxa"/>
            <w:left w:w="0" w:type="dxa"/>
            <w:bottom w:w="0" w:type="dxa"/>
            <w:right w:w="0" w:type="dxa"/>
          </w:tblCellMar>
        </w:tblPrEx>
        <w:tc>
          <w:tcPr>
            <w:tcW w:w="0" w:type="auto"/>
            <w:vAlign w:val="center"/>
          </w:tcPr>
          <w:p w14:paraId="2BC3BFA7">
            <w:r>
              <w:t>货叉起升缓慢（满载起升时间＞10秒）</w:t>
            </w:r>
          </w:p>
        </w:tc>
        <w:tc>
          <w:tcPr>
            <w:tcW w:w="0" w:type="auto"/>
            <w:vAlign w:val="center"/>
          </w:tcPr>
          <w:p w14:paraId="0E0E5A43">
            <w:r>
              <w:t>液压油不足（油位低于液位计1/2）；液压泵磨损（容积效率＜85%）；多路阀阀芯卡滞</w:t>
            </w:r>
          </w:p>
        </w:tc>
        <w:tc>
          <w:tcPr>
            <w:tcW w:w="0" w:type="auto"/>
            <w:vAlign w:val="center"/>
          </w:tcPr>
          <w:p w14:paraId="064E9557">
            <w:r>
              <w:t>1. 添加液压油至液位计2/3处（型号L-HM46抗磨液压油，污染度NAS 8级以下）</w:t>
            </w:r>
            <w:r>
              <w:br w:type="textWrapping"/>
            </w:r>
            <w:r>
              <w:t>2. 测量液压泵出口压力（应≥16MPa），压力不足时更换液压泵（型号CBF-E40）</w:t>
            </w:r>
            <w:r>
              <w:br w:type="textWrapping"/>
            </w:r>
            <w:r>
              <w:t>3. 拆解多路阀，清洗阀芯和阀孔（用煤油冲洗），更换磨损的密封件（O型圈+支撑环，材质聚氨酯）</w:t>
            </w:r>
          </w:p>
        </w:tc>
      </w:tr>
      <w:tr w14:paraId="20CCB058">
        <w:tblPrEx>
          <w:tblCellMar>
            <w:top w:w="0" w:type="dxa"/>
            <w:left w:w="0" w:type="dxa"/>
            <w:bottom w:w="0" w:type="dxa"/>
            <w:right w:w="0" w:type="dxa"/>
          </w:tblCellMar>
        </w:tblPrEx>
        <w:tc>
          <w:tcPr>
            <w:tcW w:w="0" w:type="auto"/>
            <w:vAlign w:val="center"/>
          </w:tcPr>
          <w:p w14:paraId="78EFDDF9">
            <w:r>
              <w:t>货叉自动沉降（静置10分钟沉降量＞50mm）</w:t>
            </w:r>
          </w:p>
        </w:tc>
        <w:tc>
          <w:tcPr>
            <w:tcW w:w="0" w:type="auto"/>
            <w:vAlign w:val="center"/>
          </w:tcPr>
          <w:p w14:paraId="3C94DAF9">
            <w:r>
              <w:t>起升油缸密封件老化（内泄量＞10mL/min）；液压锁失效（压力保持能力＜90%）；油管接头泄漏</w:t>
            </w:r>
          </w:p>
        </w:tc>
        <w:tc>
          <w:tcPr>
            <w:tcW w:w="0" w:type="auto"/>
            <w:vAlign w:val="center"/>
          </w:tcPr>
          <w:p w14:paraId="65BAF696">
            <w:r>
              <w:t>1. 拆解起升油缸，更换活塞密封件（Y型圈+防尘圈），测试内泄量≤5mL/min（16MPa压力下）</w:t>
            </w:r>
            <w:r>
              <w:br w:type="textWrapping"/>
            </w:r>
            <w:r>
              <w:t>2. 检查液压锁阀芯磨损情况，更换液压锁总成（型号DF-B20H）</w:t>
            </w:r>
            <w:r>
              <w:br w:type="textWrapping"/>
            </w:r>
            <w:r>
              <w:t>3. 紧固油管接头（扭矩25±5N·m），更换老化的高压软管（工作压力≥25MPa）</w:t>
            </w:r>
          </w:p>
        </w:tc>
      </w:tr>
      <w:tr w14:paraId="3A681FA3">
        <w:tc>
          <w:tcPr>
            <w:tcW w:w="0" w:type="auto"/>
            <w:vAlign w:val="center"/>
          </w:tcPr>
          <w:p w14:paraId="0A129092">
            <w:r>
              <w:t>液压系统异响（“嘶嘶”声或“嗡嗡”声）</w:t>
            </w:r>
          </w:p>
        </w:tc>
        <w:tc>
          <w:tcPr>
            <w:tcW w:w="0" w:type="auto"/>
            <w:vAlign w:val="center"/>
          </w:tcPr>
          <w:p w14:paraId="330E15C1">
            <w:r>
              <w:t>液压油箱油位过低（吸空）；滤油器堵塞（压差＞0.3MPa）；液压泵吸入空气</w:t>
            </w:r>
          </w:p>
        </w:tc>
        <w:tc>
          <w:tcPr>
            <w:tcW w:w="0" w:type="auto"/>
            <w:vAlign w:val="center"/>
          </w:tcPr>
          <w:p w14:paraId="218DE1BE">
            <w:r>
              <w:t>1. 添加液压油至规定液位，检查油箱呼吸帽是否堵塞（清理滤芯）</w:t>
            </w:r>
            <w:r>
              <w:br w:type="textWrapping"/>
            </w:r>
            <w:r>
              <w:t>2. 更换滤油器滤芯（精度10μm），定期（200小时）更换滤芯</w:t>
            </w:r>
            <w:r>
              <w:br w:type="textWrapping"/>
            </w:r>
            <w:r>
              <w:t>3. 检查吸油管路密封性，拧紧松动的管接头，更换破裂的吸油软管</w:t>
            </w:r>
          </w:p>
        </w:tc>
      </w:tr>
    </w:tbl>
    <w:p w14:paraId="0D40F91B">
      <w:pPr>
        <w:pStyle w:val="4"/>
      </w:pPr>
      <w:r>
        <w:t>5.3 制动系统故障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048736B4">
        <w:tblPrEx>
          <w:tblCellMar>
            <w:top w:w="0" w:type="dxa"/>
            <w:left w:w="0" w:type="dxa"/>
            <w:bottom w:w="0" w:type="dxa"/>
            <w:right w:w="0" w:type="dxa"/>
          </w:tblCellMar>
        </w:tblPrEx>
        <w:tc>
          <w:tcPr>
            <w:tcW w:w="0" w:type="auto"/>
            <w:vAlign w:val="center"/>
          </w:tcPr>
          <w:p w14:paraId="3A45B597">
            <w:pPr>
              <w:jc w:val="center"/>
              <w:rPr>
                <w:b/>
              </w:rPr>
            </w:pPr>
            <w:r>
              <w:rPr>
                <w:b/>
              </w:rPr>
              <w:t>故障现象</w:t>
            </w:r>
          </w:p>
        </w:tc>
        <w:tc>
          <w:tcPr>
            <w:tcW w:w="0" w:type="auto"/>
            <w:vAlign w:val="center"/>
          </w:tcPr>
          <w:p w14:paraId="57EFA564">
            <w:pPr>
              <w:jc w:val="center"/>
              <w:rPr>
                <w:b/>
              </w:rPr>
            </w:pPr>
            <w:r>
              <w:rPr>
                <w:b/>
              </w:rPr>
              <w:t>根本原因</w:t>
            </w:r>
          </w:p>
        </w:tc>
        <w:tc>
          <w:tcPr>
            <w:tcW w:w="0" w:type="auto"/>
            <w:vAlign w:val="center"/>
          </w:tcPr>
          <w:p w14:paraId="4FBE50A2">
            <w:pPr>
              <w:jc w:val="center"/>
              <w:rPr>
                <w:b/>
              </w:rPr>
            </w:pPr>
            <w:r>
              <w:rPr>
                <w:b/>
              </w:rPr>
              <w:t>排除对策</w:t>
            </w:r>
          </w:p>
        </w:tc>
      </w:tr>
      <w:tr w14:paraId="68AA39DA">
        <w:tblPrEx>
          <w:tblCellMar>
            <w:top w:w="0" w:type="dxa"/>
            <w:left w:w="0" w:type="dxa"/>
            <w:bottom w:w="0" w:type="dxa"/>
            <w:right w:w="0" w:type="dxa"/>
          </w:tblCellMar>
        </w:tblPrEx>
        <w:tc>
          <w:tcPr>
            <w:tcW w:w="0" w:type="auto"/>
            <w:vAlign w:val="center"/>
          </w:tcPr>
          <w:p w14:paraId="4AF853CD">
            <w:r>
              <w:t>制动距离过长（满载10km/h车速下＞8m）</w:t>
            </w:r>
          </w:p>
        </w:tc>
        <w:tc>
          <w:tcPr>
            <w:tcW w:w="0" w:type="auto"/>
            <w:vAlign w:val="center"/>
          </w:tcPr>
          <w:p w14:paraId="4548F110">
            <w:r>
              <w:t>刹车片磨损（厚度＜3mm）；制动液压系统压力不足（＜10MPa）；制动盘热衰退（温度＞300℃）</w:t>
            </w:r>
          </w:p>
        </w:tc>
        <w:tc>
          <w:tcPr>
            <w:tcW w:w="0" w:type="auto"/>
            <w:vAlign w:val="center"/>
          </w:tcPr>
          <w:p w14:paraId="3A57CA67">
            <w:r>
              <w:t>1. 更换刹车片（陶瓷摩擦片，摩擦系数0.45±0.05），调整刹车片间隙至0.3-0.5mm</w:t>
            </w:r>
            <w:r>
              <w:br w:type="textWrapping"/>
            </w:r>
            <w:r>
              <w:t>2. 检查制动总泵和分泵，更换磨损的活塞或密封件，调整溢流阀压力至12±0.5MPa</w:t>
            </w:r>
            <w:r>
              <w:br w:type="textWrapping"/>
            </w:r>
            <w:r>
              <w:t>3. 更换过热变形的制动盘（端面跳动＞0.1mm时），安装通风型制动盘增强散热</w:t>
            </w:r>
          </w:p>
        </w:tc>
      </w:tr>
      <w:tr w14:paraId="5886C97F">
        <w:tblPrEx>
          <w:tblCellMar>
            <w:top w:w="0" w:type="dxa"/>
            <w:left w:w="0" w:type="dxa"/>
            <w:bottom w:w="0" w:type="dxa"/>
            <w:right w:w="0" w:type="dxa"/>
          </w:tblCellMar>
        </w:tblPrEx>
        <w:tc>
          <w:tcPr>
            <w:tcW w:w="0" w:type="auto"/>
            <w:vAlign w:val="center"/>
          </w:tcPr>
          <w:p w14:paraId="26BEBD85">
            <w:r>
              <w:t>驻车制动失效（15°坡道驻车滑移）</w:t>
            </w:r>
          </w:p>
        </w:tc>
        <w:tc>
          <w:tcPr>
            <w:tcW w:w="0" w:type="auto"/>
            <w:vAlign w:val="center"/>
          </w:tcPr>
          <w:p w14:paraId="1DD6A631">
            <w:r>
              <w:t>电磁制动器线圈烧毁（电阻＞50Ω或断路）；制动蹄片磨损（厚度＜2mm）；制动间隙过大（＞1mm）</w:t>
            </w:r>
          </w:p>
        </w:tc>
        <w:tc>
          <w:tcPr>
            <w:tcW w:w="0" w:type="auto"/>
            <w:vAlign w:val="center"/>
          </w:tcPr>
          <w:p w14:paraId="75739C7C">
            <w:r>
              <w:t>1. 测量电磁制动器线圈电阻（正常值30±5Ω），更换烧毁线圈或制动器总成（型号DZD5-200）</w:t>
            </w:r>
            <w:r>
              <w:br w:type="textWrapping"/>
            </w:r>
            <w:r>
              <w:t>2. 更换制动蹄片（摩擦材料为石棉-free），确保与制动鼓全面接触</w:t>
            </w:r>
            <w:r>
              <w:br w:type="textWrapping"/>
            </w:r>
            <w:r>
              <w:t>3. 调整制动间隙至0.3-0.5mm（通过调节螺杆），测试驻车制动力≥3000N</w:t>
            </w:r>
          </w:p>
        </w:tc>
      </w:tr>
      <w:tr w14:paraId="74456508">
        <w:tc>
          <w:tcPr>
            <w:tcW w:w="0" w:type="auto"/>
            <w:vAlign w:val="center"/>
          </w:tcPr>
          <w:p w14:paraId="5EA5ADEB">
            <w:r>
              <w:t>制动踏板行程过大（自由行程＞30mm）</w:t>
            </w:r>
          </w:p>
        </w:tc>
        <w:tc>
          <w:tcPr>
            <w:tcW w:w="0" w:type="auto"/>
            <w:vAlign w:val="center"/>
          </w:tcPr>
          <w:p w14:paraId="04668360">
            <w:r>
              <w:t>制动主缸推杆调整不当；制动液不足（低于储液罐MIN刻度）；刹车片与制动盘间隙过大</w:t>
            </w:r>
          </w:p>
        </w:tc>
        <w:tc>
          <w:tcPr>
            <w:tcW w:w="0" w:type="auto"/>
            <w:vAlign w:val="center"/>
          </w:tcPr>
          <w:p w14:paraId="287CE0AD">
            <w:r>
              <w:t>1. 调整制动主缸推杆长度，使自由行程控制在10-15mm</w:t>
            </w:r>
            <w:r>
              <w:br w:type="textWrapping"/>
            </w:r>
            <w:r>
              <w:t>2. 添加制动液（DOT3或DOT4）至MAX刻度，排除制动系统空气（顺序：右后→左后→右前→左前）</w:t>
            </w:r>
            <w:r>
              <w:br w:type="textWrapping"/>
            </w:r>
            <w:r>
              <w:t>3. 调整制动钳位置，使刹车片与制动盘间隙均匀（单侧间隙≤0.5mm）</w:t>
            </w:r>
          </w:p>
        </w:tc>
      </w:tr>
    </w:tbl>
    <w:p w14:paraId="59248236">
      <w:pPr>
        <w:pStyle w:val="4"/>
      </w:pPr>
      <w:r>
        <w:t>5.4 机械结构故障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469B4016">
        <w:tblPrEx>
          <w:tblCellMar>
            <w:top w:w="0" w:type="dxa"/>
            <w:left w:w="0" w:type="dxa"/>
            <w:bottom w:w="0" w:type="dxa"/>
            <w:right w:w="0" w:type="dxa"/>
          </w:tblCellMar>
        </w:tblPrEx>
        <w:tc>
          <w:tcPr>
            <w:tcW w:w="0" w:type="auto"/>
            <w:vAlign w:val="center"/>
          </w:tcPr>
          <w:p w14:paraId="04D73E6C">
            <w:pPr>
              <w:jc w:val="center"/>
              <w:rPr>
                <w:b/>
              </w:rPr>
            </w:pPr>
            <w:r>
              <w:rPr>
                <w:b/>
              </w:rPr>
              <w:t>故障现象</w:t>
            </w:r>
          </w:p>
        </w:tc>
        <w:tc>
          <w:tcPr>
            <w:tcW w:w="0" w:type="auto"/>
            <w:vAlign w:val="center"/>
          </w:tcPr>
          <w:p w14:paraId="24A921F2">
            <w:pPr>
              <w:jc w:val="center"/>
              <w:rPr>
                <w:b/>
              </w:rPr>
            </w:pPr>
            <w:r>
              <w:rPr>
                <w:b/>
              </w:rPr>
              <w:t>根本原因</w:t>
            </w:r>
          </w:p>
        </w:tc>
        <w:tc>
          <w:tcPr>
            <w:tcW w:w="0" w:type="auto"/>
            <w:vAlign w:val="center"/>
          </w:tcPr>
          <w:p w14:paraId="0FEE9D60">
            <w:pPr>
              <w:jc w:val="center"/>
              <w:rPr>
                <w:b/>
              </w:rPr>
            </w:pPr>
            <w:r>
              <w:rPr>
                <w:b/>
              </w:rPr>
              <w:t>排除对策</w:t>
            </w:r>
          </w:p>
        </w:tc>
      </w:tr>
      <w:tr w14:paraId="378799FF">
        <w:tblPrEx>
          <w:tblCellMar>
            <w:top w:w="0" w:type="dxa"/>
            <w:left w:w="0" w:type="dxa"/>
            <w:bottom w:w="0" w:type="dxa"/>
            <w:right w:w="0" w:type="dxa"/>
          </w:tblCellMar>
        </w:tblPrEx>
        <w:tc>
          <w:tcPr>
            <w:tcW w:w="0" w:type="auto"/>
            <w:vAlign w:val="center"/>
          </w:tcPr>
          <w:p w14:paraId="562ED013">
            <w:r>
              <w:t>行驶跑偏（直线行驶100m偏离轨迹＞500mm）</w:t>
            </w:r>
          </w:p>
        </w:tc>
        <w:tc>
          <w:tcPr>
            <w:tcW w:w="0" w:type="auto"/>
            <w:vAlign w:val="center"/>
          </w:tcPr>
          <w:p w14:paraId="0D66406D">
            <w:r>
              <w:t>转向拉杆长度偏差（左右长度差＞2mm）；前束值失调（超出±2mm范围）；驱动轮气压不均</w:t>
            </w:r>
          </w:p>
        </w:tc>
        <w:tc>
          <w:tcPr>
            <w:tcW w:w="0" w:type="auto"/>
            <w:vAlign w:val="center"/>
          </w:tcPr>
          <w:p w14:paraId="7AE4DABD">
            <w:r>
              <w:t>1. 调整转向拉杆长度，使左右轮距偏差≤1mm</w:t>
            </w:r>
            <w:r>
              <w:br w:type="textWrapping"/>
            </w:r>
            <w:r>
              <w:t>2. 测量并调整前束值至0-2mm/1000mm（通过旋转横拉杆）</w:t>
            </w:r>
            <w:r>
              <w:br w:type="textWrapping"/>
            </w:r>
            <w:r>
              <w:t>3. 检查驱动轮气压（实心轮胎无需充气，检查轮辋是否变形），更换偏磨轮胎</w:t>
            </w:r>
          </w:p>
        </w:tc>
      </w:tr>
      <w:tr w14:paraId="7866AB2C">
        <w:tblPrEx>
          <w:tblCellMar>
            <w:top w:w="0" w:type="dxa"/>
            <w:left w:w="0" w:type="dxa"/>
            <w:bottom w:w="0" w:type="dxa"/>
            <w:right w:w="0" w:type="dxa"/>
          </w:tblCellMar>
        </w:tblPrEx>
        <w:tc>
          <w:tcPr>
            <w:tcW w:w="0" w:type="auto"/>
            <w:vAlign w:val="center"/>
          </w:tcPr>
          <w:p w14:paraId="5512E13B">
            <w:r>
              <w:t>门架变形（起升时晃动严重）</w:t>
            </w:r>
          </w:p>
        </w:tc>
        <w:tc>
          <w:tcPr>
            <w:tcW w:w="0" w:type="auto"/>
            <w:vAlign w:val="center"/>
          </w:tcPr>
          <w:p w14:paraId="3B67CBCB">
            <w:r>
              <w:t>门架立柱垂直度超差（＞1.5mm/m）；导向滚轮磨损（径向间隙＞0.5mm）；门架支撑销松动</w:t>
            </w:r>
          </w:p>
        </w:tc>
        <w:tc>
          <w:tcPr>
            <w:tcW w:w="0" w:type="auto"/>
            <w:vAlign w:val="center"/>
          </w:tcPr>
          <w:p w14:paraId="0D2051BB">
            <w:r>
              <w:t>1. 使用激光投线仪校准门架垂直度，通过垫片调整至≤1mm/m</w:t>
            </w:r>
            <w:r>
              <w:br w:type="textWrapping"/>
            </w:r>
            <w:r>
              <w:t>2. 更换磨损的导向滚轮（轴承型号6204ZZ），调整滚轮与门架立柱间隙至0.5-1mm</w:t>
            </w:r>
            <w:r>
              <w:br w:type="textWrapping"/>
            </w:r>
            <w:r>
              <w:t>3. 紧固门架支撑销螺母（扭矩50±5N·m），焊接加固松动的支撑座</w:t>
            </w:r>
          </w:p>
        </w:tc>
      </w:tr>
      <w:tr w14:paraId="482394E4">
        <w:tc>
          <w:tcPr>
            <w:tcW w:w="0" w:type="auto"/>
            <w:vAlign w:val="center"/>
          </w:tcPr>
          <w:p w14:paraId="1711414E">
            <w:r>
              <w:t>转向沉重（方向盘操作力＞300N）</w:t>
            </w:r>
          </w:p>
        </w:tc>
        <w:tc>
          <w:tcPr>
            <w:tcW w:w="0" w:type="auto"/>
            <w:vAlign w:val="center"/>
          </w:tcPr>
          <w:p w14:paraId="4FAD7FA0">
            <w:r>
              <w:t>转向油泵流量不足（＜10L/min）；转向油缸内泄（活塞密封件磨损）；转向拉杆球头卡滞（间隙＞2mm）</w:t>
            </w:r>
          </w:p>
        </w:tc>
        <w:tc>
          <w:tcPr>
            <w:tcW w:w="0" w:type="auto"/>
            <w:vAlign w:val="center"/>
          </w:tcPr>
          <w:p w14:paraId="49E1A6D2">
            <w:r>
              <w:t>1. 检查转向油泵，更换磨损的齿轮或侧板，确保流量≥15L/min</w:t>
            </w:r>
            <w:r>
              <w:br w:type="textWrapping"/>
            </w:r>
            <w:r>
              <w:t>2. 拆解转向油缸，更换密封件，测试油缸内泄量≤5mL/min</w:t>
            </w:r>
            <w:r>
              <w:br w:type="textWrapping"/>
            </w:r>
            <w:r>
              <w:t>3. 清洁转向拉杆球头，加注锂基润滑脂（每个球头2-3g），更换磨损的球头总成</w:t>
            </w:r>
          </w:p>
        </w:tc>
      </w:tr>
    </w:tbl>
    <w:p w14:paraId="40393F44">
      <w:pPr>
        <w:pStyle w:val="4"/>
      </w:pPr>
      <w:r>
        <w:t>5.5 控制系统故障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16887274">
        <w:tblPrEx>
          <w:tblCellMar>
            <w:top w:w="0" w:type="dxa"/>
            <w:left w:w="0" w:type="dxa"/>
            <w:bottom w:w="0" w:type="dxa"/>
            <w:right w:w="0" w:type="dxa"/>
          </w:tblCellMar>
        </w:tblPrEx>
        <w:tc>
          <w:tcPr>
            <w:tcW w:w="0" w:type="auto"/>
            <w:vAlign w:val="center"/>
          </w:tcPr>
          <w:p w14:paraId="06D15B58">
            <w:pPr>
              <w:jc w:val="center"/>
              <w:rPr>
                <w:b/>
              </w:rPr>
            </w:pPr>
            <w:r>
              <w:rPr>
                <w:b/>
              </w:rPr>
              <w:t>故障现象</w:t>
            </w:r>
          </w:p>
        </w:tc>
        <w:tc>
          <w:tcPr>
            <w:tcW w:w="0" w:type="auto"/>
            <w:vAlign w:val="center"/>
          </w:tcPr>
          <w:p w14:paraId="54F9EC41">
            <w:pPr>
              <w:jc w:val="center"/>
              <w:rPr>
                <w:b/>
              </w:rPr>
            </w:pPr>
            <w:r>
              <w:rPr>
                <w:b/>
              </w:rPr>
              <w:t>根本原因</w:t>
            </w:r>
          </w:p>
        </w:tc>
        <w:tc>
          <w:tcPr>
            <w:tcW w:w="0" w:type="auto"/>
            <w:vAlign w:val="center"/>
          </w:tcPr>
          <w:p w14:paraId="6A124A59">
            <w:pPr>
              <w:jc w:val="center"/>
              <w:rPr>
                <w:b/>
              </w:rPr>
            </w:pPr>
            <w:r>
              <w:rPr>
                <w:b/>
              </w:rPr>
              <w:t>排除对策</w:t>
            </w:r>
          </w:p>
        </w:tc>
      </w:tr>
      <w:tr w14:paraId="3DF634CE">
        <w:tblPrEx>
          <w:tblCellMar>
            <w:top w:w="0" w:type="dxa"/>
            <w:left w:w="0" w:type="dxa"/>
            <w:bottom w:w="0" w:type="dxa"/>
            <w:right w:w="0" w:type="dxa"/>
          </w:tblCellMar>
        </w:tblPrEx>
        <w:tc>
          <w:tcPr>
            <w:tcW w:w="0" w:type="auto"/>
            <w:vAlign w:val="center"/>
          </w:tcPr>
          <w:p w14:paraId="12A35D40">
            <w:r>
              <w:t>控制器通讯中断（故障码U0100）</w:t>
            </w:r>
          </w:p>
        </w:tc>
        <w:tc>
          <w:tcPr>
            <w:tcW w:w="0" w:type="auto"/>
            <w:vAlign w:val="center"/>
          </w:tcPr>
          <w:p w14:paraId="7282A8E5">
            <w:r>
              <w:t>CAN总线终端电阻异常（非120Ω）；线束短路或接地（CAN_H与CAN_L短路）；节点设备故障（某控制器发送错误帧）</w:t>
            </w:r>
          </w:p>
        </w:tc>
        <w:tc>
          <w:tcPr>
            <w:tcW w:w="0" w:type="auto"/>
            <w:vAlign w:val="center"/>
          </w:tcPr>
          <w:p w14:paraId="1F52249A">
            <w:r>
              <w:t>1. 测量CAN总线终端电阻（CAN_H与CAN_L之间，正常值118-122Ω），添加或更换终端电阻（120Ω/0.25W）</w:t>
            </w:r>
            <w:r>
              <w:br w:type="textWrapping"/>
            </w:r>
            <w:r>
              <w:t>2. 分段检查线束，修复短路点（破损处用热缩管绝缘），确保屏蔽层单端接地（接地电阻≤1Ω）</w:t>
            </w:r>
            <w:r>
              <w:br w:type="textWrapping"/>
            </w:r>
            <w:r>
              <w:t>3. 逐个断开总线上的控制器（VCU、MCU、BMS），排查发送错误帧的节点，更换故障控制器</w:t>
            </w:r>
          </w:p>
        </w:tc>
      </w:tr>
      <w:tr w14:paraId="20953F55">
        <w:tblPrEx>
          <w:tblCellMar>
            <w:top w:w="0" w:type="dxa"/>
            <w:left w:w="0" w:type="dxa"/>
            <w:bottom w:w="0" w:type="dxa"/>
            <w:right w:w="0" w:type="dxa"/>
          </w:tblCellMar>
        </w:tblPrEx>
        <w:tc>
          <w:tcPr>
            <w:tcW w:w="0" w:type="auto"/>
            <w:vAlign w:val="center"/>
          </w:tcPr>
          <w:p w14:paraId="060F436E">
            <w:r>
              <w:t>传感器信号漂移（如起升高度偏差＞10mm）</w:t>
            </w:r>
          </w:p>
        </w:tc>
        <w:tc>
          <w:tcPr>
            <w:tcW w:w="0" w:type="auto"/>
            <w:vAlign w:val="center"/>
          </w:tcPr>
          <w:p w14:paraId="329EA6AA">
            <w:r>
              <w:t>激光测距仪镜头污染（透光率＜85%）；编码器零点漂移；传感器供电电压波动（24V±5%）</w:t>
            </w:r>
          </w:p>
        </w:tc>
        <w:tc>
          <w:tcPr>
            <w:tcW w:w="0" w:type="auto"/>
            <w:vAlign w:val="center"/>
          </w:tcPr>
          <w:p w14:paraId="1CB98D46">
            <w:r>
              <w:t>1. 用无水乙醇清洁传感器镜头，安装防尘罩（透光率≥95%）</w:t>
            </w:r>
            <w:r>
              <w:br w:type="textWrapping"/>
            </w:r>
            <w:r>
              <w:t>2. 使用标准尺定位传感器原点，重新校准编码器零点（偏差≤0.1mm）</w:t>
            </w:r>
            <w:r>
              <w:br w:type="textWrapping"/>
            </w:r>
            <w:r>
              <w:t>3. 在传感器电源端安装稳压器（输出24V±2%），单独敷设供电电缆（与动力电缆间距≥300mm）</w:t>
            </w:r>
          </w:p>
        </w:tc>
      </w:tr>
      <w:tr w14:paraId="42ABB3D2">
        <w:tc>
          <w:tcPr>
            <w:tcW w:w="0" w:type="auto"/>
            <w:vAlign w:val="center"/>
          </w:tcPr>
          <w:p w14:paraId="48AD22F2">
            <w:r>
              <w:t>HMI无显示或黑屏</w:t>
            </w:r>
          </w:p>
        </w:tc>
        <w:tc>
          <w:tcPr>
            <w:tcW w:w="0" w:type="auto"/>
            <w:vAlign w:val="center"/>
          </w:tcPr>
          <w:p w14:paraId="54EE4DE6">
            <w:r>
              <w:t>低压电源故障（24V电压＜20V或纹波＞100mV）；显示屏排线松动；HMI主板故障（程序丢失或芯片损坏）</w:t>
            </w:r>
          </w:p>
        </w:tc>
        <w:tc>
          <w:tcPr>
            <w:tcW w:w="0" w:type="auto"/>
            <w:vAlign w:val="center"/>
          </w:tcPr>
          <w:p w14:paraId="7F7B35CA">
            <w:r>
              <w:t>1. 检查DC/DC转换器输出（24±0.5V），更换损坏的电容（如电解电容鼓包）或调整电压反馈电路</w:t>
            </w:r>
            <w:r>
              <w:br w:type="textWrapping"/>
            </w:r>
            <w:r>
              <w:t>2. 重新插拔显示屏排线（两端紧固），更换破损排线（屏蔽型FFC排线，长度≤1m）</w:t>
            </w:r>
            <w:r>
              <w:br w:type="textWrapping"/>
            </w:r>
            <w:r>
              <w:t>3. 通过SD卡重新烧录HMI程序（版本与控制器匹配），芯片损坏时更换HMI主板（如昆仑通态TPC1261H）</w:t>
            </w:r>
          </w:p>
        </w:tc>
      </w:tr>
    </w:tbl>
    <w:p w14:paraId="449A3566">
      <w:pPr>
        <w:pStyle w:val="3"/>
      </w:pPr>
      <w:r>
        <w:t>六、维护保养</w:t>
      </w:r>
    </w:p>
    <w:p w14:paraId="0FA49202">
      <w:pPr>
        <w:pStyle w:val="4"/>
      </w:pPr>
      <w:r>
        <w:t>6.1 日常点检</w:t>
      </w:r>
    </w:p>
    <w:p w14:paraId="17347CF5">
      <w:r>
        <w:t>日常点检由操作员每班（8小时）执行，按《锂电重式平衡叉车日常点检表》逐项检查，重点关注以下内容：</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33BE6E6">
        <w:tblPrEx>
          <w:tblCellMar>
            <w:top w:w="0" w:type="dxa"/>
            <w:left w:w="0" w:type="dxa"/>
            <w:bottom w:w="0" w:type="dxa"/>
            <w:right w:w="0" w:type="dxa"/>
          </w:tblCellMar>
        </w:tblPrEx>
        <w:tc>
          <w:tcPr>
            <w:tcW w:w="0" w:type="auto"/>
            <w:vAlign w:val="center"/>
          </w:tcPr>
          <w:p w14:paraId="0CA115CB">
            <w:pPr>
              <w:jc w:val="center"/>
              <w:rPr>
                <w:b/>
              </w:rPr>
            </w:pPr>
            <w:r>
              <w:rPr>
                <w:b/>
              </w:rPr>
              <w:t>检查项目</w:t>
            </w:r>
          </w:p>
        </w:tc>
        <w:tc>
          <w:tcPr>
            <w:tcW w:w="0" w:type="auto"/>
            <w:vAlign w:val="center"/>
          </w:tcPr>
          <w:p w14:paraId="7BD42D11">
            <w:pPr>
              <w:jc w:val="center"/>
              <w:rPr>
                <w:b/>
              </w:rPr>
            </w:pPr>
            <w:r>
              <w:rPr>
                <w:b/>
              </w:rPr>
              <w:t>检查方法</w:t>
            </w:r>
          </w:p>
        </w:tc>
        <w:tc>
          <w:tcPr>
            <w:tcW w:w="0" w:type="auto"/>
            <w:vAlign w:val="center"/>
          </w:tcPr>
          <w:p w14:paraId="05D7DF30">
            <w:pPr>
              <w:jc w:val="center"/>
              <w:rPr>
                <w:b/>
              </w:rPr>
            </w:pPr>
            <w:r>
              <w:rPr>
                <w:b/>
              </w:rPr>
              <w:t>标准值</w:t>
            </w:r>
          </w:p>
        </w:tc>
        <w:tc>
          <w:tcPr>
            <w:tcW w:w="0" w:type="auto"/>
            <w:vAlign w:val="center"/>
          </w:tcPr>
          <w:p w14:paraId="70A25378">
            <w:pPr>
              <w:jc w:val="center"/>
              <w:rPr>
                <w:b/>
              </w:rPr>
            </w:pPr>
            <w:r>
              <w:rPr>
                <w:b/>
              </w:rPr>
              <w:t>异常处理措施</w:t>
            </w:r>
          </w:p>
        </w:tc>
      </w:tr>
      <w:tr w14:paraId="0CEDEB28">
        <w:tblPrEx>
          <w:tblCellMar>
            <w:top w:w="0" w:type="dxa"/>
            <w:left w:w="0" w:type="dxa"/>
            <w:bottom w:w="0" w:type="dxa"/>
            <w:right w:w="0" w:type="dxa"/>
          </w:tblCellMar>
        </w:tblPrEx>
        <w:tc>
          <w:tcPr>
            <w:tcW w:w="0" w:type="auto"/>
            <w:vAlign w:val="center"/>
          </w:tcPr>
          <w:p w14:paraId="06E6E228">
            <w:r>
              <w:t>电池状态</w:t>
            </w:r>
          </w:p>
        </w:tc>
        <w:tc>
          <w:tcPr>
            <w:tcW w:w="0" w:type="auto"/>
            <w:vAlign w:val="center"/>
          </w:tcPr>
          <w:p w14:paraId="6E4CA964">
            <w:r>
              <w:t>观察HMI显示的SOC值和单体电压差</w:t>
            </w:r>
          </w:p>
        </w:tc>
        <w:tc>
          <w:tcPr>
            <w:tcW w:w="0" w:type="auto"/>
            <w:vAlign w:val="center"/>
          </w:tcPr>
          <w:p w14:paraId="749D88CE">
            <w:r>
              <w:t>SOC≥20%，单体压差≤0.3V</w:t>
            </w:r>
          </w:p>
        </w:tc>
        <w:tc>
          <w:tcPr>
            <w:tcW w:w="0" w:type="auto"/>
            <w:vAlign w:val="center"/>
          </w:tcPr>
          <w:p w14:paraId="74A4C3E9">
            <w:r>
              <w:t>SOC低时及时充电，压差大时通知维护人员均衡</w:t>
            </w:r>
          </w:p>
        </w:tc>
      </w:tr>
      <w:tr w14:paraId="1B6C96CE">
        <w:tblPrEx>
          <w:tblCellMar>
            <w:top w:w="0" w:type="dxa"/>
            <w:left w:w="0" w:type="dxa"/>
            <w:bottom w:w="0" w:type="dxa"/>
            <w:right w:w="0" w:type="dxa"/>
          </w:tblCellMar>
        </w:tblPrEx>
        <w:tc>
          <w:tcPr>
            <w:tcW w:w="0" w:type="auto"/>
            <w:vAlign w:val="center"/>
          </w:tcPr>
          <w:p w14:paraId="0C2ECD2A">
            <w:r>
              <w:t>驱动电机运行状态</w:t>
            </w:r>
          </w:p>
        </w:tc>
        <w:tc>
          <w:tcPr>
            <w:tcW w:w="0" w:type="auto"/>
            <w:vAlign w:val="center"/>
          </w:tcPr>
          <w:p w14:paraId="7A0002BC">
            <w:r>
              <w:t>耳听有无异响，手摸外壳温度</w:t>
            </w:r>
          </w:p>
        </w:tc>
        <w:tc>
          <w:tcPr>
            <w:tcW w:w="0" w:type="auto"/>
            <w:vAlign w:val="center"/>
          </w:tcPr>
          <w:p w14:paraId="681BCD87">
            <w:r>
              <w:t>噪音≤75dB（距离1m），温度≤环境温度+40℃</w:t>
            </w:r>
          </w:p>
        </w:tc>
        <w:tc>
          <w:tcPr>
            <w:tcW w:w="0" w:type="auto"/>
            <w:vAlign w:val="center"/>
          </w:tcPr>
          <w:p w14:paraId="6C4E016A">
            <w:r>
              <w:t>异响时记录位置，温度过高时停机检查</w:t>
            </w:r>
          </w:p>
        </w:tc>
      </w:tr>
      <w:tr w14:paraId="58F12169">
        <w:tc>
          <w:tcPr>
            <w:tcW w:w="0" w:type="auto"/>
            <w:vAlign w:val="center"/>
          </w:tcPr>
          <w:p w14:paraId="3A9462E0">
            <w:r>
              <w:t>液压系统</w:t>
            </w:r>
          </w:p>
        </w:tc>
        <w:tc>
          <w:tcPr>
            <w:tcW w:w="0" w:type="auto"/>
            <w:vAlign w:val="center"/>
          </w:tcPr>
          <w:p w14:paraId="67BBCD18">
            <w:r>
              <w:t>目视检查油位和泄漏情况，操作手柄测试动作</w:t>
            </w:r>
          </w:p>
        </w:tc>
        <w:tc>
          <w:tcPr>
            <w:tcW w:w="0" w:type="auto"/>
            <w:vAlign w:val="center"/>
          </w:tcPr>
          <w:p w14:paraId="3C10AAAA">
            <w:r>
              <w:t>油位在液位计1/2-2/3处，无渗漏，动作平稳</w:t>
            </w:r>
          </w:p>
        </w:tc>
        <w:tc>
          <w:tcPr>
            <w:tcW w:w="0" w:type="auto"/>
            <w:vAlign w:val="center"/>
          </w:tcPr>
          <w:p w14:paraId="6F43E6ED">
            <w:r>
              <w:t>油位低时添加液压油，渗漏处紧固或更换密封件</w:t>
            </w:r>
          </w:p>
        </w:tc>
      </w:tr>
      <w:tr w14:paraId="7121757A">
        <w:tblPrEx>
          <w:tblCellMar>
            <w:top w:w="0" w:type="dxa"/>
            <w:left w:w="0" w:type="dxa"/>
            <w:bottom w:w="0" w:type="dxa"/>
            <w:right w:w="0" w:type="dxa"/>
          </w:tblCellMar>
        </w:tblPrEx>
        <w:tc>
          <w:tcPr>
            <w:tcW w:w="0" w:type="auto"/>
            <w:vAlign w:val="center"/>
          </w:tcPr>
          <w:p w14:paraId="4945669F">
            <w:r>
              <w:t>制动系统</w:t>
            </w:r>
          </w:p>
        </w:tc>
        <w:tc>
          <w:tcPr>
            <w:tcW w:w="0" w:type="auto"/>
            <w:vAlign w:val="center"/>
          </w:tcPr>
          <w:p w14:paraId="16F64D9E">
            <w:r>
              <w:t>测试行车制动和驻车制动性能</w:t>
            </w:r>
          </w:p>
        </w:tc>
        <w:tc>
          <w:tcPr>
            <w:tcW w:w="0" w:type="auto"/>
            <w:vAlign w:val="center"/>
          </w:tcPr>
          <w:p w14:paraId="35DED13E">
            <w:r>
              <w:t>制动距离≤5m（10km/h），驻车无滑移</w:t>
            </w:r>
          </w:p>
        </w:tc>
        <w:tc>
          <w:tcPr>
            <w:tcW w:w="0" w:type="auto"/>
            <w:vAlign w:val="center"/>
          </w:tcPr>
          <w:p w14:paraId="4BA51EBA">
            <w:r>
              <w:t>制动不良时调整刹车片间隙或更换刹车片</w:t>
            </w:r>
          </w:p>
        </w:tc>
      </w:tr>
      <w:tr w14:paraId="5B766813">
        <w:tblPrEx>
          <w:tblCellMar>
            <w:top w:w="0" w:type="dxa"/>
            <w:left w:w="0" w:type="dxa"/>
            <w:bottom w:w="0" w:type="dxa"/>
            <w:right w:w="0" w:type="dxa"/>
          </w:tblCellMar>
        </w:tblPrEx>
        <w:tc>
          <w:tcPr>
            <w:tcW w:w="0" w:type="auto"/>
            <w:vAlign w:val="center"/>
          </w:tcPr>
          <w:p w14:paraId="64903145">
            <w:r>
              <w:t>安全装置</w:t>
            </w:r>
          </w:p>
        </w:tc>
        <w:tc>
          <w:tcPr>
            <w:tcW w:w="0" w:type="auto"/>
            <w:vAlign w:val="center"/>
          </w:tcPr>
          <w:p w14:paraId="28F11A86">
            <w:r>
              <w:t>触发急停按钮、安全光幕，检查报警功能</w:t>
            </w:r>
          </w:p>
        </w:tc>
        <w:tc>
          <w:tcPr>
            <w:tcW w:w="0" w:type="auto"/>
            <w:vAlign w:val="center"/>
          </w:tcPr>
          <w:p w14:paraId="3D33E735">
            <w:r>
              <w:t>设备立即停机，声光报警正常（音量≥85dB）</w:t>
            </w:r>
          </w:p>
        </w:tc>
        <w:tc>
          <w:tcPr>
            <w:tcW w:w="0" w:type="auto"/>
            <w:vAlign w:val="center"/>
          </w:tcPr>
          <w:p w14:paraId="3307668B">
            <w:r>
              <w:t>功能失效时立即停用设备，修复后再运行</w:t>
            </w:r>
          </w:p>
        </w:tc>
      </w:tr>
    </w:tbl>
    <w:p w14:paraId="556B3A01">
      <w:r>
        <w:t>点检发现异常时，操作员需立即停机并记录《设备异常报告》，维护工程师到场后按第五章故障诊断流程处理，处理完成后验证效果并签字确认。</w:t>
      </w:r>
    </w:p>
    <w:p w14:paraId="5FB52DDB">
      <w:pPr>
        <w:pStyle w:val="4"/>
      </w:pPr>
      <w:r>
        <w:t>6.2 定期保养</w:t>
      </w:r>
    </w:p>
    <w:p w14:paraId="7F3BFF72">
      <w:pPr>
        <w:pStyle w:val="5"/>
      </w:pPr>
      <w:r>
        <w:t>6.2.1 周/月保养</w:t>
      </w:r>
    </w:p>
    <w:p w14:paraId="3FD05C2C">
      <w:r>
        <w:rPr>
          <w:b/>
        </w:rPr>
        <w:t>周保养</w:t>
      </w:r>
      <w:r>
        <w:t>（每周一执行）：</w:t>
      </w:r>
    </w:p>
    <w:p w14:paraId="6C4C9C4A">
      <w:pPr>
        <w:numPr>
          <w:ilvl w:val="0"/>
          <w:numId w:val="15"/>
        </w:numPr>
        <w:spacing w:before="0" w:beforeAutospacing="1" w:after="0" w:afterAutospacing="1"/>
        <w:ind w:left="720" w:hanging="360"/>
      </w:pPr>
      <w:r>
        <w:t>清洁电池桩头（用铜丝刷去除氧化物），涂抹凡士林防腐蚀；检查电池仓通风风扇（转速≥2000r/min），清理滤网灰尘（压缩空气0.4MPa吹扫）。</w:t>
      </w:r>
    </w:p>
    <w:p w14:paraId="4F5FA9C3">
      <w:pPr>
        <w:numPr>
          <w:ilvl w:val="0"/>
          <w:numId w:val="15"/>
        </w:numPr>
        <w:spacing w:before="0" w:beforeAutospacing="1" w:after="0" w:afterAutospacing="1"/>
        <w:ind w:left="720" w:hanging="360"/>
      </w:pPr>
      <w:r>
        <w:t>检查液压系统油位和油质（油色透明，无乳化、杂质），添加液压油（L-HM46）至规定液位；紧固油管接头（扭矩25±5N·m），检查软管有无老化裂纹。</w:t>
      </w:r>
    </w:p>
    <w:p w14:paraId="6533A751">
      <w:pPr>
        <w:numPr>
          <w:ilvl w:val="0"/>
          <w:numId w:val="15"/>
        </w:numPr>
        <w:spacing w:before="0" w:beforeAutospacing="1" w:after="0" w:afterAutospacing="1"/>
        <w:ind w:left="720" w:hanging="360"/>
      </w:pPr>
      <w:r>
        <w:t>润滑转向拉杆球头、门架滚轮轴承、货叉架销轴（加注锂基润滑脂，每个润滑点2-3g）；检查轮胎磨损情况（花纹深度≥2mm），紧固轮毂螺栓（扭矩80±10N·m）。</w:t>
      </w:r>
    </w:p>
    <w:p w14:paraId="2AD47D4C">
      <w:r>
        <w:rPr>
          <w:b/>
        </w:rPr>
        <w:t>月保养</w:t>
      </w:r>
      <w:r>
        <w:t>（每月最后一周执行）：</w:t>
      </w:r>
    </w:p>
    <w:p w14:paraId="4A83B8E9">
      <w:pPr>
        <w:numPr>
          <w:ilvl w:val="0"/>
          <w:numId w:val="16"/>
        </w:numPr>
        <w:spacing w:before="0" w:beforeAutospacing="1" w:after="0" w:afterAutospacing="1"/>
        <w:ind w:left="720" w:hanging="360"/>
      </w:pPr>
      <w:r>
        <w:t>测量驱动电机绝缘电阻（定子对地≥5MΩ，相间≥10MΩ）；检查电机碳刷（有刷电机）长度≥5mm，清理换向器表面碳粉（压缩空气吹扫）。</w:t>
      </w:r>
    </w:p>
    <w:p w14:paraId="18270529">
      <w:pPr>
        <w:numPr>
          <w:ilvl w:val="0"/>
          <w:numId w:val="16"/>
        </w:numPr>
        <w:spacing w:before="0" w:beforeAutospacing="1" w:after="0" w:afterAutospacing="1"/>
        <w:ind w:left="720" w:hanging="360"/>
      </w:pPr>
      <w:r>
        <w:t>校准传感器：起升高度传感器（用标准尺定位，偏差≤1mm）、转向角传感器（角度仪校准，偏差≤0.5°）、速度传感器（编码器零点复位）。</w:t>
      </w:r>
    </w:p>
    <w:p w14:paraId="205857BF">
      <w:pPr>
        <w:numPr>
          <w:ilvl w:val="0"/>
          <w:numId w:val="16"/>
        </w:numPr>
        <w:spacing w:before="0" w:beforeAutospacing="1" w:after="0" w:afterAutospacing="1"/>
        <w:ind w:left="720" w:hanging="360"/>
      </w:pPr>
      <w:r>
        <w:t>检查制动系统：测量刹车片厚度（≥5mm），制动盘端面跳动（≤0.1mm）；测试驻车制动力（≥3000N），调整制动间隙至0.3-0.5mm。</w:t>
      </w:r>
    </w:p>
    <w:p w14:paraId="06A836BF">
      <w:pPr>
        <w:pStyle w:val="5"/>
      </w:pPr>
      <w:r>
        <w:t>6.2.2 季度/年度保养</w:t>
      </w:r>
    </w:p>
    <w:p w14:paraId="0C26596F">
      <w:r>
        <w:rPr>
          <w:b/>
        </w:rPr>
        <w:t>季度保养</w:t>
      </w:r>
      <w:r>
        <w:t>（每3个月执行）：</w:t>
      </w:r>
    </w:p>
    <w:p w14:paraId="5D97BE4A">
      <w:pPr>
        <w:numPr>
          <w:ilvl w:val="0"/>
          <w:numId w:val="17"/>
        </w:numPr>
        <w:spacing w:before="0" w:beforeAutospacing="1" w:after="0" w:afterAutospacing="1"/>
        <w:ind w:left="720" w:hanging="360"/>
      </w:pPr>
      <w:r>
        <w:t>更换液压油和滤油器：排放旧油（油温40-50℃时放油彻底），清洗油箱（煤油冲洗），添加新油至液位计2/3处，更换滤芯（精度10μm）。</w:t>
      </w:r>
    </w:p>
    <w:p w14:paraId="47001B21">
      <w:pPr>
        <w:numPr>
          <w:ilvl w:val="0"/>
          <w:numId w:val="17"/>
        </w:numPr>
        <w:spacing w:before="0" w:beforeAutospacing="1" w:after="0" w:afterAutospacing="1"/>
        <w:ind w:left="720" w:hanging="360"/>
      </w:pPr>
      <w:r>
        <w:t>检查变速箱油位和油质，添加或更换齿轮油（型号GL-5 85W/90），油位以油尺刻度为准（上限-下限之间）。</w:t>
      </w:r>
    </w:p>
    <w:p w14:paraId="469E489D">
      <w:pPr>
        <w:numPr>
          <w:ilvl w:val="0"/>
          <w:numId w:val="17"/>
        </w:numPr>
        <w:spacing w:before="0" w:beforeAutospacing="1" w:after="0" w:afterAutospacing="1"/>
        <w:ind w:left="720" w:hanging="360"/>
      </w:pPr>
      <w:r>
        <w:t>检查门架和车架结构：目视检查焊接部位有无裂纹，用磁力探伤仪检测关键焊缝（如门架立柱与横梁连接处），紧固松动的螺栓（扭矩80±10N·m）。</w:t>
      </w:r>
    </w:p>
    <w:p w14:paraId="1302BD91">
      <w:r>
        <w:rPr>
          <w:b/>
        </w:rPr>
        <w:t>年度保养</w:t>
      </w:r>
      <w:r>
        <w:t>（每年12月执行）：</w:t>
      </w:r>
    </w:p>
    <w:p w14:paraId="7B64AE6B">
      <w:pPr>
        <w:numPr>
          <w:ilvl w:val="0"/>
          <w:numId w:val="18"/>
        </w:numPr>
        <w:spacing w:before="0" w:beforeAutospacing="1" w:after="0" w:afterAutospacing="1"/>
        <w:ind w:left="720" w:hanging="360"/>
      </w:pPr>
      <w:r>
        <w:t>电池容量测试：用电池容量测试仪检测单体和总容量（≥80%额定值），容量不足时更换电池组；检查电池壳体有无鼓包、漏液，连接线束绝缘层有无老化。</w:t>
      </w:r>
    </w:p>
    <w:p w14:paraId="4557905D">
      <w:pPr>
        <w:numPr>
          <w:ilvl w:val="0"/>
          <w:numId w:val="18"/>
        </w:numPr>
        <w:spacing w:before="0" w:beforeAutospacing="1" w:after="0" w:afterAutospacing="1"/>
        <w:ind w:left="720" w:hanging="360"/>
      </w:pPr>
      <w:r>
        <w:t>液压系统性能测试：测试液压泵压力（16-20MPa）和流量（±5%额定值），调整溢流阀压力至设定值；检查多路阀换向性能，确保动作无卡滞。</w:t>
      </w:r>
    </w:p>
    <w:p w14:paraId="4DC123FB">
      <w:pPr>
        <w:numPr>
          <w:ilvl w:val="0"/>
          <w:numId w:val="18"/>
        </w:numPr>
        <w:spacing w:before="0" w:beforeAutospacing="1" w:after="0" w:afterAutospacing="1"/>
        <w:ind w:left="720" w:hanging="360"/>
      </w:pPr>
      <w:r>
        <w:t>控制系统功能验证：测试所有安全联锁逻辑（急停、过载、欠压保护），备份PLC程序和HMI组态，更新控制器固件至最新版本。</w:t>
      </w:r>
    </w:p>
    <w:p w14:paraId="75AF7FCC">
      <w:pPr>
        <w:pStyle w:val="4"/>
      </w:pPr>
      <w:r>
        <w:t>6.3 预防性维护与备件管理</w:t>
      </w:r>
    </w:p>
    <w:p w14:paraId="388EF73A">
      <w:pPr>
        <w:pStyle w:val="5"/>
      </w:pPr>
      <w:r>
        <w:t>易损件更换计划</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599BCBB9">
        <w:tblPrEx>
          <w:tblCellMar>
            <w:top w:w="0" w:type="dxa"/>
            <w:left w:w="0" w:type="dxa"/>
            <w:bottom w:w="0" w:type="dxa"/>
            <w:right w:w="0" w:type="dxa"/>
          </w:tblCellMar>
        </w:tblPrEx>
        <w:tc>
          <w:tcPr>
            <w:tcW w:w="0" w:type="auto"/>
            <w:vAlign w:val="center"/>
          </w:tcPr>
          <w:p w14:paraId="13662F38">
            <w:pPr>
              <w:jc w:val="center"/>
              <w:rPr>
                <w:b/>
              </w:rPr>
            </w:pPr>
            <w:r>
              <w:rPr>
                <w:b/>
              </w:rPr>
              <w:t>易损件名称</w:t>
            </w:r>
          </w:p>
        </w:tc>
        <w:tc>
          <w:tcPr>
            <w:tcW w:w="0" w:type="auto"/>
            <w:vAlign w:val="center"/>
          </w:tcPr>
          <w:p w14:paraId="7BB90EED">
            <w:pPr>
              <w:jc w:val="center"/>
              <w:rPr>
                <w:b/>
              </w:rPr>
            </w:pPr>
            <w:r>
              <w:rPr>
                <w:b/>
              </w:rPr>
              <w:t>更换周期（或判定标准）</w:t>
            </w:r>
          </w:p>
        </w:tc>
        <w:tc>
          <w:tcPr>
            <w:tcW w:w="0" w:type="auto"/>
            <w:vAlign w:val="center"/>
          </w:tcPr>
          <w:p w14:paraId="0B332A61">
            <w:pPr>
              <w:jc w:val="center"/>
              <w:rPr>
                <w:b/>
              </w:rPr>
            </w:pPr>
            <w:r>
              <w:rPr>
                <w:b/>
              </w:rPr>
              <w:t>规格型号示例</w:t>
            </w:r>
          </w:p>
        </w:tc>
        <w:tc>
          <w:tcPr>
            <w:tcW w:w="0" w:type="auto"/>
            <w:vAlign w:val="center"/>
          </w:tcPr>
          <w:p w14:paraId="7B278768">
            <w:pPr>
              <w:jc w:val="center"/>
              <w:rPr>
                <w:b/>
              </w:rPr>
            </w:pPr>
            <w:r>
              <w:rPr>
                <w:b/>
              </w:rPr>
              <w:t>最小库存量</w:t>
            </w:r>
          </w:p>
        </w:tc>
        <w:tc>
          <w:tcPr>
            <w:tcW w:w="0" w:type="auto"/>
            <w:vAlign w:val="center"/>
          </w:tcPr>
          <w:p w14:paraId="215C2AD5">
            <w:pPr>
              <w:jc w:val="center"/>
              <w:rPr>
                <w:b/>
              </w:rPr>
            </w:pPr>
            <w:r>
              <w:rPr>
                <w:b/>
              </w:rPr>
              <w:t>存储条件</w:t>
            </w:r>
          </w:p>
        </w:tc>
      </w:tr>
      <w:tr w14:paraId="5586F31E">
        <w:tblPrEx>
          <w:tblCellMar>
            <w:top w:w="0" w:type="dxa"/>
            <w:left w:w="0" w:type="dxa"/>
            <w:bottom w:w="0" w:type="dxa"/>
            <w:right w:w="0" w:type="dxa"/>
          </w:tblCellMar>
        </w:tblPrEx>
        <w:tc>
          <w:tcPr>
            <w:tcW w:w="0" w:type="auto"/>
            <w:vAlign w:val="center"/>
          </w:tcPr>
          <w:p w14:paraId="10EDFF51">
            <w:r>
              <w:t>刹车片</w:t>
            </w:r>
          </w:p>
        </w:tc>
        <w:tc>
          <w:tcPr>
            <w:tcW w:w="0" w:type="auto"/>
            <w:vAlign w:val="center"/>
          </w:tcPr>
          <w:p w14:paraId="1D174CB9">
            <w:r>
              <w:t>厚度＜3mm或5000次制动循环</w:t>
            </w:r>
          </w:p>
        </w:tc>
        <w:tc>
          <w:tcPr>
            <w:tcW w:w="0" w:type="auto"/>
            <w:vAlign w:val="center"/>
          </w:tcPr>
          <w:p w14:paraId="5A148195">
            <w:r>
              <w:t>陶瓷摩擦片（适配300mm制动盘）</w:t>
            </w:r>
          </w:p>
        </w:tc>
        <w:tc>
          <w:tcPr>
            <w:tcW w:w="0" w:type="auto"/>
            <w:vAlign w:val="center"/>
          </w:tcPr>
          <w:p w14:paraId="457B86B5">
            <w:r>
              <w:t>2套</w:t>
            </w:r>
          </w:p>
        </w:tc>
        <w:tc>
          <w:tcPr>
            <w:tcW w:w="0" w:type="auto"/>
            <w:vAlign w:val="center"/>
          </w:tcPr>
          <w:p w14:paraId="2D37C995">
            <w:r>
              <w:t>干燥环境，避免油污污染</w:t>
            </w:r>
          </w:p>
        </w:tc>
      </w:tr>
      <w:tr w14:paraId="01CC4E2C">
        <w:tblPrEx>
          <w:tblCellMar>
            <w:top w:w="0" w:type="dxa"/>
            <w:left w:w="0" w:type="dxa"/>
            <w:bottom w:w="0" w:type="dxa"/>
            <w:right w:w="0" w:type="dxa"/>
          </w:tblCellMar>
        </w:tblPrEx>
        <w:tc>
          <w:tcPr>
            <w:tcW w:w="0" w:type="auto"/>
            <w:vAlign w:val="center"/>
          </w:tcPr>
          <w:p w14:paraId="358A101F">
            <w:r>
              <w:t>液压油</w:t>
            </w:r>
          </w:p>
        </w:tc>
        <w:tc>
          <w:tcPr>
            <w:tcW w:w="0" w:type="auto"/>
            <w:vAlign w:val="center"/>
          </w:tcPr>
          <w:p w14:paraId="4696EDBC">
            <w:r>
              <w:t>2000小时或污染度NAS 8级</w:t>
            </w:r>
          </w:p>
        </w:tc>
        <w:tc>
          <w:tcPr>
            <w:tcW w:w="0" w:type="auto"/>
            <w:vAlign w:val="center"/>
          </w:tcPr>
          <w:p w14:paraId="67415C94">
            <w:r>
              <w:t>L-HM46抗磨液压油</w:t>
            </w:r>
          </w:p>
        </w:tc>
        <w:tc>
          <w:tcPr>
            <w:tcW w:w="0" w:type="auto"/>
            <w:vAlign w:val="center"/>
          </w:tcPr>
          <w:p w14:paraId="608A7DF3">
            <w:r>
              <w:t>50L</w:t>
            </w:r>
          </w:p>
        </w:tc>
        <w:tc>
          <w:tcPr>
            <w:tcW w:w="0" w:type="auto"/>
            <w:vAlign w:val="center"/>
          </w:tcPr>
          <w:p w14:paraId="5973A1E0">
            <w:r>
              <w:t>密封桶存放，温度5-40℃</w:t>
            </w:r>
          </w:p>
        </w:tc>
      </w:tr>
      <w:tr w14:paraId="0CEA44BC">
        <w:tc>
          <w:tcPr>
            <w:tcW w:w="0" w:type="auto"/>
            <w:vAlign w:val="center"/>
          </w:tcPr>
          <w:p w14:paraId="5E3B137D">
            <w:r>
              <w:t>电池单体</w:t>
            </w:r>
          </w:p>
        </w:tc>
        <w:tc>
          <w:tcPr>
            <w:tcW w:w="0" w:type="auto"/>
            <w:vAlign w:val="center"/>
          </w:tcPr>
          <w:p w14:paraId="6DE9B665">
            <w:r>
              <w:t>容量＜70%额定值或3年</w:t>
            </w:r>
          </w:p>
        </w:tc>
        <w:tc>
          <w:tcPr>
            <w:tcW w:w="0" w:type="auto"/>
            <w:vAlign w:val="center"/>
          </w:tcPr>
          <w:p w14:paraId="3D50FBEE">
            <w:r>
              <w:t>3.2V/280Ah磷酸铁锂电池</w:t>
            </w:r>
          </w:p>
        </w:tc>
        <w:tc>
          <w:tcPr>
            <w:tcW w:w="0" w:type="auto"/>
            <w:vAlign w:val="center"/>
          </w:tcPr>
          <w:p w14:paraId="440E6E45">
            <w:r>
              <w:t>3只</w:t>
            </w:r>
          </w:p>
        </w:tc>
        <w:tc>
          <w:tcPr>
            <w:tcW w:w="0" w:type="auto"/>
            <w:vAlign w:val="center"/>
          </w:tcPr>
          <w:p w14:paraId="01551AAC">
            <w:r>
              <w:t>温度10-30℃，SOC 50%存储</w:t>
            </w:r>
          </w:p>
        </w:tc>
      </w:tr>
      <w:tr w14:paraId="65DA0FF4">
        <w:tblPrEx>
          <w:tblCellMar>
            <w:top w:w="0" w:type="dxa"/>
            <w:left w:w="0" w:type="dxa"/>
            <w:bottom w:w="0" w:type="dxa"/>
            <w:right w:w="0" w:type="dxa"/>
          </w:tblCellMar>
        </w:tblPrEx>
        <w:tc>
          <w:tcPr>
            <w:tcW w:w="0" w:type="auto"/>
            <w:vAlign w:val="center"/>
          </w:tcPr>
          <w:p w14:paraId="3D42EC1F">
            <w:r>
              <w:t>轴承</w:t>
            </w:r>
          </w:p>
        </w:tc>
        <w:tc>
          <w:tcPr>
            <w:tcW w:w="0" w:type="auto"/>
            <w:vAlign w:val="center"/>
          </w:tcPr>
          <w:p w14:paraId="41EA1C56">
            <w:r>
              <w:t>运行5000小时或游隙＞0.15mm</w:t>
            </w:r>
          </w:p>
        </w:tc>
        <w:tc>
          <w:tcPr>
            <w:tcW w:w="0" w:type="auto"/>
            <w:vAlign w:val="center"/>
          </w:tcPr>
          <w:p w14:paraId="5AB78EBC">
            <w:r>
              <w:t>6204ZZ（门架滚轮）</w:t>
            </w:r>
          </w:p>
        </w:tc>
        <w:tc>
          <w:tcPr>
            <w:tcW w:w="0" w:type="auto"/>
            <w:vAlign w:val="center"/>
          </w:tcPr>
          <w:p w14:paraId="0F944566">
            <w:r>
              <w:t>10套</w:t>
            </w:r>
          </w:p>
        </w:tc>
        <w:tc>
          <w:tcPr>
            <w:tcW w:w="0" w:type="auto"/>
            <w:vAlign w:val="center"/>
          </w:tcPr>
          <w:p w14:paraId="577F55E2">
            <w:r>
              <w:t>原包装，防潮、防腐蚀</w:t>
            </w:r>
          </w:p>
        </w:tc>
      </w:tr>
      <w:tr w14:paraId="09E77FCD">
        <w:tblPrEx>
          <w:tblCellMar>
            <w:top w:w="0" w:type="dxa"/>
            <w:left w:w="0" w:type="dxa"/>
            <w:bottom w:w="0" w:type="dxa"/>
            <w:right w:w="0" w:type="dxa"/>
          </w:tblCellMar>
        </w:tblPrEx>
        <w:tc>
          <w:tcPr>
            <w:tcW w:w="0" w:type="auto"/>
            <w:vAlign w:val="center"/>
          </w:tcPr>
          <w:p w14:paraId="27F86A0B">
            <w:r>
              <w:t>密封件</w:t>
            </w:r>
          </w:p>
        </w:tc>
        <w:tc>
          <w:tcPr>
            <w:tcW w:w="0" w:type="auto"/>
            <w:vAlign w:val="center"/>
          </w:tcPr>
          <w:p w14:paraId="451C6292">
            <w:r>
              <w:t>1年或出现渗漏时</w:t>
            </w:r>
          </w:p>
        </w:tc>
        <w:tc>
          <w:tcPr>
            <w:tcW w:w="0" w:type="auto"/>
            <w:vAlign w:val="center"/>
          </w:tcPr>
          <w:p w14:paraId="027045B5">
            <w:r>
              <w:t>O型圈（丁腈橡胶，硬度70 Shore A）</w:t>
            </w:r>
          </w:p>
        </w:tc>
        <w:tc>
          <w:tcPr>
            <w:tcW w:w="0" w:type="auto"/>
            <w:vAlign w:val="center"/>
          </w:tcPr>
          <w:p w14:paraId="096D704A">
            <w:r>
              <w:t>1套（含常用规格）</w:t>
            </w:r>
          </w:p>
        </w:tc>
        <w:tc>
          <w:tcPr>
            <w:tcW w:w="0" w:type="auto"/>
            <w:vAlign w:val="center"/>
          </w:tcPr>
          <w:p w14:paraId="568F758F">
            <w:r>
              <w:t>避光、干燥，温度-20-40℃</w:t>
            </w:r>
          </w:p>
        </w:tc>
      </w:tr>
    </w:tbl>
    <w:p w14:paraId="554C457F">
      <w:pPr>
        <w:pStyle w:val="5"/>
      </w:pPr>
      <w:r>
        <w:t>状态监测与预测性维护</w:t>
      </w:r>
    </w:p>
    <w:p w14:paraId="52289547">
      <w:pPr>
        <w:numPr>
          <w:ilvl w:val="0"/>
          <w:numId w:val="19"/>
        </w:numPr>
        <w:spacing w:before="0" w:beforeAutospacing="1" w:after="0" w:afterAutospacing="1"/>
        <w:ind w:left="720" w:hanging="360"/>
      </w:pPr>
      <w:r>
        <w:rPr>
          <w:b/>
        </w:rPr>
        <w:t>振动监测</w:t>
      </w:r>
      <w:r>
        <w:t>：在驱动电机轴承座、变速箱壳体安装振动传感器（量程0-50g，频率1-1000Hz），实时监测振动加速度，当值＞4.5mm/s²（报警阈值）时，预测轴承剩余寿命＜500小时，提前更换。</w:t>
      </w:r>
    </w:p>
    <w:p w14:paraId="725D9A2C">
      <w:pPr>
        <w:numPr>
          <w:ilvl w:val="0"/>
          <w:numId w:val="19"/>
        </w:numPr>
        <w:spacing w:before="0" w:beforeAutospacing="1" w:after="0" w:afterAutospacing="1"/>
        <w:ind w:left="720" w:hanging="360"/>
      </w:pPr>
      <w:r>
        <w:rPr>
          <w:b/>
        </w:rPr>
        <w:t>油液分析</w:t>
      </w:r>
      <w:r>
        <w:t>：每季度取液压油、齿轮油样，检测污染度（NAS 8级以下）、水分含量（＜0.1%）、粘度指数（变化率±10%内），超标时更换油液并排查污染源（如密封件老化导致进水）。</w:t>
      </w:r>
    </w:p>
    <w:p w14:paraId="6C049480">
      <w:pPr>
        <w:numPr>
          <w:ilvl w:val="0"/>
          <w:numId w:val="19"/>
        </w:numPr>
        <w:spacing w:before="0" w:beforeAutospacing="1" w:after="0" w:afterAutospacing="1"/>
        <w:ind w:left="720" w:hanging="360"/>
      </w:pPr>
      <w:r>
        <w:rPr>
          <w:b/>
        </w:rPr>
        <w:t>电池健康度评估</w:t>
      </w:r>
      <w:r>
        <w:t>：通过BMS采集电池循环次数、容量衰减率、内阻增长趋势，计算SOH（电池健康度），SOH＜80%时制定更换计划，避免突发故障。</w:t>
      </w:r>
    </w:p>
    <w:p w14:paraId="628E1DB4">
      <w:pPr>
        <w:pStyle w:val="5"/>
      </w:pPr>
      <w:r>
        <w:t>特殊环境维护</w:t>
      </w:r>
    </w:p>
    <w:p w14:paraId="070A90FE">
      <w:pPr>
        <w:numPr>
          <w:ilvl w:val="0"/>
          <w:numId w:val="20"/>
        </w:numPr>
        <w:spacing w:before="0" w:beforeAutospacing="1" w:after="0" w:afterAutospacing="1"/>
        <w:ind w:left="720" w:hanging="360"/>
      </w:pPr>
      <w:r>
        <w:rPr>
          <w:b/>
        </w:rPr>
        <w:t>高温环境（＞40℃）</w:t>
      </w:r>
      <w:r>
        <w:t>：增加电池散热风扇数量（风量≥5m³/min），缩短液压油更换周期（1500小时/次），电机加装隔热罩（耐高温≥150℃）。</w:t>
      </w:r>
    </w:p>
    <w:p w14:paraId="0A105A48">
      <w:pPr>
        <w:numPr>
          <w:ilvl w:val="0"/>
          <w:numId w:val="20"/>
        </w:numPr>
        <w:spacing w:before="0" w:beforeAutospacing="1" w:after="0" w:afterAutospacing="1"/>
        <w:ind w:left="720" w:hanging="360"/>
      </w:pPr>
      <w:r>
        <w:rPr>
          <w:b/>
        </w:rPr>
        <w:t>低温环境（＜0℃）</w:t>
      </w:r>
      <w:r>
        <w:t>：启用电池加热功能（加热功率1-3kW），确保电池温度≥5℃再充电；液压系统添加抗凝剂（比例1:1000），防止油液低温凝固。</w:t>
      </w:r>
    </w:p>
    <w:p w14:paraId="002D5507">
      <w:pPr>
        <w:numPr>
          <w:ilvl w:val="0"/>
          <w:numId w:val="20"/>
        </w:numPr>
        <w:spacing w:before="0" w:beforeAutospacing="1" w:after="0" w:afterAutospacing="1"/>
        <w:ind w:left="720" w:hanging="360"/>
      </w:pPr>
      <w:r>
        <w:rPr>
          <w:b/>
        </w:rPr>
        <w:t>多尘环境（粉尘浓度＞10mg/m³）</w:t>
      </w:r>
      <w:r>
        <w:t>：每日清洁空气滤清器（滤芯孔径≤1mm），电机进风口安装防尘网（目数100），定期（每周）吹扫控制器散热通道。</w:t>
      </w:r>
    </w:p>
    <w:p w14:paraId="13944260">
      <w:r>
        <w:t>通过以上维护措施，可使锂电重式平衡叉车平均无故障运行时间（MTBF）≥5000小时，使用寿命延长至8-10年，综合运营成本降低30%以上。</w:t>
      </w:r>
    </w:p>
    <w:p w14:paraId="7046804F">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D3DE2"/>
    <w:multiLevelType w:val="singleLevel"/>
    <w:tmpl w:val="96FD3DE2"/>
    <w:lvl w:ilvl="0" w:tentative="0">
      <w:start w:val="1"/>
      <w:numFmt w:val="bullet"/>
      <w:lvlText w:val=""/>
      <w:lvlJc w:val="left"/>
      <w:pPr>
        <w:ind w:left="720" w:hanging="360"/>
      </w:pPr>
      <w:rPr>
        <w:rFonts w:hint="default" w:ascii="Symbol" w:hAnsi="Symbol" w:cs="Symbol"/>
        <w:sz w:val="20"/>
      </w:rPr>
    </w:lvl>
  </w:abstractNum>
  <w:abstractNum w:abstractNumId="1">
    <w:nsid w:val="9FAE93C7"/>
    <w:multiLevelType w:val="singleLevel"/>
    <w:tmpl w:val="9FAE93C7"/>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DBF0AB32"/>
    <w:multiLevelType w:val="singleLevel"/>
    <w:tmpl w:val="DBF0AB32"/>
    <w:lvl w:ilvl="0" w:tentative="0">
      <w:start w:val="1"/>
      <w:numFmt w:val="bullet"/>
      <w:lvlText w:val=""/>
      <w:lvlJc w:val="left"/>
      <w:pPr>
        <w:ind w:left="720" w:hanging="360"/>
      </w:pPr>
      <w:rPr>
        <w:rFonts w:hint="default" w:ascii="Symbol" w:hAnsi="Symbol" w:cs="Symbol"/>
        <w:sz w:val="20"/>
      </w:rPr>
    </w:lvl>
  </w:abstractNum>
  <w:abstractNum w:abstractNumId="6">
    <w:nsid w:val="EBDEF03B"/>
    <w:multiLevelType w:val="singleLevel"/>
    <w:tmpl w:val="EBDEF03B"/>
    <w:lvl w:ilvl="0" w:tentative="0">
      <w:start w:val="1"/>
      <w:numFmt w:val="bullet"/>
      <w:lvlText w:val=""/>
      <w:lvlJc w:val="left"/>
      <w:pPr>
        <w:ind w:left="720" w:hanging="360"/>
      </w:pPr>
      <w:rPr>
        <w:rFonts w:hint="default" w:ascii="Symbol" w:hAnsi="Symbol" w:cs="Symbol"/>
        <w:sz w:val="20"/>
      </w:rPr>
    </w:lvl>
  </w:abstractNum>
  <w:abstractNum w:abstractNumId="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8">
    <w:nsid w:val="FBDE49B7"/>
    <w:multiLevelType w:val="singleLevel"/>
    <w:tmpl w:val="FBDE49B7"/>
    <w:lvl w:ilvl="0" w:tentative="0">
      <w:start w:val="1"/>
      <w:numFmt w:val="bullet"/>
      <w:lvlText w:val=""/>
      <w:lvlJc w:val="left"/>
      <w:pPr>
        <w:ind w:left="720" w:hanging="360"/>
      </w:pPr>
      <w:rPr>
        <w:rFonts w:hint="default" w:ascii="Symbol" w:hAnsi="Symbol" w:cs="Symbol"/>
        <w:sz w:val="20"/>
      </w:rPr>
    </w:lvl>
  </w:abstractNum>
  <w:abstractNum w:abstractNumId="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0">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1">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2">
    <w:nsid w:val="FFD694C0"/>
    <w:multiLevelType w:val="singleLevel"/>
    <w:tmpl w:val="FFD694C0"/>
    <w:lvl w:ilvl="0" w:tentative="0">
      <w:start w:val="1"/>
      <w:numFmt w:val="bullet"/>
      <w:lvlText w:val=""/>
      <w:lvlJc w:val="left"/>
      <w:pPr>
        <w:ind w:left="720" w:hanging="360"/>
      </w:pPr>
      <w:rPr>
        <w:rFonts w:hint="default" w:ascii="Symbol" w:hAnsi="Symbol" w:cs="Symbol"/>
        <w:sz w:val="20"/>
      </w:rPr>
    </w:lvl>
  </w:abstractNum>
  <w:abstractNum w:abstractNumId="13">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6">
    <w:nsid w:val="5FDB15EB"/>
    <w:multiLevelType w:val="singleLevel"/>
    <w:tmpl w:val="5FDB15EB"/>
    <w:lvl w:ilvl="0" w:tentative="0">
      <w:start w:val="1"/>
      <w:numFmt w:val="bullet"/>
      <w:lvlText w:val=""/>
      <w:lvlJc w:val="left"/>
      <w:pPr>
        <w:ind w:left="720" w:hanging="360"/>
      </w:pPr>
      <w:rPr>
        <w:rFonts w:hint="default" w:ascii="Symbol" w:hAnsi="Symbol" w:cs="Symbol"/>
        <w:sz w:val="20"/>
      </w:rPr>
    </w:lvl>
  </w:abstractNum>
  <w:abstractNum w:abstractNumId="1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8">
    <w:nsid w:val="72FEC070"/>
    <w:multiLevelType w:val="singleLevel"/>
    <w:tmpl w:val="72FEC070"/>
    <w:lvl w:ilvl="0" w:tentative="0">
      <w:start w:val="1"/>
      <w:numFmt w:val="bullet"/>
      <w:lvlText w:val=""/>
      <w:lvlJc w:val="left"/>
      <w:pPr>
        <w:ind w:left="720" w:hanging="360"/>
      </w:pPr>
      <w:rPr>
        <w:rFonts w:hint="default" w:ascii="Symbol" w:hAnsi="Symbol" w:cs="Symbol"/>
        <w:sz w:val="20"/>
      </w:rPr>
    </w:lvl>
  </w:abstractNum>
  <w:abstractNum w:abstractNumId="19">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5"/>
  </w:num>
  <w:num w:numId="2">
    <w:abstractNumId w:val="19"/>
  </w:num>
  <w:num w:numId="3">
    <w:abstractNumId w:val="3"/>
  </w:num>
  <w:num w:numId="4">
    <w:abstractNumId w:val="13"/>
  </w:num>
  <w:num w:numId="5">
    <w:abstractNumId w:val="9"/>
  </w:num>
  <w:num w:numId="6">
    <w:abstractNumId w:val="17"/>
  </w:num>
  <w:num w:numId="7">
    <w:abstractNumId w:val="7"/>
  </w:num>
  <w:num w:numId="8">
    <w:abstractNumId w:val="14"/>
  </w:num>
  <w:num w:numId="9">
    <w:abstractNumId w:val="10"/>
  </w:num>
  <w:num w:numId="10">
    <w:abstractNumId w:val="11"/>
  </w:num>
  <w:num w:numId="11">
    <w:abstractNumId w:val="4"/>
  </w:num>
  <w:num w:numId="12">
    <w:abstractNumId w:val="2"/>
  </w:num>
  <w:num w:numId="13">
    <w:abstractNumId w:val="16"/>
  </w:num>
  <w:num w:numId="14">
    <w:abstractNumId w:val="6"/>
  </w:num>
  <w:num w:numId="15">
    <w:abstractNumId w:val="1"/>
  </w:num>
  <w:num w:numId="16">
    <w:abstractNumId w:val="8"/>
  </w:num>
  <w:num w:numId="17">
    <w:abstractNumId w:val="5"/>
  </w:num>
  <w:num w:numId="18">
    <w:abstractNumId w:val="0"/>
  </w:num>
  <w:num w:numId="19">
    <w:abstractNumId w:val="1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DB976DD4"/>
    <w:rsid w:val="EDEA1492"/>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2025-09-28T22:58:39Z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8A7A2FFBD6448DCE1F4DD968BCF2E266_43</vt:lpwstr>
  </property>
  <property fmtid="{D5CDD505-2E9C-101B-9397-08002B2CF9AE}" pid="4" name="KSOTemplateDocerSaveRecord">
    <vt:lpwstr>eyJoZGlkIjoiNzI4YmNmYThhZjA0NTVhODllNDhjMGZiNmFkMDJjN2YiLCJ1c2VySWQiOiIxNjA5OTI0MDI0In0=</vt:lpwstr>
  </property>
</Properties>
</file>