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F0824">
      <w:pPr>
        <w:pStyle w:val="2"/>
      </w:pPr>
    </w:p>
    <w:p w14:paraId="3DA60BB1">
      <w:pPr>
        <w:pStyle w:val="2"/>
      </w:pPr>
      <w:r>
        <w:t>干变铁芯车间常规铁芯废气处理系统技术手册</w:t>
      </w:r>
    </w:p>
    <w:p w14:paraId="7E4CBB83">
      <w:pPr>
        <w:pStyle w:val="3"/>
      </w:pPr>
      <w:r>
        <w:t>一、系统概述</w:t>
      </w:r>
    </w:p>
    <w:p w14:paraId="7F7F09EA">
      <w:pPr>
        <w:pStyle w:val="4"/>
      </w:pPr>
      <w:r>
        <w:t>1.1 系统定义与应用背景</w:t>
      </w:r>
    </w:p>
    <w:p w14:paraId="56183704">
      <w:r>
        <w:t>干变铁芯车间常规铁芯废气处理系统是针对干式变压器铁芯加工过程中产生的废气进行收集、净化和排放的专用环保设备。铁芯加工环节（如剪切、绕制、浸漆、烘干等）会释放两类主要污染物：一是绝缘漆、清洗剂挥发产生的有机废气（VOCs），主要成分为苯系物、酯类及醇类；二是铁芯硅钢片加工产生的金属粉尘（主要为铁、硅氧化物），粒径多在1-10μm。这些废气若直接排放，不仅会造成车间空气质量恶化，危害操作人员健康（长期接触可能引发呼吸道疾病、职业病），还会对周边环境造成污染，有机废气在特定条件下甚至存在燃爆风险。</w:t>
      </w:r>
    </w:p>
    <w:p w14:paraId="492A163B">
      <w:r>
        <w:t>该系统通过负压捕集、管道输送、多级净化的工艺路线，实现废气中颗粒物与有机污染物的高效去除，是保障车间安全生产、满足环保排放要求的核心设备。其处理效率直接关系到企业是否符合国家大气污染物排放标准及职业健康安全管理体系要求，同时对提升生产环境质量、降低设备腐蚀风险具有重要作用。</w:t>
      </w:r>
    </w:p>
    <w:p w14:paraId="7522C5D1">
      <w:pPr>
        <w:pStyle w:val="4"/>
      </w:pPr>
      <w:r>
        <w:t>1.2 设计依据与技术标准</w:t>
      </w:r>
    </w:p>
    <w:p w14:paraId="7BCBD9AF">
      <w:r>
        <w:t>系统设计严格遵循国家及行业相关标准，主要依据包括：</w:t>
      </w:r>
    </w:p>
    <w:p w14:paraId="0821E313">
      <w:pPr>
        <w:numPr>
          <w:ilvl w:val="0"/>
          <w:numId w:val="13"/>
        </w:numPr>
        <w:spacing w:before="0" w:beforeAutospacing="1" w:after="0" w:afterAutospacing="1"/>
        <w:ind w:left="720" w:hanging="360"/>
      </w:pPr>
      <w:r>
        <w:rPr>
          <w:b/>
        </w:rPr>
        <w:t>环保排放标准</w:t>
      </w:r>
      <w:r>
        <w:t>：《大气污染物综合排放标准》（GB16297-1996）规定，非甲烷总烃排放浓度≤120mg/m³，颗粒物排放浓度≤10mg/m³；《挥发性有机物无组织排放控制标准》（GB37822-2019）要求VOCs收集效率≥90%。</w:t>
      </w:r>
    </w:p>
    <w:p w14:paraId="48126D1B">
      <w:pPr>
        <w:numPr>
          <w:ilvl w:val="0"/>
          <w:numId w:val="13"/>
        </w:numPr>
        <w:spacing w:before="0" w:beforeAutospacing="1" w:after="0" w:afterAutospacing="1"/>
        <w:ind w:left="720" w:hanging="360"/>
      </w:pPr>
      <w:r>
        <w:rPr>
          <w:b/>
        </w:rPr>
        <w:t>安全规范</w:t>
      </w:r>
      <w:r>
        <w:t>：《粉尘防爆安全规程》（GB15577-2018）明确，可燃性粉尘除尘系统需采用负压设计，管道风速不低于12m/s，且不同防火分区的除尘系统禁止互联互通。</w:t>
      </w:r>
    </w:p>
    <w:p w14:paraId="16EF211E">
      <w:pPr>
        <w:numPr>
          <w:ilvl w:val="0"/>
          <w:numId w:val="13"/>
        </w:numPr>
        <w:spacing w:before="0" w:beforeAutospacing="1" w:after="0" w:afterAutospacing="1"/>
        <w:ind w:left="720" w:hanging="360"/>
      </w:pPr>
      <w:r>
        <w:rPr>
          <w:b/>
        </w:rPr>
        <w:t>设计参数</w:t>
      </w:r>
      <w:r>
        <w:t>：结合干变铁芯车间生产规模，系统设计处理风量范围为5000-50000m³/h，净化效率要求颗粒物≥99%，VOCs≥95%，设备连续运行时间≥8000小时/年。</w:t>
      </w:r>
    </w:p>
    <w:p w14:paraId="71AA252D">
      <w:pPr>
        <w:pStyle w:val="3"/>
      </w:pPr>
      <w:r>
        <w:t>二、系统结构与核心部件</w:t>
      </w:r>
    </w:p>
    <w:p w14:paraId="7D9B6AF2">
      <w:pPr>
        <w:pStyle w:val="4"/>
      </w:pPr>
      <w:r>
        <w:t>2.1 集气罩装置</w:t>
      </w:r>
    </w:p>
    <w:p w14:paraId="031B2E63">
      <w:r>
        <w:t>集气罩是废气处理系统的“第一道关口”，通过负压抽吸作用将铁芯加工设备产生的废气限定在局部区域并捕集。根据铁芯加工设备类型（如剪切机、绕线机、浸漆槽），常用顶吸式与侧吸式两种类型：顶吸式集气罩安装于设备正上方，适用于热态废气（如烘干工序），罩口尺寸按设备台面尺寸的1.2-1.5倍设计，典型尺寸为1.5m×1.2m（长×宽）；侧吸式安装于设备侧面，适用于常温废气（如剪切工序），罩口与污染源水平距离≤1.5m，垂直距离≤0.8m。</w:t>
      </w:r>
    </w:p>
    <w:p w14:paraId="0317F76D">
      <w:r>
        <w:t>集气罩的捕集效率取决于罩口风速与覆盖范围，设计风速需控制在1.2-1.8m/s（热态废气取上限，常温废气取下限），以确保废气不扩散至操作区。罩体采用3mm厚钢板焊接而成，内壁做防腐处理，罩口边缘设置50mm高导流板，减少外部气流干扰。为适应不同设备布局，部分集气罩配备可调节伸缩臂（行程0.5-1.5m），通过手动或气动方式调整位置，提升捕集灵活性。</w:t>
      </w:r>
    </w:p>
    <w:p w14:paraId="79F2B755">
      <w:pPr>
        <w:pStyle w:val="4"/>
      </w:pPr>
      <w:r>
        <w:t>2.2 管道输送系统</w:t>
      </w:r>
    </w:p>
    <w:p w14:paraId="101B04A2">
      <w:r>
        <w:t>管道系统负责将集气罩捕集的废气输送至净化装置，其设计需兼顾气流稳定性与能耗控制。管道材质根据废气特性选择：对于含酸性成分的废气（如浸漆废气），采用304不锈钢或FRP（玻璃钢）材质，厚度≥4mm；对于中性粉尘废气，采用Q235碳钢，内壁涂刷环氧树脂防腐涂层。管径计算依据为设计风量与风速，公式为D=√(4Q/(πv×3600))（D为管径，m；Q为风量，m³/h；v为风速，m/s），风速严格控制在8-15m/s，既避免粉尘沉积（风速＜8m/s易积尘），又防止管道磨损加剧（风速＞15m/s能耗过高）。</w:t>
      </w:r>
    </w:p>
    <w:p w14:paraId="1E81E448">
      <w:r>
        <w:t>管道布置遵循“短路径、少弯头”原则，水平管段设置≥3°坡度，便于冷凝液或粉尘自流至排污口；弯头曲率半径不小于管径的1.5倍（如DN300管道弯头半径≥450mm），减少局部阻力。管道连接采用法兰连接，垫片选用耐油橡胶垫（含油废气）或四氟垫片（腐蚀性废气），螺栓预紧力均匀以确保密封。为降低噪声与振动，风机出口管道设置柔性接头（长度200mm），并在支架处安装弹簧减震器。</w:t>
      </w:r>
    </w:p>
    <w:p w14:paraId="6518440C">
      <w:pPr>
        <w:pStyle w:val="4"/>
      </w:pPr>
      <w:r>
        <w:t>2.3 净化处理装置</w:t>
      </w:r>
    </w:p>
    <w:p w14:paraId="301F9266">
      <w:r>
        <w:t>净化装置是系统核心，针对铁芯废气“粉尘+VOCs”的复合污染特性，采用“布袋除尘+活性炭吸附+催化燃烧”的组合工艺，各模块功能如下：</w:t>
      </w:r>
    </w:p>
    <w:p w14:paraId="151ACF85">
      <w:pPr>
        <w:numPr>
          <w:ilvl w:val="0"/>
          <w:numId w:val="14"/>
        </w:numPr>
        <w:spacing w:before="0" w:beforeAutospacing="1" w:after="0" w:afterAutospacing="1"/>
        <w:ind w:left="720" w:hanging="360"/>
      </w:pPr>
      <w:r>
        <w:rPr>
          <w:b/>
        </w:rPr>
        <w:t>布袋除尘器</w:t>
      </w:r>
      <w:r>
        <w:t>：去除废气中99%以上的颗粒物，滤袋选用PPS（聚苯硫醚）针刺毡材质，耐温160℃，过滤面积按滤速1.0-1.2m/min设计（滤速=风量/过滤面积），滤袋直径130mm，长度2.0m，采用脉冲喷吹清灰方式（清灰压力0.4-0.6MPa，周期30-60s），灰斗底部安装螺旋输送机，将收集的粉尘输送至废料桶。</w:t>
      </w:r>
    </w:p>
    <w:p w14:paraId="58421390">
      <w:pPr>
        <w:numPr>
          <w:ilvl w:val="0"/>
          <w:numId w:val="14"/>
        </w:numPr>
        <w:spacing w:before="0" w:beforeAutospacing="1" w:after="0" w:afterAutospacing="1"/>
        <w:ind w:left="720" w:hanging="360"/>
      </w:pPr>
      <w:r>
        <w:rPr>
          <w:b/>
        </w:rPr>
        <w:t>活性炭吸附塔</w:t>
      </w:r>
      <w:r>
        <w:t>：吸附有机废气，塔体为立式圆柱形结构（直径1.5-3.0m，高度4.0-6.0m），内部填充柱状活性炭（碘值≥800mg/g，粒径φ4×8mm），填充高度1.5-2.0m，空塔气速控制在0.8-1.2m/min，确保废气与活性炭充分接触。塔顶设喷淋装置（仅在废气含酸性成分时启用），喷淋液为10%NaOH溶液，pH值控制在8-10，中和酸性物质后经塔底水箱循环使用。</w:t>
      </w:r>
    </w:p>
    <w:p w14:paraId="5F761A2D">
      <w:pPr>
        <w:numPr>
          <w:ilvl w:val="0"/>
          <w:numId w:val="14"/>
        </w:numPr>
        <w:spacing w:before="0" w:beforeAutospacing="1" w:after="0" w:afterAutospacing="1"/>
        <w:ind w:left="720" w:hanging="360"/>
      </w:pPr>
      <w:r>
        <w:rPr>
          <w:b/>
        </w:rPr>
        <w:t>催化燃烧装置</w:t>
      </w:r>
      <w:r>
        <w:t>：处理活性炭吸附饱和后的脱附废气，采用贵金属催化剂（Pt/Rh涂层，载体为蜂窝陶瓷），在200-400℃条件下将VOCs氧化为CO₂和H₂O，净化效率≥98%。装置配备电加热预热系统（启动时升温至300℃），运行中利用反应热维持温度，当废气浓度≥2000mg/m³时可实现自热运行，能耗降低60%以上。</w:t>
      </w:r>
    </w:p>
    <w:p w14:paraId="2378299C">
      <w:pPr>
        <w:pStyle w:val="4"/>
      </w:pPr>
      <w:r>
        <w:t>2.4 风机与动力系统</w:t>
      </w:r>
    </w:p>
    <w:p w14:paraId="21F6A6DA">
      <w:r>
        <w:t>风机为系统提供气流动力，根据系统总阻力（通常1500-5000Pa）与设计风量选型，优先选用4-72系列离心风机（中低压）或9-19系列高压离心风机（阻力＞3000Pa时）。风机性能参数需满足：风量5000-50000m³/h（按车间规模匹配，单条生产线对应10000-15000m³/h），全压1500-5000Pa，效率≥85%。电机采用变频调速（功率5.5-75kW），通过PLC控制频率（5-50Hz），实现风量无级调节，节能率达20-30%。</w:t>
      </w:r>
    </w:p>
    <w:p w14:paraId="2DC2B255">
      <w:r>
        <w:t>风机安装于净化装置出口（即“引风式”布置），避免风机接触未净化废气导致磨损或腐蚀。进出口均设置消声器（阻抗复合式，消声量≥25dB），风机基础采用钢筋混凝土浇筑（重量为风机总重的3倍以上），并垫30mm厚减震垫，降低振动传递。风机与管道之间通过柔性短管连接，减少安装误差对设备的影响。</w:t>
      </w:r>
    </w:p>
    <w:p w14:paraId="00519F1A">
      <w:pPr>
        <w:pStyle w:val="4"/>
      </w:pPr>
      <w:r>
        <w:t>2.5 排气筒及辅助装置</w:t>
      </w:r>
    </w:p>
    <w:p w14:paraId="2460D624">
      <w:r>
        <w:t>排气筒是废气排放的终端设备，其高度与结构需符合《制定地方大气污染物排放标准的技术方法》要求，常规高度≥15m，出口直径根据风机出口管径确定（通常为DN300-DN600），顶部安装防雨帽（锥形，倾角45°）与风向标，便于观察风向。排气筒底部设置采样平台（距地面1.5m高，面积≥1.0m×1.0m），配备安全护栏与爬梯，供环保监测使用。</w:t>
      </w:r>
    </w:p>
    <w:p w14:paraId="4590F7AD">
      <w:r>
        <w:t>辅助装置包括：</w:t>
      </w:r>
    </w:p>
    <w:p w14:paraId="436A5A4F">
      <w:pPr>
        <w:numPr>
          <w:ilvl w:val="0"/>
          <w:numId w:val="15"/>
        </w:numPr>
        <w:spacing w:before="0" w:beforeAutospacing="1" w:after="0" w:afterAutospacing="1"/>
        <w:ind w:left="720" w:hanging="360"/>
      </w:pPr>
      <w:r>
        <w:rPr>
          <w:b/>
        </w:rPr>
        <w:t>防爆系统</w:t>
      </w:r>
      <w:r>
        <w:t>：在风机进口管道设置隔爆阀（动作压力0.15MPa），当系统内发生燃爆时，隔爆阀瞬间关闭，切断火焰传播；活性炭吸附塔顶部安装泄爆片（爆破压力0.05MPa），释放爆炸压力。</w:t>
      </w:r>
    </w:p>
    <w:p w14:paraId="08E653C2">
      <w:pPr>
        <w:numPr>
          <w:ilvl w:val="0"/>
          <w:numId w:val="15"/>
        </w:numPr>
        <w:spacing w:before="0" w:beforeAutospacing="1" w:after="0" w:afterAutospacing="1"/>
        <w:ind w:left="720" w:hanging="360"/>
      </w:pPr>
      <w:r>
        <w:rPr>
          <w:b/>
        </w:rPr>
        <w:t>冷却系统</w:t>
      </w:r>
      <w:r>
        <w:t>：对于高温废气（如烘干工序，温度80-120℃），在管道进入净化装置前设置列管式冷却器，采用循环水降温，将废气温度降至40℃以下，保护活性炭与催化剂。</w:t>
      </w:r>
    </w:p>
    <w:p w14:paraId="4920E26A">
      <w:pPr>
        <w:numPr>
          <w:ilvl w:val="0"/>
          <w:numId w:val="15"/>
        </w:numPr>
        <w:spacing w:before="0" w:beforeAutospacing="1" w:after="0" w:afterAutospacing="1"/>
        <w:ind w:left="720" w:hanging="360"/>
      </w:pPr>
      <w:r>
        <w:rPr>
          <w:b/>
        </w:rPr>
        <w:t>在线监测装置</w:t>
      </w:r>
      <w:r>
        <w:t>：排气筒出口安装VOCs在线监测仪（检测范围0-500mg/m³）与颗粒物浓度传感器，数据实时上传至环保部门监控平台，超标时自动报警。</w:t>
      </w:r>
    </w:p>
    <w:p w14:paraId="793D6C84">
      <w:pPr>
        <w:pStyle w:val="3"/>
      </w:pPr>
      <w:r>
        <w:t>三、系统工作原理</w:t>
      </w:r>
    </w:p>
    <w:p w14:paraId="71D0D566">
      <w:pPr>
        <w:pStyle w:val="4"/>
      </w:pPr>
      <w:r>
        <w:t>3.1 功能原理与处理技术</w:t>
      </w:r>
    </w:p>
    <w:p w14:paraId="75B7B2D5">
      <w:r>
        <w:t>系统针对铁芯废气的处理技术基于污染物性质选择，具体如下：</w:t>
      </w:r>
    </w:p>
    <w:p w14:paraId="3D57772B">
      <w:pPr>
        <w:numPr>
          <w:ilvl w:val="0"/>
          <w:numId w:val="16"/>
        </w:numPr>
        <w:spacing w:before="0" w:beforeAutospacing="1" w:after="0" w:afterAutospacing="1"/>
        <w:ind w:left="720" w:hanging="360"/>
      </w:pPr>
      <w:r>
        <w:rPr>
          <w:b/>
        </w:rPr>
        <w:t>吸收法</w:t>
      </w:r>
      <w:r>
        <w:t>：适用于中高浓度（＞1000mg/m³）、水溶性较强的有机废气（如醇类、酯类），通过喷淋塔内碱性吸收液（NaOH溶液）与废气逆流接触，利用酸碱中和或物理溶解作用去除污染物。但该方法对非水溶性VOCs（如苯系物）净化效率较低（＜60%），且易产生废水二次污染，因此在铁芯车间仅作为预处理工艺，配合后续吸附法使用。</w:t>
      </w:r>
    </w:p>
    <w:p w14:paraId="5569A372">
      <w:pPr>
        <w:numPr>
          <w:ilvl w:val="0"/>
          <w:numId w:val="16"/>
        </w:numPr>
        <w:spacing w:before="0" w:beforeAutospacing="1" w:after="0" w:afterAutospacing="1"/>
        <w:ind w:left="720" w:hanging="360"/>
      </w:pPr>
      <w:r>
        <w:rPr>
          <w:b/>
        </w:rPr>
        <w:t>吸附法</w:t>
      </w:r>
      <w:r>
        <w:t>：核心为活性炭吸附，利用活性炭多孔结构（比表面积800-1200m²/g）的物理吸附力，将低浓度（＜1000mg/m³）VOCs分子捕获。当活性炭吸附饱和后，通过热风（120-150℃）解吸，释放高浓度VOCs气体（浓缩10-20倍），送往催化燃烧装置处理，活性炭可循环使用（寿命3-5年）。该方法净化效率高（≥95%），操作简单，是铁芯车间VOCs处理的主流工艺。</w:t>
      </w:r>
    </w:p>
    <w:p w14:paraId="667BFAB4">
      <w:pPr>
        <w:numPr>
          <w:ilvl w:val="0"/>
          <w:numId w:val="16"/>
        </w:numPr>
        <w:spacing w:before="0" w:beforeAutospacing="1" w:after="0" w:afterAutospacing="1"/>
        <w:ind w:left="720" w:hanging="360"/>
      </w:pPr>
      <w:r>
        <w:rPr>
          <w:b/>
        </w:rPr>
        <w:t>催化燃烧法</w:t>
      </w:r>
      <w:r>
        <w:t>：针对解吸后的高浓度VOCs，在催化剂作用下，于低温（200-400℃）将其氧化为CO₂和H₂O，反应方程式为CₙHₘOₓ+(n+m/4-x/2)O₂→nCO₂+m/2H₂O。与直接燃烧法（需800℃以上）相比，催化燃烧能耗降低60%，且无NOx生成。催化剂选用Pt-Pd贵金属负载型，对苯系物、醛酮类VOCs的催化活性最高，空速控制在10000-20000h⁻¹（空速=风量/催化剂体积）。</w:t>
      </w:r>
    </w:p>
    <w:p w14:paraId="7651AD05">
      <w:r>
        <w:t>实际应用中，系统采用“布袋除尘+活性炭吸附+催化燃烧”的组合工艺：首先通过布袋除尘器去除99%以上的粉尘，避免粉尘堵塞活性炭孔隙；然后活性炭吸附低浓度VOCs，实现大风量废气的净化；最后通过催化燃烧处理解吸后的高浓度VOCs，实现污染物的彻底分解与能源回收。</w:t>
      </w:r>
    </w:p>
    <w:p w14:paraId="4B7010F5">
      <w:pPr>
        <w:pStyle w:val="4"/>
      </w:pPr>
      <w:r>
        <w:t>3.2 机械原理</w:t>
      </w:r>
    </w:p>
    <w:p w14:paraId="3886F273">
      <w:pPr>
        <w:pStyle w:val="5"/>
      </w:pPr>
      <w:r>
        <w:t>3.2.1 气体流动动力学</w:t>
      </w:r>
    </w:p>
    <w:p w14:paraId="2026E059">
      <w:r>
        <w:t>系统内气体流动由风机提供动力，遵循流体力学基本规律。集气罩通过风机抽吸形成负压区（罩口静压-50--150Pa），废气在压差作用下进入罩内，气流形态为“收缩型”，速度从罩口向管道入口逐渐增加。为优化气流组织，设计中采用CFD（计算流体动力学）技术模拟流场，通过调整罩口形状、导流板角度，避免局部涡流（涡流会导致废气滞留，降低捕集效率）。</w:t>
      </w:r>
    </w:p>
    <w:p w14:paraId="49C27274">
      <w:r>
        <w:t>管道内气流为湍流流动（雷诺数Re＞4000），速度分布呈“中心快、边缘慢”的抛物线型，因此需控制管道粗糙度（内壁Ra≤12.5μm），减少沿程阻力。在多支管汇合处，采用“静压平衡法”设计支管管径，确保各集气罩风量分配均匀（偏差≤10%），避免“抢风”现象（部分罩口风量过大，部分过小）。</w:t>
      </w:r>
    </w:p>
    <w:p w14:paraId="5A08E878">
      <w:pPr>
        <w:pStyle w:val="5"/>
      </w:pPr>
      <w:r>
        <w:t>3.2.2 压力损失计算</w:t>
      </w:r>
    </w:p>
    <w:p w14:paraId="13D6FA5C">
      <w:r>
        <w:t>系统总压力损失是风机选型的关键参数，包括沿程阻力（ΔP₁）与局部阻力（ΔP₂），公式为ΔP=ΔP₁+ΔP₂。</w:t>
      </w:r>
    </w:p>
    <w:p w14:paraId="20F4C3CC">
      <w:pPr>
        <w:numPr>
          <w:ilvl w:val="0"/>
          <w:numId w:val="17"/>
        </w:numPr>
        <w:spacing w:before="0" w:beforeAutospacing="1" w:after="0" w:afterAutospacing="1"/>
        <w:ind w:left="720" w:hanging="360"/>
      </w:pPr>
      <w:r>
        <w:rPr>
          <w:b/>
        </w:rPr>
        <w:t>沿程阻力</w:t>
      </w:r>
      <w:r>
        <w:t>：与管道长度、风速、内壁粗糙度相关，计算公式为ΔP₁=λ×(L/D)×(ρv²/2)（λ为沿程阻力系数，L为管长，m；D为管径，m；ρ为气体密度，kg/m³；v为风速，m/s）。对于不锈钢管道，λ取0.02-0.03；碳钢管道取0.03-0.04。</w:t>
      </w:r>
    </w:p>
    <w:p w14:paraId="78597729">
      <w:pPr>
        <w:numPr>
          <w:ilvl w:val="0"/>
          <w:numId w:val="17"/>
        </w:numPr>
        <w:spacing w:before="0" w:beforeAutospacing="1" w:after="0" w:afterAutospacing="1"/>
        <w:ind w:left="720" w:hanging="360"/>
      </w:pPr>
      <w:r>
        <w:rPr>
          <w:b/>
        </w:rPr>
        <w:t>局部阻力</w:t>
      </w:r>
      <w:r>
        <w:t>：由弯头、变径管、阀门等部件产生，计算公式为ΔP₂=ξ×(ρv²/2)（ξ为局部阻力系数）。例如，90°弯头ξ=1.0-1.5（曲率半径越大，ξ越小）；布袋除尘器ξ=8.0-10.0（滤袋阻力占比最大）。</w:t>
      </w:r>
    </w:p>
    <w:p w14:paraId="6244712A">
      <w:r>
        <w:t>以某车间系统为例（风量10000m³/h，主管道长20m，管径DN400，风速12m/s），计算得沿程阻力ΔP₁=0.025×(20/0.4)×(1.2×12²/2)=108Pa；局部阻力（含2个90°弯头、1个变径管、1台布袋除尘器）ΔP₂=(1.5×2+0.5+9.0)×(1.2×12²/2)=1026Pa；总阻力ΔP=108+1026=1134Pa，风机选型时需加10-15%安全余量，即按1250-1300Pa设计。</w:t>
      </w:r>
    </w:p>
    <w:p w14:paraId="6DF60E32">
      <w:pPr>
        <w:pStyle w:val="5"/>
      </w:pPr>
      <w:r>
        <w:t>3.2.3 风机选型原理</w:t>
      </w:r>
    </w:p>
    <w:p w14:paraId="3E1169E6">
      <w:r>
        <w:t>风机选型需同时满足风量（Q）与风压（ΔP）要求，步骤如下：</w:t>
      </w:r>
    </w:p>
    <w:p w14:paraId="1D8F8FA9">
      <w:pPr>
        <w:numPr>
          <w:ilvl w:val="0"/>
          <w:numId w:val="18"/>
        </w:numPr>
        <w:spacing w:before="0" w:beforeAutospacing="1" w:after="0" w:afterAutospacing="1"/>
        <w:ind w:left="720" w:hanging="360"/>
      </w:pPr>
      <w:r>
        <w:rPr>
          <w:b/>
        </w:rPr>
        <w:t>确定设计风量</w:t>
      </w:r>
      <w:r>
        <w:t>：根据车间废气产生量计算，公式为Q=K×Q₀（Q₀为理论风量，m³/h；K为安全系数，取1.1-1.2）。</w:t>
      </w:r>
    </w:p>
    <w:p w14:paraId="0A11D249">
      <w:pPr>
        <w:numPr>
          <w:ilvl w:val="0"/>
          <w:numId w:val="18"/>
        </w:numPr>
        <w:spacing w:before="0" w:beforeAutospacing="1" w:after="0" w:afterAutospacing="1"/>
        <w:ind w:left="720" w:hanging="360"/>
      </w:pPr>
      <w:r>
        <w:rPr>
          <w:b/>
        </w:rPr>
        <w:t>计算总压力损失</w:t>
      </w:r>
      <w:r>
        <w:t>：按3.2.2方法计算ΔP，并加安全余量。</w:t>
      </w:r>
    </w:p>
    <w:p w14:paraId="625730CB">
      <w:pPr>
        <w:numPr>
          <w:ilvl w:val="0"/>
          <w:numId w:val="18"/>
        </w:numPr>
        <w:spacing w:before="0" w:beforeAutospacing="1" w:after="0" w:afterAutospacing="1"/>
        <w:ind w:left="720" w:hanging="360"/>
      </w:pPr>
      <w:r>
        <w:rPr>
          <w:b/>
        </w:rPr>
        <w:t>匹配风机性能曲线</w:t>
      </w:r>
      <w:r>
        <w:t>：在风机样本的“风量-风压曲线”上找到Q与ΔP的交点，确保该点位于风机高效区（效率≥80%）。</w:t>
      </w:r>
    </w:p>
    <w:p w14:paraId="00CE16BA">
      <w:r>
        <w:t>以处理风量10000m³/h、总阻力1300Pa为例，可选4-72-11No.6C离心风机，其额定风量10500m³/h，风压1500Pa，配用11kW电机，满足系统需求。若废气含尘浓度高（＞500mg/m³），需选用耐磨风机（叶轮材质为高铬铸铁），并降低风机转速（≤1500r/min），延长使用寿命。</w:t>
      </w:r>
    </w:p>
    <w:p w14:paraId="390C6D38">
      <w:pPr>
        <w:pStyle w:val="4"/>
      </w:pPr>
      <w:r>
        <w:t>3.3 控制系统</w:t>
      </w:r>
    </w:p>
    <w:p w14:paraId="4064761B">
      <w:pPr>
        <w:pStyle w:val="5"/>
      </w:pPr>
      <w:r>
        <w:t>3.3.1 PLC控制核心</w:t>
      </w:r>
    </w:p>
    <w:p w14:paraId="16272C60">
      <w:r>
        <w:t>系统采用PLC（西门子S7-1200系列）作为控制核心，实现全流程自动化运行。PLC通过数字量输入模块（DI）采集设备状态信号（如风机启停、阀门开关），通过模拟量输入模块（AI）接收传感器数据（如VOCs浓度、温度、压力），经内部程序运算后，通过数字量输出模块（DO）或模拟量输出模块（AO）控制执行机构（如变频器、调节阀）。</w:t>
      </w:r>
    </w:p>
    <w:p w14:paraId="15EB864B">
      <w:r>
        <w:t>控制系统架构为“主从式”，PLC为主站，HMI（人机界面）、传感器、执行机构为从站，通过PROFINET总线通信（传输速率100Mbps），数据刷新周期≤100ms。HMI采用10英寸触摸屏，显示系统流程图、实时参数（风量、浓度、温度等）、历史曲线（近24小时数据）及报警信息，支持手动/自动模式切换，便于操作人员监控与干预。</w:t>
      </w:r>
    </w:p>
    <w:p w14:paraId="5A675A26">
      <w:pPr>
        <w:pStyle w:val="5"/>
      </w:pPr>
      <w:r>
        <w:t>3.3.2 传感器监测网络</w:t>
      </w:r>
    </w:p>
    <w:p w14:paraId="782914DB">
      <w:r>
        <w:t>系统配备多种传感器，实现关键参数实时监测：</w:t>
      </w:r>
    </w:p>
    <w:p w14:paraId="1EC5E8DE">
      <w:pPr>
        <w:numPr>
          <w:ilvl w:val="0"/>
          <w:numId w:val="19"/>
        </w:numPr>
        <w:spacing w:before="0" w:beforeAutospacing="1" w:after="0" w:afterAutospacing="1"/>
        <w:ind w:left="720" w:hanging="360"/>
      </w:pPr>
      <w:r>
        <w:rPr>
          <w:b/>
        </w:rPr>
        <w:t>VOCs浓度传感器</w:t>
      </w:r>
      <w:r>
        <w:t>：安装于活性炭吸附塔入口与出口，采用PID光离子化检测原理，检测范围0-2000mg/m³，精度±5%FS，信号输出4-20mA。</w:t>
      </w:r>
    </w:p>
    <w:p w14:paraId="7A9095C4">
      <w:pPr>
        <w:numPr>
          <w:ilvl w:val="0"/>
          <w:numId w:val="19"/>
        </w:numPr>
        <w:spacing w:before="0" w:beforeAutospacing="1" w:after="0" w:afterAutospacing="1"/>
        <w:ind w:left="720" w:hanging="360"/>
      </w:pPr>
      <w:r>
        <w:rPr>
          <w:b/>
        </w:rPr>
        <w:t>温度传感器</w:t>
      </w:r>
      <w:r>
        <w:t>：催化燃烧炉内安装K型热电偶（测量范围0-1000℃），冷却器进出口安装PT100热电阻（测量范围-50-200℃），精度±1℃。</w:t>
      </w:r>
    </w:p>
    <w:p w14:paraId="05C3DC44">
      <w:pPr>
        <w:numPr>
          <w:ilvl w:val="0"/>
          <w:numId w:val="19"/>
        </w:numPr>
        <w:spacing w:before="0" w:beforeAutospacing="1" w:after="0" w:afterAutospacing="1"/>
        <w:ind w:left="720" w:hanging="360"/>
      </w:pPr>
      <w:r>
        <w:rPr>
          <w:b/>
        </w:rPr>
        <w:t>压力变送器</w:t>
      </w:r>
      <w:r>
        <w:t>：管道内安装扩散硅压力变送器（测量范围-10kPa-10kPa），监测管道静压；布袋除尘器进出口安装差压变送器（测量范围0-5kPa），监测滤袋阻力。</w:t>
      </w:r>
    </w:p>
    <w:p w14:paraId="1EF7F603">
      <w:pPr>
        <w:numPr>
          <w:ilvl w:val="0"/>
          <w:numId w:val="19"/>
        </w:numPr>
        <w:spacing w:before="0" w:beforeAutospacing="1" w:after="0" w:afterAutospacing="1"/>
        <w:ind w:left="720" w:hanging="360"/>
      </w:pPr>
      <w:r>
        <w:rPr>
          <w:b/>
        </w:rPr>
        <w:t>液位开关</w:t>
      </w:r>
      <w:r>
        <w:t>：喷淋塔与冷却水箱安装浮球液位开关，监测液位高低限，防止干烧或溢液。</w:t>
      </w:r>
    </w:p>
    <w:p w14:paraId="75FDBC27">
      <w:r>
        <w:t>传感器定期校准：VOCs传感器每月用标准气体（500mg/m³异丁烯）校准一次；温度传感器每季度用恒温槽校准；压力变送器每半年用标准压力表校准，确保数据准确。</w:t>
      </w:r>
    </w:p>
    <w:p w14:paraId="6C6E6D01">
      <w:pPr>
        <w:pStyle w:val="5"/>
      </w:pPr>
      <w:r>
        <w:t>3.3.2 自动调节机制</w:t>
      </w:r>
    </w:p>
    <w:p w14:paraId="55364435">
      <w:r>
        <w:t>系统通过闭环控制与顺序控制实现稳定运行：</w:t>
      </w:r>
    </w:p>
    <w:p w14:paraId="02B439B6">
      <w:pPr>
        <w:numPr>
          <w:ilvl w:val="0"/>
          <w:numId w:val="20"/>
        </w:numPr>
        <w:spacing w:before="0" w:beforeAutospacing="1" w:after="0" w:afterAutospacing="1"/>
        <w:ind w:left="720" w:hanging="360"/>
      </w:pPr>
      <w:r>
        <w:rPr>
          <w:b/>
        </w:rPr>
        <w:t>顺序控制</w:t>
      </w:r>
      <w:r>
        <w:t>：系统启动时，PLC按预设逻辑分步执行：①开启冷却水泵→②启动引风机（变频调速至30Hz）→③检测废气浓度（需＜25%LEL，爆炸下限）→④启动活性炭吸附单元→⑤若浓度＞500mg/m³，启动催化燃烧装置预热。停机时相反，先关闭进气阀→停止加热→关闭风机→关闭水泵，避免设备损坏。</w:t>
      </w:r>
    </w:p>
    <w:p w14:paraId="502368C0">
      <w:pPr>
        <w:numPr>
          <w:ilvl w:val="0"/>
          <w:numId w:val="20"/>
        </w:numPr>
        <w:spacing w:before="0" w:beforeAutospacing="1" w:after="0" w:afterAutospacing="1"/>
        <w:ind w:left="720" w:hanging="360"/>
      </w:pPr>
      <w:r>
        <w:rPr>
          <w:b/>
        </w:rPr>
        <w:t>闭环控制</w:t>
      </w:r>
      <w:r>
        <w:t>：以催化燃烧炉温度控制为例，设定炉温850℃（处理苯系物最佳温度），温度传感器实时反馈实际值，PLC通过PID算法调节燃气比例阀开度（燃气流量0-50m³/h），使实际温度稳定在设定值±10℃范围内。当VOCs浓度波动时，PLC自动调节风机变频器频率（30-50Hz），改变风量，维持炉温稳定。</w:t>
      </w:r>
    </w:p>
    <w:p w14:paraId="4B28B8D0">
      <w:pPr>
        <w:numPr>
          <w:ilvl w:val="0"/>
          <w:numId w:val="20"/>
        </w:numPr>
        <w:spacing w:before="0" w:beforeAutospacing="1" w:after="0" w:afterAutospacing="1"/>
        <w:ind w:left="720" w:hanging="360"/>
      </w:pPr>
      <w:r>
        <w:rPr>
          <w:b/>
        </w:rPr>
        <w:t>安全联锁</w:t>
      </w:r>
      <w:r>
        <w:t>：设置多重联锁保护：①VOCs浓度＞25%LEL时，自动切断进气阀，开启新风阀稀释；②催化燃烧炉温＞950℃时，停止燃气供应，启动急冷装置；③风机故障时，立即关闭所有加热单元，发出声光报警，提醒操作人员处理。</w:t>
      </w:r>
    </w:p>
    <w:p w14:paraId="49D7D915">
      <w:pPr>
        <w:pStyle w:val="3"/>
      </w:pPr>
      <w:r>
        <w:t>四、系统操作与维护</w:t>
      </w:r>
    </w:p>
    <w:p w14:paraId="1BB70C28">
      <w:pPr>
        <w:pStyle w:val="4"/>
      </w:pPr>
      <w:r>
        <w:t>4.1 开机与关机流程</w:t>
      </w:r>
    </w:p>
    <w:p w14:paraId="6E8AAD19">
      <w:r>
        <w:rPr>
          <w:b/>
        </w:rPr>
        <w:t>开机流程</w:t>
      </w:r>
      <w:r>
        <w:t>：</w:t>
      </w:r>
    </w:p>
    <w:p w14:paraId="022AD96B">
      <w:pPr>
        <w:numPr>
          <w:ilvl w:val="0"/>
          <w:numId w:val="21"/>
        </w:numPr>
        <w:spacing w:before="0" w:beforeAutospacing="1" w:after="0" w:afterAutospacing="1"/>
        <w:ind w:left="720" w:hanging="360"/>
      </w:pPr>
      <w:r>
        <w:rPr>
          <w:b/>
        </w:rPr>
        <w:t>开机前检查</w:t>
      </w:r>
      <w:r>
        <w:t>：确认电源电压（380V±10%）、气源压力（0.6-0.8MPa）正常；检查活性炭填充量（≥设计量的90%）、滤袋无破损；打开循环水阀门，确保冷却系统正常供水。</w:t>
      </w:r>
    </w:p>
    <w:p w14:paraId="7305B9F9">
      <w:pPr>
        <w:numPr>
          <w:ilvl w:val="0"/>
          <w:numId w:val="21"/>
        </w:numPr>
        <w:spacing w:before="0" w:beforeAutospacing="1" w:after="0" w:afterAutospacing="1"/>
        <w:ind w:left="720" w:hanging="360"/>
      </w:pPr>
      <w:r>
        <w:rPr>
          <w:b/>
        </w:rPr>
        <w:t>启动操作</w:t>
      </w:r>
      <w:r>
        <w:t>：在HMI上选择“自动模式”，点击“启动”按钮，系统按PLC预设逻辑运行：先启动冷却水泵（运行指示灯亮），10秒后启动引风机（变频器频率从0升至30Hz），待风机运行稳定（电流≤额定值的80%），开启集气罩阀门，最后启动净化装置（吸附/催化燃烧单元）。</w:t>
      </w:r>
    </w:p>
    <w:p w14:paraId="6830A02D">
      <w:pPr>
        <w:numPr>
          <w:ilvl w:val="0"/>
          <w:numId w:val="21"/>
        </w:numPr>
        <w:spacing w:before="0" w:beforeAutospacing="1" w:after="0" w:afterAutospacing="1"/>
        <w:ind w:left="720" w:hanging="360"/>
      </w:pPr>
      <w:r>
        <w:rPr>
          <w:b/>
        </w:rPr>
        <w:t>参数确认</w:t>
      </w:r>
      <w:r>
        <w:t>：开机后观察HMI显示参数，确保VOCs入口浓度＜25%LEL，管道压力-500--1000Pa，活性炭床阻力＜1000Pa，各项参数正常后方可投入连续运行。</w:t>
      </w:r>
    </w:p>
    <w:p w14:paraId="5C3104A2">
      <w:r>
        <w:rPr>
          <w:b/>
        </w:rPr>
        <w:t>关机流程</w:t>
      </w:r>
      <w:r>
        <w:t>：</w:t>
      </w:r>
    </w:p>
    <w:p w14:paraId="31FE06FA">
      <w:pPr>
        <w:numPr>
          <w:ilvl w:val="0"/>
          <w:numId w:val="22"/>
        </w:numPr>
        <w:spacing w:before="0" w:beforeAutospacing="1" w:after="0" w:afterAutospacing="1"/>
        <w:ind w:left="720" w:hanging="360"/>
      </w:pPr>
      <w:r>
        <w:rPr>
          <w:b/>
        </w:rPr>
        <w:t>正常关机</w:t>
      </w:r>
      <w:r>
        <w:t>：在HMI上点击“停止”按钮，系统先关闭进气阀，开启新风阀吹扫管道5分钟，然后依次停止催化燃烧加热单元、吸附单元、引风机，最后关闭冷却水泵。</w:t>
      </w:r>
    </w:p>
    <w:p w14:paraId="41CF15D3">
      <w:pPr>
        <w:numPr>
          <w:ilvl w:val="0"/>
          <w:numId w:val="22"/>
        </w:numPr>
        <w:spacing w:before="0" w:beforeAutospacing="1" w:after="0" w:afterAutospacing="1"/>
        <w:ind w:left="720" w:hanging="360"/>
      </w:pPr>
      <w:r>
        <w:rPr>
          <w:b/>
        </w:rPr>
        <w:t>紧急关机</w:t>
      </w:r>
      <w:r>
        <w:t>：遇突发故障（如火灾、泄漏），按下控制柜上的“急停”按钮，系统立即切断所有设备电源，同时关闭进气阀与排气阀，防止污染物扩散。关机后需记录故障类型与时间，以便后续排查。</w:t>
      </w:r>
    </w:p>
    <w:p w14:paraId="00C4C71B">
      <w:pPr>
        <w:pStyle w:val="4"/>
      </w:pPr>
      <w:r>
        <w:t>4.2 日常巡检与参数监控</w:t>
      </w:r>
    </w:p>
    <w:p w14:paraId="75CBDA19">
      <w:r>
        <w:rPr>
          <w:b/>
        </w:rPr>
        <w:t>每日巡检内容</w:t>
      </w:r>
      <w:r>
        <w:t>：</w:t>
      </w:r>
    </w:p>
    <w:p w14:paraId="52B2B368">
      <w:pPr>
        <w:numPr>
          <w:ilvl w:val="0"/>
          <w:numId w:val="23"/>
        </w:numPr>
        <w:spacing w:before="0" w:beforeAutospacing="1" w:after="0" w:afterAutospacing="1"/>
        <w:ind w:left="720" w:hanging="360"/>
      </w:pPr>
      <w:r>
        <w:rPr>
          <w:b/>
        </w:rPr>
        <w:t>风机系统</w:t>
      </w:r>
      <w:r>
        <w:t>：检查风机运行声音（无异常噪音）、轴承温度（＜70℃）、电流（380V电机≤额定值的±5%），皮带传动的风机需检查皮带张紧度（按压皮带挠度20-30mm为宜）。</w:t>
      </w:r>
    </w:p>
    <w:p w14:paraId="1E23FCFB">
      <w:pPr>
        <w:numPr>
          <w:ilvl w:val="0"/>
          <w:numId w:val="23"/>
        </w:numPr>
        <w:spacing w:before="0" w:beforeAutospacing="1" w:after="0" w:afterAutospacing="1"/>
        <w:ind w:left="720" w:hanging="360"/>
      </w:pPr>
      <w:r>
        <w:rPr>
          <w:b/>
        </w:rPr>
        <w:t>管道系统</w:t>
      </w:r>
      <w:r>
        <w:t>：查看管道压力表，确保静压稳定（波动范围≤±50Pa）；检查法兰连接处有无泄漏（可用肥皂水涂抹，无气泡产生）；观察排污口有无积液或积尘，及时清理。</w:t>
      </w:r>
    </w:p>
    <w:p w14:paraId="77F97630">
      <w:pPr>
        <w:numPr>
          <w:ilvl w:val="0"/>
          <w:numId w:val="23"/>
        </w:numPr>
        <w:spacing w:before="0" w:beforeAutospacing="1" w:after="0" w:afterAutospacing="1"/>
        <w:ind w:left="720" w:hanging="360"/>
      </w:pPr>
      <w:r>
        <w:rPr>
          <w:b/>
        </w:rPr>
        <w:t>净化装置</w:t>
      </w:r>
      <w:r>
        <w:t>：检查布袋除尘器脉冲清灰压力（0.4-0.6MPa）、清灰周期（30-60s）正常；活性炭吸附塔阻力＜1500Pa，出口VOCs浓度＜50mg/m³；催化燃烧炉温稳定在800-900℃，无明显波动。</w:t>
      </w:r>
    </w:p>
    <w:p w14:paraId="142C5D72">
      <w:r>
        <w:rPr>
          <w:b/>
        </w:rPr>
        <w:t>监控指标正常范围</w:t>
      </w:r>
      <w:r>
        <w:t>：</w:t>
      </w:r>
    </w:p>
    <w:p w14:paraId="5F60D28B">
      <w:r>
        <w:t>| 参数项 | 正常范围 | 异常处理措施 |</w:t>
      </w:r>
    </w:p>
    <w:p w14:paraId="079C331A">
      <w:r>
        <w:t>|---------------------|------------------------|---------------------------------------|</w:t>
      </w:r>
    </w:p>
    <w:p w14:paraId="47B78A62">
      <w:r>
        <w:t>| 风机电流 | ≤额定值的110% | 电流过高时检查是否过载，清理叶轮积尘 |</w:t>
      </w:r>
    </w:p>
    <w:p w14:paraId="07583C5D">
      <w:r>
        <w:t>| 管道静压 | -500--1000Pa | 压力过低检查是否漏气，过高检查是否堵塞|</w:t>
      </w:r>
    </w:p>
    <w:p w14:paraId="7DC2070E">
      <w:r>
        <w:t>| 活性炭床阻力 | ＜1500Pa | 阻力超标时提前更换活性炭 |</w:t>
      </w:r>
    </w:p>
    <w:p w14:paraId="59D96EB0">
      <w:r>
        <w:t>| 催化燃烧炉温 | 800-900℃ | 温度异常时检查燃气供应或催化剂活性 |</w:t>
      </w:r>
    </w:p>
    <w:p w14:paraId="7907F4FE">
      <w:r>
        <w:t>| 排气筒VOCs浓度 | ＜80mg/m³ | 浓度超标时检查吸附剂是否饱和 |</w:t>
      </w:r>
    </w:p>
    <w:p w14:paraId="190AAB36">
      <w:pPr>
        <w:pStyle w:val="4"/>
      </w:pPr>
      <w:r>
        <w:t>4.3 定期维护保养</w:t>
      </w:r>
    </w:p>
    <w:p w14:paraId="35DFB547">
      <w:r>
        <w:rPr>
          <w:b/>
        </w:rPr>
        <w:t>集气罩维护</w:t>
      </w:r>
      <w:r>
        <w:t>：每月清理罩内积尘（用压缩空气吹扫，压力≤0.3MPa），检查导流板有无变形，损坏时及时更换；每季度检查罩体防腐涂层，脱落面积＞10%时重新涂刷。</w:t>
      </w:r>
    </w:p>
    <w:p w14:paraId="76DE17B6">
      <w:r>
        <w:rPr>
          <w:b/>
        </w:rPr>
        <w:t>管道系统维护</w:t>
      </w:r>
      <w:r>
        <w:t>：每季度对管道进行全面检查，重点检查弯头、变径管处有无腐蚀或磨损（厚度＜原厚度的80%时更换）；每半年进行一次管道吹扫（关闭净化装置，风机频率调至50Hz，吹扫30分钟），清除内部积尘；埋地管道每年进行一次防腐检测（采用电火花检漏仪，电压15kV，无击穿现象）。</w:t>
      </w:r>
    </w:p>
    <w:p w14:paraId="17164CE5">
      <w:r>
        <w:rPr>
          <w:b/>
        </w:rPr>
        <w:t>净化装置维护</w:t>
      </w:r>
      <w:r>
        <w:t>：</w:t>
      </w:r>
    </w:p>
    <w:p w14:paraId="26885960">
      <w:pPr>
        <w:numPr>
          <w:ilvl w:val="0"/>
          <w:numId w:val="24"/>
        </w:numPr>
        <w:spacing w:before="0" w:beforeAutospacing="1" w:after="0" w:afterAutospacing="1"/>
        <w:ind w:left="720" w:hanging="360"/>
      </w:pPr>
      <w:r>
        <w:rPr>
          <w:b/>
        </w:rPr>
        <w:t>布袋除尘器</w:t>
      </w:r>
      <w:r>
        <w:t>：每半年检查滤袋（用灯光照射，无破损或孔洞），破损率＞5%时整批更换；清灰电磁阀每季度拆解清洗，更换老化密封圈；灰斗螺旋输送机每月加润滑脂（锂基脂2#），轴承温升＞40℃时检查是否缺油。</w:t>
      </w:r>
    </w:p>
    <w:p w14:paraId="03362E18">
      <w:pPr>
        <w:numPr>
          <w:ilvl w:val="0"/>
          <w:numId w:val="24"/>
        </w:numPr>
        <w:spacing w:before="0" w:beforeAutospacing="1" w:after="0" w:afterAutospacing="1"/>
        <w:ind w:left="720" w:hanging="360"/>
      </w:pPr>
      <w:r>
        <w:rPr>
          <w:b/>
        </w:rPr>
        <w:t>活性炭吸附塔</w:t>
      </w:r>
      <w:r>
        <w:t>：根据出口VOCs浓度数据，每3-6个月更换活性炭（碘值＜600mg/g时必须更换），更换时确保填充均匀，避免出现空隙；吸附塔喷淋系统每月清洗喷嘴（用5%柠檬酸溶液浸泡30分钟），防止堵塞。</w:t>
      </w:r>
    </w:p>
    <w:p w14:paraId="7EEBC263">
      <w:pPr>
        <w:numPr>
          <w:ilvl w:val="0"/>
          <w:numId w:val="24"/>
        </w:numPr>
        <w:spacing w:before="0" w:beforeAutospacing="1" w:after="0" w:afterAutospacing="1"/>
        <w:ind w:left="720" w:hanging="360"/>
      </w:pPr>
      <w:r>
        <w:rPr>
          <w:b/>
        </w:rPr>
        <w:t>催化燃烧装置</w:t>
      </w:r>
      <w:r>
        <w:t>：每半年检测催化剂活性（通过进出口浓度差计算，效率＜90%时再生或更换）；燃烧器每季度清理火嘴积碳，检查点火电极间距（3-5mm）；热交换器每年用高压水清洗翅片（压力2-3MPa），去除积灰。</w:t>
      </w:r>
    </w:p>
    <w:p w14:paraId="65294235">
      <w:r>
        <w:rPr>
          <w:b/>
        </w:rPr>
        <w:t>风机维护</w:t>
      </w:r>
      <w:r>
        <w:t>：每半年更换轴承润滑油（32#机械油，加至油位镜1/2-2/3处），检测轴承游隙（＞0.2mm时更换轴承）；每年对风机叶轮进行动平衡测试（残余不平衡量≤5g·mm），防止振动异常；电机每季度检查绝缘电阻（≥1MΩ），低于标准时干燥处理。</w:t>
      </w:r>
    </w:p>
    <w:p w14:paraId="2F9207EC">
      <w:r>
        <w:rPr>
          <w:b/>
        </w:rPr>
        <w:t>电气系统维护</w:t>
      </w:r>
      <w:r>
        <w:t>：每年对PLC控制柜进行除尘（用吸尘器，避免触碰模块），检查接线端子有无松动（ torque wrench 紧固，力矩2.5N·m）；传感器每半年校准一次，校准记录存档；电缆每年进行绝缘检测（相间、对地绝缘电阻≥10MΩ），老化电缆及时更换。</w:t>
      </w:r>
    </w:p>
    <w:p w14:paraId="1CBC2A98">
      <w:pPr>
        <w:pStyle w:val="3"/>
      </w:pPr>
      <w:r>
        <w:t>五、常见故障诊断与处理</w:t>
      </w:r>
    </w:p>
    <w:p w14:paraId="5F71CE7F">
      <w:pPr>
        <w:pStyle w:val="4"/>
      </w:pPr>
      <w:r>
        <w:t>5.1 风机系统故障</w:t>
      </w:r>
    </w:p>
    <w:p w14:paraId="1890D239">
      <w:pPr>
        <w:pStyle w:val="5"/>
      </w:pPr>
      <w:r>
        <w:t>5.1.1 振动异常</w:t>
      </w:r>
    </w:p>
    <w:p w14:paraId="1041DDE8">
      <w:r>
        <w:rPr>
          <w:b/>
        </w:rPr>
        <w:t>故障现象</w:t>
      </w:r>
      <w:r>
        <w:t>：风机运行时振动幅值＞0.15mm（轴承座处测量），伴随异常噪音（频率与转速相关）。</w:t>
      </w:r>
    </w:p>
    <w:p w14:paraId="2FBAB564">
      <w:r>
        <w:rPr>
          <w:b/>
        </w:rPr>
        <w:t>成因分析</w:t>
      </w:r>
      <w:r>
        <w:t>：</w:t>
      </w:r>
    </w:p>
    <w:p w14:paraId="340427AB">
      <w:pPr>
        <w:numPr>
          <w:ilvl w:val="0"/>
          <w:numId w:val="25"/>
        </w:numPr>
        <w:spacing w:before="0" w:beforeAutospacing="1" w:after="0" w:afterAutospacing="1"/>
        <w:ind w:left="720" w:hanging="360"/>
      </w:pPr>
      <w:r>
        <w:t>叶轮积尘失衡：铁芯粉尘进入风机后，在叶轮表面不均匀沉积，导致转动时离心力不平衡。</w:t>
      </w:r>
    </w:p>
    <w:p w14:paraId="00554EFB">
      <w:pPr>
        <w:numPr>
          <w:ilvl w:val="0"/>
          <w:numId w:val="25"/>
        </w:numPr>
        <w:spacing w:before="0" w:beforeAutospacing="1" w:after="0" w:afterAutospacing="1"/>
        <w:ind w:left="720" w:hanging="360"/>
      </w:pPr>
      <w:r>
        <w:t>安装对中偏差：风机与电机轴中心线平行度偏差＞0.1mm/m，或端面间隙不均匀（偏差＞0.2mm）。</w:t>
      </w:r>
    </w:p>
    <w:p w14:paraId="7820B95B">
      <w:pPr>
        <w:numPr>
          <w:ilvl w:val="0"/>
          <w:numId w:val="25"/>
        </w:numPr>
        <w:spacing w:before="0" w:beforeAutospacing="1" w:after="0" w:afterAutospacing="1"/>
        <w:ind w:left="720" w:hanging="360"/>
      </w:pPr>
      <w:r>
        <w:t>轴承损坏：轴承内圈或外圈滚道磨损，产生游隙过大（＞0.2mm）或滚珠点蚀。</w:t>
      </w:r>
    </w:p>
    <w:p w14:paraId="65A09838">
      <w:r>
        <w:rPr>
          <w:b/>
        </w:rPr>
        <w:t>处理对策</w:t>
      </w:r>
      <w:r>
        <w:t>：</w:t>
      </w:r>
    </w:p>
    <w:p w14:paraId="4130BBC3">
      <w:pPr>
        <w:numPr>
          <w:ilvl w:val="0"/>
          <w:numId w:val="26"/>
        </w:numPr>
        <w:spacing w:before="0" w:beforeAutospacing="1" w:after="0" w:afterAutospacing="1"/>
        <w:ind w:left="720" w:hanging="360"/>
      </w:pPr>
      <w:r>
        <w:t>叶轮清理：停机后拆卸风机外壳，用高压水枪（压力5-8MPa）冲洗叶轮，干燥后进行动平衡测试（残余不平衡量≤5g·mm）。</w:t>
      </w:r>
    </w:p>
    <w:p w14:paraId="19F76D46">
      <w:pPr>
        <w:numPr>
          <w:ilvl w:val="0"/>
          <w:numId w:val="26"/>
        </w:numPr>
        <w:spacing w:before="0" w:beforeAutospacing="1" w:after="0" w:afterAutospacing="1"/>
        <w:ind w:left="720" w:hanging="360"/>
      </w:pPr>
      <w:r>
        <w:t>重新对中：采用百分表找正法，调整电机位置，确保平行度偏差≤0.05mm/m，端面间隙偏差≤0.1mm。</w:t>
      </w:r>
    </w:p>
    <w:p w14:paraId="634A6CE3">
      <w:pPr>
        <w:numPr>
          <w:ilvl w:val="0"/>
          <w:numId w:val="26"/>
        </w:numPr>
        <w:spacing w:before="0" w:beforeAutospacing="1" w:after="0" w:afterAutospacing="1"/>
        <w:ind w:left="720" w:hanging="360"/>
      </w:pPr>
      <w:r>
        <w:t>轴承更换：若轴承游隙超标或有异响，拆卸后更换同型号轴承（如SKF 6312），安装时采用热装法（油温80-100℃），避免硬敲损坏轴承。</w:t>
      </w:r>
    </w:p>
    <w:p w14:paraId="12B258A3">
      <w:pPr>
        <w:pStyle w:val="5"/>
      </w:pPr>
      <w:r>
        <w:t>5.1.2 风量下降</w:t>
      </w:r>
    </w:p>
    <w:p w14:paraId="5310180D">
      <w:r>
        <w:rPr>
          <w:b/>
        </w:rPr>
        <w:t>故障现象</w:t>
      </w:r>
      <w:r>
        <w:t>：末端集气罩吸力不足（用纸条测试，纸条无法被吸入），HMI显示风量较设计值低15%以上。</w:t>
      </w:r>
    </w:p>
    <w:p w14:paraId="3C2729AC">
      <w:r>
        <w:rPr>
          <w:b/>
        </w:rPr>
        <w:t>成因分析</w:t>
      </w:r>
      <w:r>
        <w:t>：</w:t>
      </w:r>
    </w:p>
    <w:p w14:paraId="0F4C5C76">
      <w:pPr>
        <w:numPr>
          <w:ilvl w:val="0"/>
          <w:numId w:val="27"/>
        </w:numPr>
        <w:spacing w:before="0" w:beforeAutospacing="1" w:after="0" w:afterAutospacing="1"/>
        <w:ind w:left="720" w:hanging="360"/>
      </w:pPr>
      <w:r>
        <w:t>皮带传动松弛：风机与电机之间的V带长期运行后伸长，导致传动效率下降（打滑）。</w:t>
      </w:r>
    </w:p>
    <w:p w14:paraId="125C978B">
      <w:pPr>
        <w:numPr>
          <w:ilvl w:val="0"/>
          <w:numId w:val="27"/>
        </w:numPr>
        <w:spacing w:before="0" w:beforeAutospacing="1" w:after="0" w:afterAutospacing="1"/>
        <w:ind w:left="720" w:hanging="360"/>
      </w:pPr>
      <w:r>
        <w:t>进风口过滤器堵塞：风机入口过滤器（若配备）积尘过多，过滤阻力＞300Pa，限制进风量。</w:t>
      </w:r>
    </w:p>
    <w:p w14:paraId="5E11C85A">
      <w:pPr>
        <w:numPr>
          <w:ilvl w:val="0"/>
          <w:numId w:val="27"/>
        </w:numPr>
        <w:spacing w:before="0" w:beforeAutospacing="1" w:after="0" w:afterAutospacing="1"/>
        <w:ind w:left="720" w:hanging="360"/>
      </w:pPr>
      <w:r>
        <w:t>叶轮磨损或腐蚀：叶轮叶片因粉尘冲刷或废气腐蚀出现变薄、变形，导致风量下降。</w:t>
      </w:r>
    </w:p>
    <w:p w14:paraId="0232E4B8">
      <w:r>
        <w:rPr>
          <w:b/>
        </w:rPr>
        <w:t>处理对策</w:t>
      </w:r>
      <w:r>
        <w:t>：</w:t>
      </w:r>
    </w:p>
    <w:p w14:paraId="4543584D">
      <w:pPr>
        <w:numPr>
          <w:ilvl w:val="0"/>
          <w:numId w:val="28"/>
        </w:numPr>
        <w:spacing w:before="0" w:beforeAutospacing="1" w:after="0" w:afterAutospacing="1"/>
        <w:ind w:left="720" w:hanging="360"/>
      </w:pPr>
      <w:r>
        <w:t>调整皮带张紧度：停机后松开电机底座螺栓，移动电机使皮带张紧（按压皮带中部，挠度20-30mm为宜），然后紧固螺栓，同步更换老化或开裂的皮带。</w:t>
      </w:r>
    </w:p>
    <w:p w14:paraId="3233F22C">
      <w:pPr>
        <w:numPr>
          <w:ilvl w:val="0"/>
          <w:numId w:val="28"/>
        </w:numPr>
        <w:spacing w:before="0" w:beforeAutospacing="1" w:after="0" w:afterAutospacing="1"/>
        <w:ind w:left="720" w:hanging="360"/>
      </w:pPr>
      <w:r>
        <w:t>清洗过滤器：拆卸过滤器滤芯，用压缩空气反向吹扫（压力0.4MPa），或用清水冲洗（水洗滤芯），晾干后装回，若滤芯破损则更换。</w:t>
      </w:r>
    </w:p>
    <w:p w14:paraId="7D401C1D">
      <w:pPr>
        <w:numPr>
          <w:ilvl w:val="0"/>
          <w:numId w:val="28"/>
        </w:numPr>
        <w:spacing w:before="0" w:beforeAutospacing="1" w:after="0" w:afterAutospacing="1"/>
        <w:ind w:left="720" w:hanging="360"/>
      </w:pPr>
      <w:r>
        <w:t>修复叶轮：测量叶轮直径与叶片角度，若磨损量＜原尺寸的5%，可通过焊接修补后打磨光滑；磨损严重时更换新叶轮（材质选用耐磨铸铁）。</w:t>
      </w:r>
    </w:p>
    <w:p w14:paraId="10C2F0C9">
      <w:pPr>
        <w:pStyle w:val="4"/>
      </w:pPr>
      <w:r>
        <w:t>5.2 管道系统故障</w:t>
      </w:r>
    </w:p>
    <w:p w14:paraId="07710500">
      <w:pPr>
        <w:pStyle w:val="5"/>
      </w:pPr>
      <w:r>
        <w:t>5.2.1 管道堵塞</w:t>
      </w:r>
    </w:p>
    <w:p w14:paraId="0B66FA72">
      <w:r>
        <w:rPr>
          <w:b/>
        </w:rPr>
        <w:t>故障现象</w:t>
      </w:r>
      <w:r>
        <w:t>：系统静压升高（较正常值高30%以上），风机电流增大（接近额定值），部分集气罩无吸力。</w:t>
      </w:r>
    </w:p>
    <w:p w14:paraId="3369BE83">
      <w:r>
        <w:rPr>
          <w:b/>
        </w:rPr>
        <w:t>成因分析</w:t>
      </w:r>
      <w:r>
        <w:t>：</w:t>
      </w:r>
    </w:p>
    <w:p w14:paraId="06278799">
      <w:pPr>
        <w:numPr>
          <w:ilvl w:val="0"/>
          <w:numId w:val="29"/>
        </w:numPr>
        <w:spacing w:before="0" w:beforeAutospacing="1" w:after="0" w:afterAutospacing="1"/>
        <w:ind w:left="720" w:hanging="360"/>
      </w:pPr>
      <w:r>
        <w:t>粉尘沉积：管道风速＜8m/s时，大颗粒粉尘（＞10μm）在水平管段或弯头处沉积，逐渐堵塞管道（严重时流通截面缩小50%以上）。</w:t>
      </w:r>
    </w:p>
    <w:p w14:paraId="6413C111">
      <w:pPr>
        <w:numPr>
          <w:ilvl w:val="0"/>
          <w:numId w:val="29"/>
        </w:numPr>
        <w:spacing w:before="0" w:beforeAutospacing="1" w:after="0" w:afterAutospacing="1"/>
        <w:ind w:left="720" w:hanging="360"/>
      </w:pPr>
      <w:r>
        <w:t>冷凝液积聚：高温含湿废气（如浸漆废气）在管道内遇冷冷凝，形成油状液体，与粉尘混合后黏附在管道内壁，加剧堵塞。</w:t>
      </w:r>
    </w:p>
    <w:p w14:paraId="0AB3EF70">
      <w:pPr>
        <w:numPr>
          <w:ilvl w:val="0"/>
          <w:numId w:val="29"/>
        </w:numPr>
        <w:spacing w:before="0" w:beforeAutospacing="1" w:after="0" w:afterAutospacing="1"/>
        <w:ind w:left="720" w:hanging="360"/>
      </w:pPr>
      <w:r>
        <w:t>管道坡度不合理：水平管段坡度＜3°，导致冷凝液或粉尘无法自流至排污口，长期积累后堵塞。</w:t>
      </w:r>
    </w:p>
    <w:p w14:paraId="3692DF6D">
      <w:r>
        <w:rPr>
          <w:b/>
        </w:rPr>
        <w:t>处理对策</w:t>
      </w:r>
      <w:r>
        <w:t>：</w:t>
      </w:r>
    </w:p>
    <w:p w14:paraId="6A1ADA9B">
      <w:pPr>
        <w:numPr>
          <w:ilvl w:val="0"/>
          <w:numId w:val="30"/>
        </w:numPr>
        <w:spacing w:before="0" w:beforeAutospacing="1" w:after="0" w:afterAutospacing="1"/>
        <w:ind w:left="720" w:hanging="360"/>
      </w:pPr>
      <w:r>
        <w:t>机械清理：在堵塞位置开设清扫孔（DN200），用竹刷或钢丝刷手动清理，或使用管道疏通机（转速500-800r/min）清除堵塞物；严重堵塞时需切割管道，清理后重新焊接。</w:t>
      </w:r>
    </w:p>
    <w:p w14:paraId="07BB2C63">
      <w:pPr>
        <w:numPr>
          <w:ilvl w:val="0"/>
          <w:numId w:val="30"/>
        </w:numPr>
        <w:spacing w:before="0" w:beforeAutospacing="1" w:after="0" w:afterAutospacing="1"/>
        <w:ind w:left="720" w:hanging="360"/>
      </w:pPr>
      <w:r>
        <w:t>优化管道坡度：对水平管段进行改造，增加坡度至≥3°，并在最低点设置排污阀（DN50），定期排放冷凝液（每班一次）。</w:t>
      </w:r>
    </w:p>
    <w:p w14:paraId="0D9C8D5E">
      <w:pPr>
        <w:numPr>
          <w:ilvl w:val="0"/>
          <w:numId w:val="30"/>
        </w:numPr>
        <w:spacing w:before="0" w:beforeAutospacing="1" w:after="0" w:afterAutospacing="1"/>
        <w:ind w:left="720" w:hanging="360"/>
      </w:pPr>
      <w:r>
        <w:t>伴热保温：对于含湿废气管道，外部包裹岩棉保温层（厚度50mm），并加装电伴热带（功率20W/m），维持管道温度＞50℃，防止冷凝液产生。</w:t>
      </w:r>
    </w:p>
    <w:p w14:paraId="420EA29B">
      <w:pPr>
        <w:pStyle w:val="5"/>
      </w:pPr>
      <w:r>
        <w:t>5.2.2 废气泄漏</w:t>
      </w:r>
    </w:p>
    <w:p w14:paraId="76DE2737">
      <w:r>
        <w:rPr>
          <w:b/>
        </w:rPr>
        <w:t>故障现象</w:t>
      </w:r>
      <w:r>
        <w:t>：车间内有明显异味（苯系物刺激性气味），环保检测显示厂界VOCs浓度超标（＞2mg/m³），管道连接处有油污渗出。</w:t>
      </w:r>
    </w:p>
    <w:p w14:paraId="23BD6AFF">
      <w:r>
        <w:rPr>
          <w:b/>
        </w:rPr>
        <w:t>成因分析</w:t>
      </w:r>
      <w:r>
        <w:t>：</w:t>
      </w:r>
    </w:p>
    <w:p w14:paraId="7015A6E9">
      <w:pPr>
        <w:numPr>
          <w:ilvl w:val="0"/>
          <w:numId w:val="31"/>
        </w:numPr>
        <w:spacing w:before="0" w:beforeAutospacing="1" w:after="0" w:afterAutospacing="1"/>
        <w:ind w:left="720" w:hanging="360"/>
      </w:pPr>
      <w:r>
        <w:t>法兰密封不良：法兰垫片老化（失去弹性）或螺栓预紧力不足（力矩＜20N·m），导致密封面间隙泄漏。</w:t>
      </w:r>
    </w:p>
    <w:p w14:paraId="1771CE32">
      <w:pPr>
        <w:numPr>
          <w:ilvl w:val="0"/>
          <w:numId w:val="31"/>
        </w:numPr>
        <w:spacing w:before="0" w:beforeAutospacing="1" w:after="0" w:afterAutospacing="1"/>
        <w:ind w:left="720" w:hanging="360"/>
      </w:pPr>
      <w:r>
        <w:t>焊接缺陷：管道焊接时存在气孔、夹渣或未焊透，运行中受振动或腐蚀影响，缺陷扩大形成泄漏点。</w:t>
      </w:r>
    </w:p>
    <w:p w14:paraId="13F6C76F">
      <w:pPr>
        <w:numPr>
          <w:ilvl w:val="0"/>
          <w:numId w:val="31"/>
        </w:numPr>
        <w:spacing w:before="0" w:beforeAutospacing="1" w:after="0" w:afterAutospacing="1"/>
        <w:ind w:left="720" w:hanging="360"/>
      </w:pPr>
      <w:r>
        <w:t>管道腐蚀穿孔：含酸性废气长期冲刷管道，内壁防腐涂层脱落处发生腐蚀（均匀腐蚀速率0.2mm/年），最终穿孔泄漏。</w:t>
      </w:r>
    </w:p>
    <w:p w14:paraId="4134879E">
      <w:r>
        <w:rPr>
          <w:b/>
        </w:rPr>
        <w:t>处理对策</w:t>
      </w:r>
      <w:r>
        <w:t>：</w:t>
      </w:r>
    </w:p>
    <w:p w14:paraId="7D9D0F8D">
      <w:pPr>
        <w:numPr>
          <w:ilvl w:val="0"/>
          <w:numId w:val="32"/>
        </w:numPr>
        <w:spacing w:before="0" w:beforeAutospacing="1" w:after="0" w:afterAutospacing="1"/>
        <w:ind w:left="720" w:hanging="360"/>
      </w:pPr>
      <w:r>
        <w:t>更换垫片：拆卸法兰，去除老化垫片，更换耐油橡胶垫（含油废气）或四氟垫片（腐蚀性废气），按对角顺序均匀紧固螺栓（力矩25-30N·m）。</w:t>
      </w:r>
    </w:p>
    <w:p w14:paraId="333BCDEF">
      <w:pPr>
        <w:numPr>
          <w:ilvl w:val="0"/>
          <w:numId w:val="32"/>
        </w:numPr>
        <w:spacing w:before="0" w:beforeAutospacing="1" w:after="0" w:afterAutospacing="1"/>
        <w:ind w:left="720" w:hanging="360"/>
      </w:pPr>
      <w:r>
        <w:t>补焊修复：对泄漏点进行打磨除锈，采用氩弧焊补焊（不锈钢管道）或电弧焊补焊（碳钢管道），焊后进行压力测试（0.1MPa气压，保压30分钟无压降）。</w:t>
      </w:r>
    </w:p>
    <w:p w14:paraId="49EA5FAD">
      <w:pPr>
        <w:numPr>
          <w:ilvl w:val="0"/>
          <w:numId w:val="32"/>
        </w:numPr>
        <w:spacing w:before="0" w:beforeAutospacing="1" w:after="0" w:afterAutospacing="1"/>
        <w:ind w:left="720" w:hanging="360"/>
      </w:pPr>
      <w:r>
        <w:t>防腐处理：对腐蚀严重的管道（剩余厚度＜2mm），整段更换为不锈钢管道；轻微腐蚀区域，打磨后涂刷聚脲防腐涂层（干膜厚度≥200μm），延长使用寿命。</w:t>
      </w:r>
    </w:p>
    <w:p w14:paraId="1C2CE320">
      <w:pPr>
        <w:pStyle w:val="4"/>
      </w:pPr>
      <w:r>
        <w:t>5.3 净化装置故障</w:t>
      </w:r>
    </w:p>
    <w:p w14:paraId="32E71E11">
      <w:pPr>
        <w:pStyle w:val="5"/>
      </w:pPr>
      <w:r>
        <w:t>5.3.1 活性炭吸附失效</w:t>
      </w:r>
    </w:p>
    <w:p w14:paraId="2BA2CBF7">
      <w:r>
        <w:rPr>
          <w:b/>
        </w:rPr>
        <w:t>故障现象</w:t>
      </w:r>
      <w:r>
        <w:t>：活性炭吸附塔出口VOCs浓度＞80mg/m³（设计值≤50mg/m³），净化效率降至85%以下。</w:t>
      </w:r>
    </w:p>
    <w:p w14:paraId="7AFCBD9A">
      <w:r>
        <w:rPr>
          <w:b/>
        </w:rPr>
        <w:t>成因分析</w:t>
      </w:r>
      <w:r>
        <w:t>：</w:t>
      </w:r>
    </w:p>
    <w:p w14:paraId="78895B5E">
      <w:pPr>
        <w:numPr>
          <w:ilvl w:val="0"/>
          <w:numId w:val="33"/>
        </w:numPr>
        <w:spacing w:before="0" w:beforeAutospacing="1" w:after="0" w:afterAutospacing="1"/>
        <w:ind w:left="720" w:hanging="360"/>
      </w:pPr>
      <w:r>
        <w:t>吸附饱和：活性炭吸附容量达到上限（碘值从800mg/g降至600mg/g以下），无法继续吸附废气中的VOCs。</w:t>
      </w:r>
    </w:p>
    <w:p w14:paraId="04331F5A">
      <w:pPr>
        <w:numPr>
          <w:ilvl w:val="0"/>
          <w:numId w:val="33"/>
        </w:numPr>
        <w:spacing w:before="0" w:beforeAutospacing="1" w:after="0" w:afterAutospacing="1"/>
        <w:ind w:left="720" w:hanging="360"/>
      </w:pPr>
      <w:r>
        <w:t>湿度影响：车间环境湿度＞60%，废气中的水分被活性炭吸附，占据孔隙（水分含量＞30%时，吸附容量下降50%）。</w:t>
      </w:r>
    </w:p>
    <w:p w14:paraId="065BA20B">
      <w:pPr>
        <w:numPr>
          <w:ilvl w:val="0"/>
          <w:numId w:val="33"/>
        </w:numPr>
        <w:spacing w:before="0" w:beforeAutospacing="1" w:after="0" w:afterAutospacing="1"/>
        <w:ind w:left="720" w:hanging="360"/>
      </w:pPr>
      <w:r>
        <w:t>粉尘堵塞：布袋除尘器效率下降（＜95%），导致大量粉尘进入活性炭床，堵塞活性炭孔隙，降低比表面积。</w:t>
      </w:r>
    </w:p>
    <w:p w14:paraId="6DF3314E">
      <w:r>
        <w:rPr>
          <w:b/>
        </w:rPr>
        <w:t>处理对策</w:t>
      </w:r>
      <w:r>
        <w:t>：</w:t>
      </w:r>
    </w:p>
    <w:p w14:paraId="71E8C7B4">
      <w:pPr>
        <w:numPr>
          <w:ilvl w:val="0"/>
          <w:numId w:val="34"/>
        </w:numPr>
        <w:spacing w:before="0" w:beforeAutospacing="1" w:after="0" w:afterAutospacing="1"/>
        <w:ind w:left="720" w:hanging="360"/>
      </w:pPr>
      <w:r>
        <w:t>更换活性炭：停机后打开吸附塔顶部人孔，取出饱和活性炭（装袋密封，交由危废处理单位处置），填充新活性炭（碘值≥800mg/g），填充时分层夯实（每层高度300mm，用木锤轻敲塔壁使填充均匀）。</w:t>
      </w:r>
    </w:p>
    <w:p w14:paraId="2AF069C2">
      <w:pPr>
        <w:numPr>
          <w:ilvl w:val="0"/>
          <w:numId w:val="34"/>
        </w:numPr>
        <w:spacing w:before="0" w:beforeAutospacing="1" w:after="0" w:afterAutospacing="1"/>
        <w:ind w:left="720" w:hanging="360"/>
      </w:pPr>
      <w:r>
        <w:t>控制进气湿度：在吸附塔入口增设转轮除湿装置，将废气湿度降至40%以下，或选用防水型活性炭（浸渍硅油处理），提高湿度适应性。</w:t>
      </w:r>
    </w:p>
    <w:p w14:paraId="3A91CA39">
      <w:pPr>
        <w:numPr>
          <w:ilvl w:val="0"/>
          <w:numId w:val="34"/>
        </w:numPr>
        <w:spacing w:before="0" w:beforeAutospacing="1" w:after="0" w:afterAutospacing="1"/>
        <w:ind w:left="720" w:hanging="360"/>
      </w:pPr>
      <w:r>
        <w:t>加强预处理：检查布袋除尘器滤袋，更换破损滤袋，确保粉尘去除效率≥99%；在活性炭床顶部增设50mm厚石英砂过滤层（粒径5-10mm），拦截细小粉尘。</w:t>
      </w:r>
    </w:p>
    <w:p w14:paraId="461A4D5C">
      <w:pPr>
        <w:pStyle w:val="5"/>
      </w:pPr>
      <w:r>
        <w:t>5.3.2 催化燃烧效率下降</w:t>
      </w:r>
    </w:p>
    <w:p w14:paraId="0BBB2A73">
      <w:r>
        <w:rPr>
          <w:b/>
        </w:rPr>
        <w:t>故障现象</w:t>
      </w:r>
      <w:r>
        <w:t>：催化燃烧装置出口VOCs浓度＞50mg/m³（设计值≤20mg/m³），炉温波动大（±50℃以上），燃气消耗量增加（较正常时高20%）。</w:t>
      </w:r>
    </w:p>
    <w:p w14:paraId="45B62C33">
      <w:r>
        <w:rPr>
          <w:b/>
        </w:rPr>
        <w:t>成因分析</w:t>
      </w:r>
      <w:r>
        <w:t>：</w:t>
      </w:r>
    </w:p>
    <w:p w14:paraId="1112E54E">
      <w:pPr>
        <w:numPr>
          <w:ilvl w:val="0"/>
          <w:numId w:val="35"/>
        </w:numPr>
        <w:spacing w:before="0" w:beforeAutospacing="1" w:after="0" w:afterAutospacing="1"/>
        <w:ind w:left="720" w:hanging="360"/>
      </w:pPr>
      <w:r>
        <w:t>催化剂中毒：废气中含硫、磷化合物（如清洗剂中的硫化物），与催化剂活性组分（Pt、Pd）反应，导致活性位点失活（中毒后催化剂颜色变灰黑色）。</w:t>
      </w:r>
    </w:p>
    <w:p w14:paraId="005444E7">
      <w:pPr>
        <w:numPr>
          <w:ilvl w:val="0"/>
          <w:numId w:val="35"/>
        </w:numPr>
        <w:spacing w:before="0" w:beforeAutospacing="1" w:after="0" w:afterAutospacing="1"/>
        <w:ind w:left="720" w:hanging="360"/>
      </w:pPr>
      <w:r>
        <w:t>催化剂老化：长期高温运行（＞900℃）导致催化剂载体（蜂窝陶瓷）烧结，比表面积下降（从300m²/g降至100m²/g以下）。</w:t>
      </w:r>
    </w:p>
    <w:p w14:paraId="57988EBD">
      <w:pPr>
        <w:numPr>
          <w:ilvl w:val="0"/>
          <w:numId w:val="35"/>
        </w:numPr>
        <w:spacing w:before="0" w:beforeAutospacing="1" w:after="0" w:afterAutospacing="1"/>
        <w:ind w:left="720" w:hanging="360"/>
      </w:pPr>
      <w:r>
        <w:t>废气浓度波动：进气VOCs浓度忽高忽低（＜1000mg/m³或＞3000mg/m³），导致炉温不稳定，燃烧不充分。</w:t>
      </w:r>
    </w:p>
    <w:p w14:paraId="5C80B665">
      <w:r>
        <w:rPr>
          <w:b/>
        </w:rPr>
        <w:t>处理对策</w:t>
      </w:r>
      <w:r>
        <w:t>：</w:t>
      </w:r>
    </w:p>
    <w:p w14:paraId="29A3BEDB">
      <w:pPr>
        <w:numPr>
          <w:ilvl w:val="0"/>
          <w:numId w:val="36"/>
        </w:numPr>
        <w:spacing w:before="0" w:beforeAutospacing="1" w:after="0" w:afterAutospacing="1"/>
        <w:ind w:left="720" w:hanging="360"/>
      </w:pPr>
      <w:r>
        <w:t>催化剂再生或更换：若中毒轻微，可通入热空气（400℃）吹扫催化剂2小时（再生）；中毒严重或老化时，更换催化剂模块（按设计体积填充，确保与炉体密封良好）。</w:t>
      </w:r>
    </w:p>
    <w:p w14:paraId="680103F2">
      <w:pPr>
        <w:numPr>
          <w:ilvl w:val="0"/>
          <w:numId w:val="36"/>
        </w:numPr>
        <w:spacing w:before="0" w:beforeAutospacing="1" w:after="0" w:afterAutospacing="1"/>
        <w:ind w:left="720" w:hanging="360"/>
      </w:pPr>
      <w:r>
        <w:t>预处理脱硫磷：在催化燃烧装置前增设脱硫塔（装填活性炭 impregnated with 氧化铁），去除废气中的硫、磷化合物（去除率≥90%）。</w:t>
      </w:r>
    </w:p>
    <w:p w14:paraId="491D30DB">
      <w:pPr>
        <w:numPr>
          <w:ilvl w:val="0"/>
          <w:numId w:val="36"/>
        </w:numPr>
        <w:spacing w:before="0" w:beforeAutospacing="1" w:after="0" w:afterAutospacing="1"/>
        <w:ind w:left="720" w:hanging="360"/>
      </w:pPr>
      <w:r>
        <w:t>稳定进气浓度：通过PLC调节风机变频器频率，当浓度＜1000mg/m³时降低风量（提高浓度），＞3000mg/m³时开启新风阀稀释，维持浓度稳定在1500-2500mg/m³。</w:t>
      </w:r>
    </w:p>
    <w:p w14:paraId="0BDB618B">
      <w:pPr>
        <w:pStyle w:val="4"/>
      </w:pPr>
      <w:r>
        <w:t>5.4 控制系统故障</w:t>
      </w:r>
    </w:p>
    <w:p w14:paraId="494A54BE">
      <w:pPr>
        <w:pStyle w:val="5"/>
      </w:pPr>
      <w:r>
        <w:t>5.4.1 PLC通讯中断</w:t>
      </w:r>
    </w:p>
    <w:p w14:paraId="4334337D">
      <w:r>
        <w:rPr>
          <w:b/>
        </w:rPr>
        <w:t>故障现象</w:t>
      </w:r>
      <w:r>
        <w:t>：HMI显示“通讯故障”，无法监控实时参数，执行机构（如变频器、阀门）无响应，系统自动停机。</w:t>
      </w:r>
    </w:p>
    <w:p w14:paraId="175EBD1A">
      <w:r>
        <w:rPr>
          <w:b/>
        </w:rPr>
        <w:t>成因分析</w:t>
      </w:r>
      <w:r>
        <w:t>：</w:t>
      </w:r>
    </w:p>
    <w:p w14:paraId="2F2DD6AD">
      <w:pPr>
        <w:numPr>
          <w:ilvl w:val="0"/>
          <w:numId w:val="37"/>
        </w:numPr>
        <w:spacing w:before="0" w:beforeAutospacing="1" w:after="0" w:afterAutospacing="1"/>
        <w:ind w:left="720" w:hanging="360"/>
      </w:pPr>
      <w:r>
        <w:t>总线连接器故障：PROFINET总线连接器（RJ45接口）接触不良或终端电阻损坏（标准电阻118Ω±2Ω，实测＞125Ω或＜110Ω）。</w:t>
      </w:r>
    </w:p>
    <w:p w14:paraId="13FF4C2A">
      <w:pPr>
        <w:numPr>
          <w:ilvl w:val="0"/>
          <w:numId w:val="37"/>
        </w:numPr>
        <w:spacing w:before="0" w:beforeAutospacing="1" w:after="0" w:afterAutospacing="1"/>
        <w:ind w:left="720" w:hanging="360"/>
      </w:pPr>
      <w:r>
        <w:t>PLC模块故障：模拟量输入模块（AI）或通讯模块（CP1243）因电压波动（＞380V±15%）或温湿度超标（柜内温度＞40℃，湿度＞85%）损坏。</w:t>
      </w:r>
    </w:p>
    <w:p w14:paraId="47C427CE">
      <w:pPr>
        <w:numPr>
          <w:ilvl w:val="0"/>
          <w:numId w:val="37"/>
        </w:numPr>
        <w:spacing w:before="0" w:beforeAutospacing="1" w:after="0" w:afterAutospacing="1"/>
        <w:ind w:left="720" w:hanging="360"/>
      </w:pPr>
      <w:r>
        <w:t>电缆干扰：通讯电缆与动力电缆并行敷设（间距＜0.5m），受电磁干扰导致数据传输错误。</w:t>
      </w:r>
    </w:p>
    <w:p w14:paraId="2A013C3F">
      <w:r>
        <w:rPr>
          <w:b/>
        </w:rPr>
        <w:t>处理对策</w:t>
      </w:r>
      <w:r>
        <w:t>：</w:t>
      </w:r>
    </w:p>
    <w:p w14:paraId="520782F9">
      <w:pPr>
        <w:numPr>
          <w:ilvl w:val="0"/>
          <w:numId w:val="38"/>
        </w:numPr>
        <w:spacing w:before="0" w:beforeAutospacing="1" w:after="0" w:afterAutospacing="1"/>
        <w:ind w:left="720" w:hanging="360"/>
      </w:pPr>
      <w:r>
        <w:t>检查总线连接器：更换故障连接器，测量终端电阻（118Ω±2Ω），确保总线阻抗匹配；重新插拔连接器，清理接口灰尘（用无水乙醇擦拭）。</w:t>
      </w:r>
    </w:p>
    <w:p w14:paraId="1E74F3E6">
      <w:pPr>
        <w:numPr>
          <w:ilvl w:val="0"/>
          <w:numId w:val="38"/>
        </w:numPr>
        <w:spacing w:before="0" w:beforeAutospacing="1" w:after="0" w:afterAutospacing="1"/>
        <w:ind w:left="720" w:hanging="360"/>
      </w:pPr>
      <w:r>
        <w:t>更换PLC模块：断电后更换故障模块（如AI模块SM1231），重新下载程序，进行I/O点测试（强制输出信号，检查执行机构动作）；检查控制柜通风风扇，确保柜内温度＜35℃，加装除湿机（当湿度＞70%时启动）。</w:t>
      </w:r>
    </w:p>
    <w:p w14:paraId="4EF5AB9F">
      <w:pPr>
        <w:numPr>
          <w:ilvl w:val="0"/>
          <w:numId w:val="38"/>
        </w:numPr>
        <w:spacing w:before="0" w:beforeAutospacing="1" w:after="0" w:afterAutospacing="1"/>
        <w:ind w:left="720" w:hanging="360"/>
      </w:pPr>
      <w:r>
        <w:t>优化电缆敷设：将通讯电缆穿金属管（接地）敷设，与动力电缆间距≥1m，交叉时采用90°垂直交叉，减少电磁干扰。</w:t>
      </w:r>
    </w:p>
    <w:p w14:paraId="5188D82C">
      <w:pPr>
        <w:pStyle w:val="5"/>
      </w:pPr>
      <w:r>
        <w:t>5.4.2 传感器示值漂移</w:t>
      </w:r>
    </w:p>
    <w:p w14:paraId="745A177A">
      <w:r>
        <w:rPr>
          <w:b/>
        </w:rPr>
        <w:t>故障现象</w:t>
      </w:r>
      <w:r>
        <w:t>：VOCs浓度传感器读数波动大（±50mg/m³），与实际浓度偏差＞20%；温度传感器显示值与手持测温仪读数差＞10℃。</w:t>
      </w:r>
    </w:p>
    <w:p w14:paraId="7C68AE13">
      <w:r>
        <w:rPr>
          <w:b/>
        </w:rPr>
        <w:t>成因分析</w:t>
      </w:r>
      <w:r>
        <w:t>：</w:t>
      </w:r>
    </w:p>
    <w:p w14:paraId="36B31D4C">
      <w:pPr>
        <w:numPr>
          <w:ilvl w:val="0"/>
          <w:numId w:val="39"/>
        </w:numPr>
        <w:spacing w:before="0" w:beforeAutospacing="1" w:after="0" w:afterAutospacing="1"/>
        <w:ind w:left="720" w:hanging="360"/>
      </w:pPr>
      <w:r>
        <w:t>探头污染：金属粉尘覆盖传感器探头（如粉尘浓度传感器），或油污黏附在VOCs传感器光离子化室窗口，导致检测精度下降。</w:t>
      </w:r>
    </w:p>
    <w:p w14:paraId="720DCAD0">
      <w:pPr>
        <w:numPr>
          <w:ilvl w:val="0"/>
          <w:numId w:val="39"/>
        </w:numPr>
        <w:spacing w:before="0" w:beforeAutospacing="1" w:after="0" w:afterAutospacing="1"/>
        <w:ind w:left="720" w:hanging="360"/>
      </w:pPr>
      <w:r>
        <w:t>校准过期：传感器超过校准周期（VOCs传感器＞3个月，温度传感器＞6个月），电子元件漂移导致示值不准。</w:t>
      </w:r>
    </w:p>
    <w:p w14:paraId="531C1035">
      <w:pPr>
        <w:numPr>
          <w:ilvl w:val="0"/>
          <w:numId w:val="39"/>
        </w:numPr>
        <w:spacing w:before="0" w:beforeAutospacing="1" w:after="0" w:afterAutospacing="1"/>
        <w:ind w:left="720" w:hanging="360"/>
      </w:pPr>
      <w:r>
        <w:t>接线松动：传感器信号线接线端子氧化或松动，接触电阻增大（＞1Ω），信号传输衰减。</w:t>
      </w:r>
    </w:p>
    <w:p w14:paraId="0B850641">
      <w:r>
        <w:rPr>
          <w:b/>
        </w:rPr>
        <w:t>处理对策</w:t>
      </w:r>
      <w:r>
        <w:t>：</w:t>
      </w:r>
    </w:p>
    <w:p w14:paraId="7B5400E5">
      <w:pPr>
        <w:numPr>
          <w:ilvl w:val="0"/>
          <w:numId w:val="40"/>
        </w:numPr>
        <w:spacing w:before="0" w:beforeAutospacing="1" w:after="0" w:afterAutospacing="1"/>
        <w:ind w:left="720" w:hanging="360"/>
      </w:pPr>
      <w:r>
        <w:t>清洁探头：停机后拆卸传感器探头，用压缩空气（压力0.3MPa）吹扫粉尘，VOCs传感器窗口用无水乙醇棉球擦拭；若探头腐蚀损坏，更换同型号探头（如PID传感器PCT-LB-02）。</w:t>
      </w:r>
    </w:p>
    <w:p w14:paraId="50E2D921">
      <w:pPr>
        <w:numPr>
          <w:ilvl w:val="0"/>
          <w:numId w:val="40"/>
        </w:numPr>
        <w:spacing w:before="0" w:beforeAutospacing="1" w:after="0" w:afterAutospacing="1"/>
        <w:ind w:left="720" w:hanging="360"/>
      </w:pPr>
      <w:r>
        <w:t>重新校准：使用标准气体校准VOCs传感器（通入50ppm标气，调整传感器输出至4-20mA对应值）；用恒温槽校准温度传感器（设置50℃、100℃两点校准），记录校准曲线。</w:t>
      </w:r>
    </w:p>
    <w:p w14:paraId="36C75636">
      <w:pPr>
        <w:numPr>
          <w:ilvl w:val="0"/>
          <w:numId w:val="40"/>
        </w:numPr>
        <w:spacing w:before="0" w:beforeAutospacing="1" w:after="0" w:afterAutospacing="1"/>
        <w:ind w:left="720" w:hanging="360"/>
      </w:pPr>
      <w:r>
        <w:t>紧固接线：检查传感器接线端子，用砂纸打磨氧化层，重新紧固（力矩1.5N·m），信号线采用屏蔽线（单端接地），减少干扰。</w:t>
      </w:r>
    </w:p>
    <w:p w14:paraId="031D1CCE">
      <w:pPr>
        <w:pStyle w:val="3"/>
      </w:pPr>
      <w:r>
        <w:t>六、技术规范与安全标准</w:t>
      </w:r>
    </w:p>
    <w:p w14:paraId="13DAF580">
      <w:pPr>
        <w:pStyle w:val="4"/>
      </w:pPr>
      <w:r>
        <w:t>6.1 环保排放指标</w:t>
      </w:r>
    </w:p>
    <w:p w14:paraId="29C2EC54">
      <w:r>
        <w:t>系统出口废气需满足以下环保标准要求：</w:t>
      </w:r>
    </w:p>
    <w:p w14:paraId="6AB6DB4C">
      <w:pPr>
        <w:numPr>
          <w:ilvl w:val="0"/>
          <w:numId w:val="41"/>
        </w:numPr>
        <w:spacing w:before="0" w:beforeAutospacing="1" w:after="0" w:afterAutospacing="1"/>
        <w:ind w:left="720" w:hanging="360"/>
      </w:pPr>
      <w:r>
        <w:rPr>
          <w:b/>
        </w:rPr>
        <w:t>颗粒物</w:t>
      </w:r>
      <w:r>
        <w:t>：排放浓度≤10mg/m³，排放速率≤3.5kg/h（排气筒高度15m时），捕集效率≥90%。</w:t>
      </w:r>
    </w:p>
    <w:p w14:paraId="7C2E9FBF">
      <w:pPr>
        <w:numPr>
          <w:ilvl w:val="0"/>
          <w:numId w:val="41"/>
        </w:numPr>
        <w:spacing w:before="0" w:beforeAutospacing="1" w:after="0" w:afterAutospacing="1"/>
        <w:ind w:left="720" w:hanging="360"/>
      </w:pPr>
      <w:r>
        <w:rPr>
          <w:b/>
        </w:rPr>
        <w:t>VOCs</w:t>
      </w:r>
      <w:r>
        <w:t>：排放浓度≤80mg/m³，排放速率≤10kg/h，去除效率≥95%（当进口浓度＞500mg/m³时）。</w:t>
      </w:r>
    </w:p>
    <w:p w14:paraId="6E56314D">
      <w:pPr>
        <w:numPr>
          <w:ilvl w:val="0"/>
          <w:numId w:val="41"/>
        </w:numPr>
        <w:spacing w:before="0" w:beforeAutospacing="1" w:after="0" w:afterAutospacing="1"/>
        <w:ind w:left="720" w:hanging="360"/>
      </w:pPr>
      <w:r>
        <w:rPr>
          <w:b/>
        </w:rPr>
        <w:t>其他污染物</w:t>
      </w:r>
      <w:r>
        <w:t>：若废气含酸性气体（如HCl），排放浓度≤15mg/m³；恶臭污染物（如苯乙烯）厂界浓度≤4mg/m³。</w:t>
      </w:r>
    </w:p>
    <w:p w14:paraId="1A24BC8C">
      <w:r>
        <w:t>监测要求：排气筒每季度进行一次手工监测（委托第三方检测机构），监测因子包括颗粒物、VOCs、温度、流速；在线监测装置（VOCs、颗粒物）每月进行一次比对监测（与手工监测数据偏差≤15%），数据保存至少1年，超标时需在24小时内向环保部门上报。</w:t>
      </w:r>
    </w:p>
    <w:p w14:paraId="6467AE1C">
      <w:pPr>
        <w:pStyle w:val="4"/>
      </w:pPr>
      <w:r>
        <w:t>6.2 安全生产规范</w:t>
      </w:r>
    </w:p>
    <w:p w14:paraId="613FA37B">
      <w:r>
        <w:rPr>
          <w:b/>
        </w:rPr>
        <w:t>防爆安全</w:t>
      </w:r>
      <w:r>
        <w:t>：</w:t>
      </w:r>
    </w:p>
    <w:p w14:paraId="2AE1F97B">
      <w:pPr>
        <w:numPr>
          <w:ilvl w:val="0"/>
          <w:numId w:val="42"/>
        </w:numPr>
        <w:spacing w:before="0" w:beforeAutospacing="1" w:after="0" w:afterAutospacing="1"/>
        <w:ind w:left="720" w:hanging="360"/>
      </w:pPr>
      <w:r>
        <w:t>系统设计为负压运行（管道内压力＜-50Pa），避免正压泄漏导致燃爆；在活性炭吸附塔、催化燃烧装置进出口设置LEL检测仪（检测范围0-100%LEL），当浓度＞25%LEL时，自动启动稀释、停机等联锁措施。</w:t>
      </w:r>
    </w:p>
    <w:p w14:paraId="364F5F34">
      <w:pPr>
        <w:numPr>
          <w:ilvl w:val="0"/>
          <w:numId w:val="42"/>
        </w:numPr>
        <w:spacing w:before="0" w:beforeAutospacing="1" w:after="0" w:afterAutospacing="1"/>
        <w:ind w:left="720" w:hanging="360"/>
      </w:pPr>
      <w:r>
        <w:t>所有设备、管道需可靠接地（接地电阻＜4Ω），消除静电积聚；操作人员进入活性炭更换区域需穿防静电服、防静电鞋，使用防爆工具（铜合金材质）。</w:t>
      </w:r>
    </w:p>
    <w:p w14:paraId="60CD5799">
      <w:r>
        <w:rPr>
          <w:b/>
        </w:rPr>
        <w:t>电气安全</w:t>
      </w:r>
      <w:r>
        <w:t>：</w:t>
      </w:r>
    </w:p>
    <w:p w14:paraId="5D25F7F8">
      <w:pPr>
        <w:numPr>
          <w:ilvl w:val="0"/>
          <w:numId w:val="43"/>
        </w:numPr>
        <w:spacing w:before="0" w:beforeAutospacing="1" w:after="0" w:afterAutospacing="1"/>
        <w:ind w:left="720" w:hanging="360"/>
      </w:pPr>
      <w:r>
        <w:t>控制柜IP等级≥IP54，防止粉尘、水汽进入；电机、电缆选用防爆型（Ex d II BT4），适用于爆炸性气体环境（Zone 2）。</w:t>
      </w:r>
    </w:p>
    <w:p w14:paraId="626C7A53">
      <w:pPr>
        <w:numPr>
          <w:ilvl w:val="0"/>
          <w:numId w:val="43"/>
        </w:numPr>
        <w:spacing w:before="0" w:beforeAutospacing="1" w:after="0" w:afterAutospacing="1"/>
        <w:ind w:left="720" w:hanging="360"/>
      </w:pPr>
      <w:r>
        <w:t>系统设置过载、短路、漏电保护，风机、水泵等设备配备热继电器（动作电流为额定电流的1.2倍），电气线路定期绝缘检测（相间、对地绝缘电阻≥1MΩ）。</w:t>
      </w:r>
    </w:p>
    <w:p w14:paraId="6FB3BFB1">
      <w:r>
        <w:rPr>
          <w:b/>
        </w:rPr>
        <w:t>人员防护</w:t>
      </w:r>
      <w:r>
        <w:t>：</w:t>
      </w:r>
    </w:p>
    <w:p w14:paraId="205EF864">
      <w:pPr>
        <w:numPr>
          <w:ilvl w:val="0"/>
          <w:numId w:val="44"/>
        </w:numPr>
        <w:spacing w:before="0" w:beforeAutospacing="1" w:after="0" w:afterAutospacing="1"/>
        <w:ind w:left="720" w:hanging="360"/>
      </w:pPr>
      <w:r>
        <w:t>巡检人员需佩戴防毒口罩（防有机蒸气型，如3M 6200+6001滤毒盒）、护目镜；进入受限空间（如吸附塔内部）前，需进行气体检测（O₂≥19.5%，VOCs＜25%LEL），办理受限空间作业许可，设专人监护。</w:t>
      </w:r>
    </w:p>
    <w:p w14:paraId="34E86363">
      <w:pPr>
        <w:numPr>
          <w:ilvl w:val="0"/>
          <w:numId w:val="44"/>
        </w:numPr>
        <w:spacing w:before="0" w:beforeAutospacing="1" w:after="0" w:afterAutospacing="1"/>
        <w:ind w:left="720" w:hanging="360"/>
      </w:pPr>
      <w:r>
        <w:t>建立应急预案，定期组织演练（每年至少2次），配备应急物资：正压式呼吸器（2台）、防爆手电筒、急救箱、泄漏处理吸附棉（10kg）。</w:t>
      </w:r>
    </w:p>
    <w:p w14:paraId="513174E7">
      <w:pPr>
        <w:pStyle w:val="3"/>
      </w:pPr>
      <w:r>
        <w:t>七、附录</w:t>
      </w:r>
    </w:p>
    <w:p w14:paraId="0E67B7F7">
      <w:pPr>
        <w:pStyle w:val="4"/>
      </w:pPr>
      <w:r>
        <w:t>7.1 技术参数汇总表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D746029">
        <w:tblPrEx>
          <w:tblCellMar>
            <w:top w:w="0" w:type="dxa"/>
            <w:left w:w="0" w:type="dxa"/>
            <w:bottom w:w="0" w:type="dxa"/>
            <w:right w:w="0" w:type="dxa"/>
          </w:tblCellMar>
        </w:tblPrEx>
        <w:tc>
          <w:tcPr>
            <w:tcW w:w="0" w:type="auto"/>
            <w:vAlign w:val="center"/>
          </w:tcPr>
          <w:p w14:paraId="1712961D">
            <w:pPr>
              <w:jc w:val="center"/>
              <w:rPr>
                <w:b/>
              </w:rPr>
            </w:pPr>
            <w:r>
              <w:rPr>
                <w:b/>
              </w:rPr>
              <w:t>设备名称</w:t>
            </w:r>
          </w:p>
        </w:tc>
        <w:tc>
          <w:tcPr>
            <w:tcW w:w="0" w:type="auto"/>
            <w:vAlign w:val="center"/>
          </w:tcPr>
          <w:p w14:paraId="2F67193D">
            <w:pPr>
              <w:jc w:val="center"/>
              <w:rPr>
                <w:b/>
              </w:rPr>
            </w:pPr>
            <w:r>
              <w:rPr>
                <w:b/>
              </w:rPr>
              <w:t>型号规格</w:t>
            </w:r>
          </w:p>
        </w:tc>
        <w:tc>
          <w:tcPr>
            <w:tcW w:w="0" w:type="auto"/>
            <w:vAlign w:val="center"/>
          </w:tcPr>
          <w:p w14:paraId="61CBD530">
            <w:pPr>
              <w:jc w:val="center"/>
              <w:rPr>
                <w:b/>
              </w:rPr>
            </w:pPr>
            <w:r>
              <w:rPr>
                <w:b/>
              </w:rPr>
              <w:t>主要参数</w:t>
            </w:r>
          </w:p>
        </w:tc>
        <w:tc>
          <w:tcPr>
            <w:tcW w:w="0" w:type="auto"/>
            <w:vAlign w:val="center"/>
          </w:tcPr>
          <w:p w14:paraId="12F30894">
            <w:pPr>
              <w:jc w:val="center"/>
              <w:rPr>
                <w:b/>
              </w:rPr>
            </w:pPr>
            <w:r>
              <w:rPr>
                <w:b/>
              </w:rPr>
              <w:t>生产厂家</w:t>
            </w:r>
          </w:p>
        </w:tc>
      </w:tr>
      <w:tr w14:paraId="29A812DC">
        <w:tblPrEx>
          <w:tblCellMar>
            <w:top w:w="0" w:type="dxa"/>
            <w:left w:w="0" w:type="dxa"/>
            <w:bottom w:w="0" w:type="dxa"/>
            <w:right w:w="0" w:type="dxa"/>
          </w:tblCellMar>
        </w:tblPrEx>
        <w:tc>
          <w:tcPr>
            <w:tcW w:w="0" w:type="auto"/>
            <w:vAlign w:val="center"/>
          </w:tcPr>
          <w:p w14:paraId="4AA47528">
            <w:r>
              <w:t>集气罩</w:t>
            </w:r>
          </w:p>
        </w:tc>
        <w:tc>
          <w:tcPr>
            <w:tcW w:w="0" w:type="auto"/>
            <w:vAlign w:val="center"/>
          </w:tcPr>
          <w:p w14:paraId="5A53491A">
            <w:r>
              <w:t>顶吸式</w:t>
            </w:r>
          </w:p>
        </w:tc>
        <w:tc>
          <w:tcPr>
            <w:tcW w:w="0" w:type="auto"/>
            <w:vAlign w:val="center"/>
          </w:tcPr>
          <w:p w14:paraId="6F27FEB1">
            <w:r>
              <w:t>罩口尺寸1.5m×1.2m，风速1.5m/s，材质Q235钢板（3mm厚）</w:t>
            </w:r>
          </w:p>
        </w:tc>
        <w:tc>
          <w:tcPr>
            <w:tcW w:w="0" w:type="auto"/>
            <w:vAlign w:val="center"/>
          </w:tcPr>
          <w:p w14:paraId="3874794F">
            <w:r>
              <w:t>本地环保设备厂</w:t>
            </w:r>
          </w:p>
        </w:tc>
      </w:tr>
      <w:tr w14:paraId="2CD5CCD4">
        <w:tblPrEx>
          <w:tblCellMar>
            <w:top w:w="0" w:type="dxa"/>
            <w:left w:w="0" w:type="dxa"/>
            <w:bottom w:w="0" w:type="dxa"/>
            <w:right w:w="0" w:type="dxa"/>
          </w:tblCellMar>
        </w:tblPrEx>
        <w:tc>
          <w:tcPr>
            <w:tcW w:w="0" w:type="auto"/>
            <w:vAlign w:val="center"/>
          </w:tcPr>
          <w:p w14:paraId="541CE312">
            <w:r>
              <w:t>离心风机</w:t>
            </w:r>
          </w:p>
        </w:tc>
        <w:tc>
          <w:tcPr>
            <w:tcW w:w="0" w:type="auto"/>
            <w:vAlign w:val="center"/>
          </w:tcPr>
          <w:p w14:paraId="6B0E208D">
            <w:r>
              <w:t>4-72-11No.6C</w:t>
            </w:r>
          </w:p>
        </w:tc>
        <w:tc>
          <w:tcPr>
            <w:tcW w:w="0" w:type="auto"/>
            <w:vAlign w:val="center"/>
          </w:tcPr>
          <w:p w14:paraId="6719CD96">
            <w:r>
              <w:t>风量10500m³/h，风压1500Pa，功率11kW，变频调速</w:t>
            </w:r>
          </w:p>
        </w:tc>
        <w:tc>
          <w:tcPr>
            <w:tcW w:w="0" w:type="auto"/>
            <w:vAlign w:val="center"/>
          </w:tcPr>
          <w:p w14:paraId="53C73872">
            <w:r>
              <w:t>上海风机厂</w:t>
            </w:r>
          </w:p>
        </w:tc>
      </w:tr>
      <w:tr w14:paraId="309D1111">
        <w:tc>
          <w:tcPr>
            <w:tcW w:w="0" w:type="auto"/>
            <w:vAlign w:val="center"/>
          </w:tcPr>
          <w:p w14:paraId="21E1B9A5">
            <w:r>
              <w:t>布袋除尘器</w:t>
            </w:r>
          </w:p>
        </w:tc>
        <w:tc>
          <w:tcPr>
            <w:tcW w:w="0" w:type="auto"/>
            <w:vAlign w:val="center"/>
          </w:tcPr>
          <w:p w14:paraId="48C170A8">
            <w:r>
              <w:t>LMC-1000</w:t>
            </w:r>
          </w:p>
        </w:tc>
        <w:tc>
          <w:tcPr>
            <w:tcW w:w="0" w:type="auto"/>
            <w:vAlign w:val="center"/>
          </w:tcPr>
          <w:p w14:paraId="31711389">
            <w:r>
              <w:t>过滤面积20m²，滤袋材质PPS针刺毡，清灰方式脉冲喷吹，处理风量10000m³/h</w:t>
            </w:r>
          </w:p>
        </w:tc>
        <w:tc>
          <w:tcPr>
            <w:tcW w:w="0" w:type="auto"/>
            <w:vAlign w:val="center"/>
          </w:tcPr>
          <w:p w14:paraId="6C46D9FF">
            <w:r>
              <w:t>江苏滤筒厂家</w:t>
            </w:r>
          </w:p>
        </w:tc>
      </w:tr>
      <w:tr w14:paraId="2F79521D">
        <w:tblPrEx>
          <w:tblCellMar>
            <w:top w:w="0" w:type="dxa"/>
            <w:left w:w="0" w:type="dxa"/>
            <w:bottom w:w="0" w:type="dxa"/>
            <w:right w:w="0" w:type="dxa"/>
          </w:tblCellMar>
        </w:tblPrEx>
        <w:tc>
          <w:tcPr>
            <w:tcW w:w="0" w:type="auto"/>
            <w:vAlign w:val="center"/>
          </w:tcPr>
          <w:p w14:paraId="7CE23F9F">
            <w:r>
              <w:t>活性炭吸附塔</w:t>
            </w:r>
          </w:p>
        </w:tc>
        <w:tc>
          <w:tcPr>
            <w:tcW w:w="0" w:type="auto"/>
            <w:vAlign w:val="center"/>
          </w:tcPr>
          <w:p w14:paraId="4BD2EDE1">
            <w:r>
              <w:t>HXT-1500</w:t>
            </w:r>
          </w:p>
        </w:tc>
        <w:tc>
          <w:tcPr>
            <w:tcW w:w="0" w:type="auto"/>
            <w:vAlign w:val="center"/>
          </w:tcPr>
          <w:p w14:paraId="4373E691">
            <w:r>
              <w:t>直径1.5m，高度4.5m，活性炭填充量1.8m³，空塔气速1.0m/min</w:t>
            </w:r>
          </w:p>
        </w:tc>
        <w:tc>
          <w:tcPr>
            <w:tcW w:w="0" w:type="auto"/>
            <w:vAlign w:val="center"/>
          </w:tcPr>
          <w:p w14:paraId="7A5AE395">
            <w:r>
              <w:t>浙江环保设备厂</w:t>
            </w:r>
          </w:p>
        </w:tc>
      </w:tr>
      <w:tr w14:paraId="6914CCDE">
        <w:tblPrEx>
          <w:tblCellMar>
            <w:top w:w="0" w:type="dxa"/>
            <w:left w:w="0" w:type="dxa"/>
            <w:bottom w:w="0" w:type="dxa"/>
            <w:right w:w="0" w:type="dxa"/>
          </w:tblCellMar>
        </w:tblPrEx>
        <w:tc>
          <w:tcPr>
            <w:tcW w:w="0" w:type="auto"/>
            <w:vAlign w:val="center"/>
          </w:tcPr>
          <w:p w14:paraId="03B43F71">
            <w:r>
              <w:t>催化燃烧装置</w:t>
            </w:r>
          </w:p>
        </w:tc>
        <w:tc>
          <w:tcPr>
            <w:tcW w:w="0" w:type="auto"/>
            <w:vAlign w:val="center"/>
          </w:tcPr>
          <w:p w14:paraId="6BB10F44">
            <w:r>
              <w:t>RCO-5000</w:t>
            </w:r>
          </w:p>
        </w:tc>
        <w:tc>
          <w:tcPr>
            <w:tcW w:w="0" w:type="auto"/>
            <w:vAlign w:val="center"/>
          </w:tcPr>
          <w:p w14:paraId="40BEC630">
            <w:r>
              <w:t>处理风量5000m³/h，催化剂型号Pt-Pd/Al₂O₃，工作温度200-400℃，净化效率≥98%</w:t>
            </w:r>
          </w:p>
        </w:tc>
        <w:tc>
          <w:tcPr>
            <w:tcW w:w="0" w:type="auto"/>
            <w:vAlign w:val="center"/>
          </w:tcPr>
          <w:p w14:paraId="0175AE44">
            <w:r>
              <w:t>广东废气处理厂</w:t>
            </w:r>
          </w:p>
        </w:tc>
      </w:tr>
      <w:tr w14:paraId="0B4E8623">
        <w:tblPrEx>
          <w:tblCellMar>
            <w:top w:w="0" w:type="dxa"/>
            <w:left w:w="0" w:type="dxa"/>
            <w:bottom w:w="0" w:type="dxa"/>
            <w:right w:w="0" w:type="dxa"/>
          </w:tblCellMar>
        </w:tblPrEx>
        <w:tc>
          <w:tcPr>
            <w:tcW w:w="0" w:type="auto"/>
            <w:vAlign w:val="center"/>
          </w:tcPr>
          <w:p w14:paraId="51AD8937">
            <w:r>
              <w:t>VOCs在线监测仪</w:t>
            </w:r>
          </w:p>
        </w:tc>
        <w:tc>
          <w:tcPr>
            <w:tcW w:w="0" w:type="auto"/>
            <w:vAlign w:val="center"/>
          </w:tcPr>
          <w:p w14:paraId="3314464A">
            <w:r>
              <w:t>PID-3000</w:t>
            </w:r>
          </w:p>
        </w:tc>
        <w:tc>
          <w:tcPr>
            <w:tcW w:w="0" w:type="auto"/>
            <w:vAlign w:val="center"/>
          </w:tcPr>
          <w:p w14:paraId="04191617">
            <w:r>
              <w:t>检测范围0-500mg/m³，精度±5%FS，输出信号4-20mA/PROFINET</w:t>
            </w:r>
          </w:p>
        </w:tc>
        <w:tc>
          <w:tcPr>
            <w:tcW w:w="0" w:type="auto"/>
            <w:vAlign w:val="center"/>
          </w:tcPr>
          <w:p w14:paraId="44902A11">
            <w:r>
              <w:t>北京分析仪器厂</w:t>
            </w:r>
          </w:p>
        </w:tc>
      </w:tr>
    </w:tbl>
    <w:p w14:paraId="10BBE885">
      <w:pPr>
        <w:pStyle w:val="4"/>
      </w:pPr>
      <w:r>
        <w:t>7.2 常用图纸索引</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52311D52">
        <w:tblPrEx>
          <w:tblCellMar>
            <w:top w:w="0" w:type="dxa"/>
            <w:left w:w="0" w:type="dxa"/>
            <w:bottom w:w="0" w:type="dxa"/>
            <w:right w:w="0" w:type="dxa"/>
          </w:tblCellMar>
        </w:tblPrEx>
        <w:tc>
          <w:tcPr>
            <w:tcW w:w="0" w:type="auto"/>
            <w:vAlign w:val="center"/>
          </w:tcPr>
          <w:p w14:paraId="4B72ED09">
            <w:pPr>
              <w:jc w:val="center"/>
              <w:rPr>
                <w:b/>
              </w:rPr>
            </w:pPr>
            <w:r>
              <w:rPr>
                <w:b/>
              </w:rPr>
              <w:t>图纸编号</w:t>
            </w:r>
          </w:p>
        </w:tc>
        <w:tc>
          <w:tcPr>
            <w:tcW w:w="0" w:type="auto"/>
            <w:vAlign w:val="center"/>
          </w:tcPr>
          <w:p w14:paraId="696D5DBA">
            <w:pPr>
              <w:jc w:val="center"/>
              <w:rPr>
                <w:b/>
              </w:rPr>
            </w:pPr>
            <w:r>
              <w:rPr>
                <w:b/>
              </w:rPr>
              <w:t>图纸名称</w:t>
            </w:r>
          </w:p>
        </w:tc>
        <w:tc>
          <w:tcPr>
            <w:tcW w:w="0" w:type="auto"/>
            <w:vAlign w:val="center"/>
          </w:tcPr>
          <w:p w14:paraId="37255BCA">
            <w:pPr>
              <w:jc w:val="center"/>
              <w:rPr>
                <w:b/>
              </w:rPr>
            </w:pPr>
            <w:r>
              <w:rPr>
                <w:b/>
              </w:rPr>
              <w:t>版本</w:t>
            </w:r>
          </w:p>
        </w:tc>
        <w:tc>
          <w:tcPr>
            <w:tcW w:w="0" w:type="auto"/>
            <w:vAlign w:val="center"/>
          </w:tcPr>
          <w:p w14:paraId="21ADB095">
            <w:pPr>
              <w:jc w:val="center"/>
              <w:rPr>
                <w:b/>
              </w:rPr>
            </w:pPr>
            <w:r>
              <w:rPr>
                <w:b/>
              </w:rPr>
              <w:t>存放位置</w:t>
            </w:r>
          </w:p>
        </w:tc>
      </w:tr>
      <w:tr w14:paraId="5A25FB68">
        <w:tblPrEx>
          <w:tblCellMar>
            <w:top w:w="0" w:type="dxa"/>
            <w:left w:w="0" w:type="dxa"/>
            <w:bottom w:w="0" w:type="dxa"/>
            <w:right w:w="0" w:type="dxa"/>
          </w:tblCellMar>
        </w:tblPrEx>
        <w:tc>
          <w:tcPr>
            <w:tcW w:w="0" w:type="auto"/>
            <w:vAlign w:val="center"/>
          </w:tcPr>
          <w:p w14:paraId="42F1E37C">
            <w:r>
              <w:t>F-01</w:t>
            </w:r>
          </w:p>
        </w:tc>
        <w:tc>
          <w:tcPr>
            <w:tcW w:w="0" w:type="auto"/>
            <w:vAlign w:val="center"/>
          </w:tcPr>
          <w:p w14:paraId="1FE7ABA8">
            <w:r>
              <w:t>系统总流程图</w:t>
            </w:r>
          </w:p>
        </w:tc>
        <w:tc>
          <w:tcPr>
            <w:tcW w:w="0" w:type="auto"/>
            <w:vAlign w:val="center"/>
          </w:tcPr>
          <w:p w14:paraId="1C453CA2">
            <w:r>
              <w:t>A0</w:t>
            </w:r>
          </w:p>
        </w:tc>
        <w:tc>
          <w:tcPr>
            <w:tcW w:w="0" w:type="auto"/>
            <w:vAlign w:val="center"/>
          </w:tcPr>
          <w:p w14:paraId="086F8CF3">
            <w:r>
              <w:t>设备科档案室1号柜2层</w:t>
            </w:r>
          </w:p>
        </w:tc>
      </w:tr>
      <w:tr w14:paraId="7403534C">
        <w:tblPrEx>
          <w:tblCellMar>
            <w:top w:w="0" w:type="dxa"/>
            <w:left w:w="0" w:type="dxa"/>
            <w:bottom w:w="0" w:type="dxa"/>
            <w:right w:w="0" w:type="dxa"/>
          </w:tblCellMar>
        </w:tblPrEx>
        <w:tc>
          <w:tcPr>
            <w:tcW w:w="0" w:type="auto"/>
            <w:vAlign w:val="center"/>
          </w:tcPr>
          <w:p w14:paraId="5D587BB2">
            <w:r>
              <w:t>F-02</w:t>
            </w:r>
          </w:p>
        </w:tc>
        <w:tc>
          <w:tcPr>
            <w:tcW w:w="0" w:type="auto"/>
            <w:vAlign w:val="center"/>
          </w:tcPr>
          <w:p w14:paraId="0C6A6680">
            <w:r>
              <w:t>管道布置图</w:t>
            </w:r>
          </w:p>
        </w:tc>
        <w:tc>
          <w:tcPr>
            <w:tcW w:w="0" w:type="auto"/>
            <w:vAlign w:val="center"/>
          </w:tcPr>
          <w:p w14:paraId="076DCBF1">
            <w:r>
              <w:t>A1</w:t>
            </w:r>
          </w:p>
        </w:tc>
        <w:tc>
          <w:tcPr>
            <w:tcW w:w="0" w:type="auto"/>
            <w:vAlign w:val="center"/>
          </w:tcPr>
          <w:p w14:paraId="0236D308">
            <w:r>
              <w:t>设备科档案室1号柜2层</w:t>
            </w:r>
          </w:p>
        </w:tc>
      </w:tr>
      <w:tr w14:paraId="1DB273D3">
        <w:tc>
          <w:tcPr>
            <w:tcW w:w="0" w:type="auto"/>
            <w:vAlign w:val="center"/>
          </w:tcPr>
          <w:p w14:paraId="02C05A78">
            <w:r>
              <w:t>F-03</w:t>
            </w:r>
          </w:p>
        </w:tc>
        <w:tc>
          <w:tcPr>
            <w:tcW w:w="0" w:type="auto"/>
            <w:vAlign w:val="center"/>
          </w:tcPr>
          <w:p w14:paraId="43869871">
            <w:r>
              <w:t>电气控制原理图</w:t>
            </w:r>
          </w:p>
        </w:tc>
        <w:tc>
          <w:tcPr>
            <w:tcW w:w="0" w:type="auto"/>
            <w:vAlign w:val="center"/>
          </w:tcPr>
          <w:p w14:paraId="7FAA99E7">
            <w:r>
              <w:t>A2</w:t>
            </w:r>
          </w:p>
        </w:tc>
        <w:tc>
          <w:tcPr>
            <w:tcW w:w="0" w:type="auto"/>
            <w:vAlign w:val="center"/>
          </w:tcPr>
          <w:p w14:paraId="6B14EB5A">
            <w:r>
              <w:t>电气车间资料柜3号抽屉</w:t>
            </w:r>
          </w:p>
        </w:tc>
      </w:tr>
      <w:tr w14:paraId="4E7D7D9C">
        <w:tblPrEx>
          <w:tblCellMar>
            <w:top w:w="0" w:type="dxa"/>
            <w:left w:w="0" w:type="dxa"/>
            <w:bottom w:w="0" w:type="dxa"/>
            <w:right w:w="0" w:type="dxa"/>
          </w:tblCellMar>
        </w:tblPrEx>
        <w:tc>
          <w:tcPr>
            <w:tcW w:w="0" w:type="auto"/>
            <w:vAlign w:val="center"/>
          </w:tcPr>
          <w:p w14:paraId="4B4B0AD6">
            <w:r>
              <w:t>F-04</w:t>
            </w:r>
          </w:p>
        </w:tc>
        <w:tc>
          <w:tcPr>
            <w:tcW w:w="0" w:type="auto"/>
            <w:vAlign w:val="center"/>
          </w:tcPr>
          <w:p w14:paraId="3B7C4EEC">
            <w:r>
              <w:t>集气罩结构图</w:t>
            </w:r>
          </w:p>
        </w:tc>
        <w:tc>
          <w:tcPr>
            <w:tcW w:w="0" w:type="auto"/>
            <w:vAlign w:val="center"/>
          </w:tcPr>
          <w:p w14:paraId="0F37E6B8">
            <w:r>
              <w:t>A3</w:t>
            </w:r>
          </w:p>
        </w:tc>
        <w:tc>
          <w:tcPr>
            <w:tcW w:w="0" w:type="auto"/>
            <w:vAlign w:val="center"/>
          </w:tcPr>
          <w:p w14:paraId="467C4BF5">
            <w:r>
              <w:t>机修车间图纸柜1号格</w:t>
            </w:r>
          </w:p>
        </w:tc>
      </w:tr>
      <w:tr w14:paraId="1BCC9640">
        <w:tblPrEx>
          <w:tblCellMar>
            <w:top w:w="0" w:type="dxa"/>
            <w:left w:w="0" w:type="dxa"/>
            <w:bottom w:w="0" w:type="dxa"/>
            <w:right w:w="0" w:type="dxa"/>
          </w:tblCellMar>
        </w:tblPrEx>
        <w:tc>
          <w:tcPr>
            <w:tcW w:w="0" w:type="auto"/>
            <w:vAlign w:val="center"/>
          </w:tcPr>
          <w:p w14:paraId="67989E1C">
            <w:r>
              <w:t>F-05</w:t>
            </w:r>
          </w:p>
        </w:tc>
        <w:tc>
          <w:tcPr>
            <w:tcW w:w="0" w:type="auto"/>
            <w:vAlign w:val="center"/>
          </w:tcPr>
          <w:p w14:paraId="58D46536">
            <w:r>
              <w:t>PLC程序流程图</w:t>
            </w:r>
          </w:p>
        </w:tc>
        <w:tc>
          <w:tcPr>
            <w:tcW w:w="0" w:type="auto"/>
            <w:vAlign w:val="center"/>
          </w:tcPr>
          <w:p w14:paraId="6BB09179">
            <w:r>
              <w:t>电子版</w:t>
            </w:r>
          </w:p>
        </w:tc>
        <w:tc>
          <w:tcPr>
            <w:tcW w:w="0" w:type="auto"/>
            <w:vAlign w:val="center"/>
          </w:tcPr>
          <w:p w14:paraId="744CB256">
            <w:r>
              <w:t>服务器E盘“控制系统”文件夹</w:t>
            </w:r>
          </w:p>
        </w:tc>
      </w:tr>
    </w:tbl>
    <w:p w14:paraId="331A6858">
      <w:pPr>
        <w:pStyle w:val="4"/>
      </w:pPr>
      <w:r>
        <w:t>7.3 专业术语解释</w:t>
      </w:r>
    </w:p>
    <w:p w14:paraId="052FAF08">
      <w:pPr>
        <w:numPr>
          <w:ilvl w:val="0"/>
          <w:numId w:val="45"/>
        </w:numPr>
        <w:spacing w:before="0" w:beforeAutospacing="1" w:after="0" w:afterAutospacing="1"/>
        <w:ind w:left="720" w:hanging="360"/>
      </w:pPr>
      <w:r>
        <w:rPr>
          <w:b/>
        </w:rPr>
        <w:t>VOCs</w:t>
      </w:r>
      <w:r>
        <w:t>：挥发性有机物，指常温下饱和蒸气压＞70Pa、沸点＜260℃的有机化合物，包括苯系物、醇类、酯类等。</w:t>
      </w:r>
    </w:p>
    <w:p w14:paraId="33544B35">
      <w:pPr>
        <w:numPr>
          <w:ilvl w:val="0"/>
          <w:numId w:val="45"/>
        </w:numPr>
        <w:spacing w:before="0" w:beforeAutospacing="1" w:after="0" w:afterAutospacing="1"/>
        <w:ind w:left="720" w:hanging="360"/>
      </w:pPr>
      <w:r>
        <w:rPr>
          <w:b/>
        </w:rPr>
        <w:t>LEL</w:t>
      </w:r>
      <w:r>
        <w:t>：爆炸下限，指可燃性气体在空气中能引发爆炸的最低体积分数，系统控制浓度需＜25%LEL。</w:t>
      </w:r>
    </w:p>
    <w:p w14:paraId="6A58869C">
      <w:pPr>
        <w:numPr>
          <w:ilvl w:val="0"/>
          <w:numId w:val="45"/>
        </w:numPr>
        <w:spacing w:before="0" w:beforeAutospacing="1" w:after="0" w:afterAutospacing="1"/>
        <w:ind w:left="720" w:hanging="360"/>
      </w:pPr>
      <w:r>
        <w:rPr>
          <w:b/>
        </w:rPr>
        <w:t>CFD</w:t>
      </w:r>
      <w:r>
        <w:t>：计算流体动力学，通过数值模拟方法分析流体流动状态，用于优化集气罩、管道的气流组织。</w:t>
      </w:r>
    </w:p>
    <w:p w14:paraId="38ED2584">
      <w:pPr>
        <w:numPr>
          <w:ilvl w:val="0"/>
          <w:numId w:val="45"/>
        </w:numPr>
        <w:spacing w:before="0" w:beforeAutospacing="1" w:after="0" w:afterAutospacing="1"/>
        <w:ind w:left="720" w:hanging="360"/>
      </w:pPr>
      <w:r>
        <w:rPr>
          <w:b/>
        </w:rPr>
        <w:t>PID</w:t>
      </w:r>
      <w:r>
        <w:t>：比例-积分-微分控制，一种闭环控制算法，通过调节比例、积分、微分参数，使被控变量稳定在设定值。</w:t>
      </w:r>
    </w:p>
    <w:p w14:paraId="641D0584">
      <w:pPr>
        <w:numPr>
          <w:ilvl w:val="0"/>
          <w:numId w:val="45"/>
        </w:numPr>
        <w:spacing w:before="0" w:beforeAutospacing="1" w:after="0" w:afterAutospacing="1"/>
        <w:ind w:left="720" w:hanging="360"/>
      </w:pPr>
      <w:r>
        <w:rPr>
          <w:b/>
        </w:rPr>
        <w:t>空速</w:t>
      </w:r>
      <w:r>
        <w:t>：单位时间内通过单位体积催化剂的气体体积，单位为h⁻¹，是催化燃烧装置的关键参数。</w:t>
      </w:r>
    </w:p>
    <w:p w14:paraId="62AD955B">
      <w:pPr>
        <w:numPr>
          <w:ilvl w:val="0"/>
          <w:numId w:val="45"/>
        </w:numPr>
        <w:spacing w:before="0" w:beforeAutospacing="1" w:after="0" w:afterAutospacing="1"/>
        <w:ind w:left="720" w:hanging="360"/>
      </w:pPr>
      <w:r>
        <w:rPr>
          <w:b/>
        </w:rPr>
        <w:t>滤速</w:t>
      </w:r>
      <w:r>
        <w:t>：布袋除尘器中，单位过滤面积、单位时间内处理的气体体积，单位为m/min，决定滤袋尺寸与数量。</w:t>
      </w:r>
    </w:p>
    <w:p w14:paraId="4D8A06F0">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F5CE9"/>
    <w:multiLevelType w:val="singleLevel"/>
    <w:tmpl w:val="997F5CE9"/>
    <w:lvl w:ilvl="0" w:tentative="0">
      <w:start w:val="1"/>
      <w:numFmt w:val="bullet"/>
      <w:lvlText w:val=""/>
      <w:lvlJc w:val="left"/>
      <w:pPr>
        <w:ind w:left="720" w:hanging="360"/>
      </w:pPr>
      <w:rPr>
        <w:rFonts w:hint="default" w:ascii="Symbol" w:hAnsi="Symbol" w:cs="Symbol"/>
        <w:sz w:val="20"/>
      </w:rPr>
    </w:lvl>
  </w:abstractNum>
  <w:abstractNum w:abstractNumId="1">
    <w:nsid w:val="9DEC2108"/>
    <w:multiLevelType w:val="singleLevel"/>
    <w:tmpl w:val="9DEC2108"/>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A8C8E6F2"/>
    <w:multiLevelType w:val="singleLevel"/>
    <w:tmpl w:val="A8C8E6F2"/>
    <w:lvl w:ilvl="0" w:tentative="0">
      <w:start w:val="1"/>
      <w:numFmt w:val="bullet"/>
      <w:lvlText w:val=""/>
      <w:lvlJc w:val="left"/>
      <w:pPr>
        <w:ind w:left="720" w:hanging="360"/>
      </w:pPr>
      <w:rPr>
        <w:rFonts w:hint="default" w:ascii="Symbol" w:hAnsi="Symbol" w:cs="Symbol"/>
        <w:sz w:val="20"/>
      </w:rPr>
    </w:lvl>
  </w:abstractNum>
  <w:abstractNum w:abstractNumId="4">
    <w:nsid w:val="ADEE2FFA"/>
    <w:multiLevelType w:val="singleLevel"/>
    <w:tmpl w:val="ADEE2FFA"/>
    <w:lvl w:ilvl="0" w:tentative="0">
      <w:start w:val="1"/>
      <w:numFmt w:val="bullet"/>
      <w:lvlText w:val=""/>
      <w:lvlJc w:val="left"/>
      <w:pPr>
        <w:ind w:left="720" w:hanging="360"/>
      </w:pPr>
      <w:rPr>
        <w:rFonts w:hint="default" w:ascii="Symbol" w:hAnsi="Symbol" w:cs="Symbol"/>
        <w:sz w:val="20"/>
      </w:rPr>
    </w:lvl>
  </w:abstractNum>
  <w:abstractNum w:abstractNumId="5">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6">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7">
    <w:nsid w:val="BCFFDBEF"/>
    <w:multiLevelType w:val="singleLevel"/>
    <w:tmpl w:val="BCFFDBEF"/>
    <w:lvl w:ilvl="0" w:tentative="0">
      <w:start w:val="1"/>
      <w:numFmt w:val="bullet"/>
      <w:lvlText w:val=""/>
      <w:lvlJc w:val="left"/>
      <w:pPr>
        <w:ind w:left="720" w:hanging="360"/>
      </w:pPr>
      <w:rPr>
        <w:rFonts w:hint="default" w:ascii="Symbol" w:hAnsi="Symbol" w:cs="Symbol"/>
        <w:sz w:val="20"/>
      </w:rPr>
    </w:lvl>
  </w:abstractNum>
  <w:abstractNum w:abstractNumId="8">
    <w:nsid w:val="CFEFF175"/>
    <w:multiLevelType w:val="singleLevel"/>
    <w:tmpl w:val="CFEFF175"/>
    <w:lvl w:ilvl="0" w:tentative="0">
      <w:start w:val="1"/>
      <w:numFmt w:val="bullet"/>
      <w:lvlText w:val=""/>
      <w:lvlJc w:val="left"/>
      <w:pPr>
        <w:ind w:left="720" w:hanging="360"/>
      </w:pPr>
      <w:rPr>
        <w:rFonts w:hint="default" w:ascii="Symbol" w:hAnsi="Symbol" w:cs="Symbol"/>
        <w:sz w:val="20"/>
      </w:rPr>
    </w:lvl>
  </w:abstractNum>
  <w:abstractNum w:abstractNumId="9">
    <w:nsid w:val="D7673A98"/>
    <w:multiLevelType w:val="singleLevel"/>
    <w:tmpl w:val="D7673A98"/>
    <w:lvl w:ilvl="0" w:tentative="0">
      <w:start w:val="1"/>
      <w:numFmt w:val="decimal"/>
      <w:lvlText w:val="%1."/>
      <w:lvlJc w:val="left"/>
      <w:pPr>
        <w:ind w:left="720" w:hanging="360"/>
      </w:pPr>
      <w:rPr>
        <w:sz w:val="24"/>
      </w:rPr>
    </w:lvl>
  </w:abstractNum>
  <w:abstractNum w:abstractNumId="10">
    <w:nsid w:val="D7BF6EC5"/>
    <w:multiLevelType w:val="singleLevel"/>
    <w:tmpl w:val="D7BF6EC5"/>
    <w:lvl w:ilvl="0" w:tentative="0">
      <w:start w:val="1"/>
      <w:numFmt w:val="bullet"/>
      <w:lvlText w:val=""/>
      <w:lvlJc w:val="left"/>
      <w:pPr>
        <w:ind w:left="720" w:hanging="360"/>
      </w:pPr>
      <w:rPr>
        <w:rFonts w:hint="default" w:ascii="Symbol" w:hAnsi="Symbol" w:cs="Symbol"/>
        <w:sz w:val="20"/>
      </w:rPr>
    </w:lvl>
  </w:abstractNum>
  <w:abstractNum w:abstractNumId="11">
    <w:nsid w:val="DA76CC5A"/>
    <w:multiLevelType w:val="singleLevel"/>
    <w:tmpl w:val="DA76CC5A"/>
    <w:lvl w:ilvl="0" w:tentative="0">
      <w:start w:val="1"/>
      <w:numFmt w:val="bullet"/>
      <w:lvlText w:val=""/>
      <w:lvlJc w:val="left"/>
      <w:pPr>
        <w:ind w:left="720" w:hanging="360"/>
      </w:pPr>
      <w:rPr>
        <w:rFonts w:hint="default" w:ascii="Symbol" w:hAnsi="Symbol" w:cs="Symbol"/>
        <w:sz w:val="20"/>
      </w:rPr>
    </w:lvl>
  </w:abstractNum>
  <w:abstractNum w:abstractNumId="12">
    <w:nsid w:val="E37DEBC0"/>
    <w:multiLevelType w:val="singleLevel"/>
    <w:tmpl w:val="E37DEBC0"/>
    <w:lvl w:ilvl="0" w:tentative="0">
      <w:start w:val="1"/>
      <w:numFmt w:val="bullet"/>
      <w:lvlText w:val=""/>
      <w:lvlJc w:val="left"/>
      <w:pPr>
        <w:ind w:left="720" w:hanging="360"/>
      </w:pPr>
      <w:rPr>
        <w:rFonts w:hint="default" w:ascii="Symbol" w:hAnsi="Symbol" w:cs="Symbol"/>
        <w:sz w:val="20"/>
      </w:rPr>
    </w:lvl>
  </w:abstractNum>
  <w:abstractNum w:abstractNumId="13">
    <w:nsid w:val="EFBFAD6A"/>
    <w:multiLevelType w:val="singleLevel"/>
    <w:tmpl w:val="EFBFAD6A"/>
    <w:lvl w:ilvl="0" w:tentative="0">
      <w:start w:val="1"/>
      <w:numFmt w:val="bullet"/>
      <w:lvlText w:val=""/>
      <w:lvlJc w:val="left"/>
      <w:pPr>
        <w:ind w:left="720" w:hanging="360"/>
      </w:pPr>
      <w:rPr>
        <w:rFonts w:hint="default" w:ascii="Symbol" w:hAnsi="Symbol" w:cs="Symbol"/>
        <w:sz w:val="20"/>
      </w:rPr>
    </w:lvl>
  </w:abstractNum>
  <w:abstractNum w:abstractNumId="14">
    <w:nsid w:val="EFD9BA87"/>
    <w:multiLevelType w:val="singleLevel"/>
    <w:tmpl w:val="EFD9BA87"/>
    <w:lvl w:ilvl="0" w:tentative="0">
      <w:start w:val="1"/>
      <w:numFmt w:val="bullet"/>
      <w:lvlText w:val=""/>
      <w:lvlJc w:val="left"/>
      <w:pPr>
        <w:ind w:left="720" w:hanging="360"/>
      </w:pPr>
      <w:rPr>
        <w:rFonts w:hint="default" w:ascii="Symbol" w:hAnsi="Symbol" w:cs="Symbol"/>
        <w:sz w:val="20"/>
      </w:rPr>
    </w:lvl>
  </w:abstractNum>
  <w:abstractNum w:abstractNumId="15">
    <w:nsid w:val="F1FED05B"/>
    <w:multiLevelType w:val="singleLevel"/>
    <w:tmpl w:val="F1FED05B"/>
    <w:lvl w:ilvl="0" w:tentative="0">
      <w:start w:val="1"/>
      <w:numFmt w:val="decimal"/>
      <w:lvlText w:val="%1."/>
      <w:lvlJc w:val="left"/>
      <w:pPr>
        <w:ind w:left="720" w:hanging="360"/>
      </w:pPr>
      <w:rPr>
        <w:sz w:val="24"/>
      </w:rPr>
    </w:lvl>
  </w:abstractNum>
  <w:abstractNum w:abstractNumId="16">
    <w:nsid w:val="F3F50B57"/>
    <w:multiLevelType w:val="singleLevel"/>
    <w:tmpl w:val="F3F50B57"/>
    <w:lvl w:ilvl="0" w:tentative="0">
      <w:start w:val="1"/>
      <w:numFmt w:val="bullet"/>
      <w:lvlText w:val=""/>
      <w:lvlJc w:val="left"/>
      <w:pPr>
        <w:ind w:left="720" w:hanging="360"/>
      </w:pPr>
      <w:rPr>
        <w:rFonts w:hint="default" w:ascii="Symbol" w:hAnsi="Symbol" w:cs="Symbol"/>
        <w:sz w:val="20"/>
      </w:rPr>
    </w:lvl>
  </w:abstractNum>
  <w:abstractNum w:abstractNumId="1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8">
    <w:nsid w:val="FDEBD036"/>
    <w:multiLevelType w:val="singleLevel"/>
    <w:tmpl w:val="FDEBD036"/>
    <w:lvl w:ilvl="0" w:tentative="0">
      <w:start w:val="1"/>
      <w:numFmt w:val="bullet"/>
      <w:lvlText w:val=""/>
      <w:lvlJc w:val="left"/>
      <w:pPr>
        <w:ind w:left="720" w:hanging="360"/>
      </w:pPr>
      <w:rPr>
        <w:rFonts w:hint="default" w:ascii="Symbol" w:hAnsi="Symbol" w:cs="Symbol"/>
        <w:sz w:val="20"/>
      </w:rPr>
    </w:lvl>
  </w:abstractNum>
  <w:abstractNum w:abstractNumId="19">
    <w:nsid w:val="FDEE6C5E"/>
    <w:multiLevelType w:val="singleLevel"/>
    <w:tmpl w:val="FDEE6C5E"/>
    <w:lvl w:ilvl="0" w:tentative="0">
      <w:start w:val="1"/>
      <w:numFmt w:val="bullet"/>
      <w:lvlText w:val=""/>
      <w:lvlJc w:val="left"/>
      <w:pPr>
        <w:ind w:left="720" w:hanging="360"/>
      </w:pPr>
      <w:rPr>
        <w:rFonts w:hint="default" w:ascii="Symbol" w:hAnsi="Symbol" w:cs="Symbol"/>
        <w:sz w:val="20"/>
      </w:rPr>
    </w:lvl>
  </w:abstractNum>
  <w:abstractNum w:abstractNumId="20">
    <w:nsid w:val="FE93D92B"/>
    <w:multiLevelType w:val="singleLevel"/>
    <w:tmpl w:val="FE93D92B"/>
    <w:lvl w:ilvl="0" w:tentative="0">
      <w:start w:val="1"/>
      <w:numFmt w:val="bullet"/>
      <w:lvlText w:val=""/>
      <w:lvlJc w:val="left"/>
      <w:pPr>
        <w:ind w:left="720" w:hanging="360"/>
      </w:pPr>
      <w:rPr>
        <w:rFonts w:hint="default" w:ascii="Symbol" w:hAnsi="Symbol" w:cs="Symbol"/>
        <w:sz w:val="20"/>
      </w:rPr>
    </w:lvl>
  </w:abstractNum>
  <w:abstractNum w:abstractNumId="21">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2">
    <w:nsid w:val="FF634ECA"/>
    <w:multiLevelType w:val="singleLevel"/>
    <w:tmpl w:val="FF634ECA"/>
    <w:lvl w:ilvl="0" w:tentative="0">
      <w:start w:val="1"/>
      <w:numFmt w:val="bullet"/>
      <w:lvlText w:val=""/>
      <w:lvlJc w:val="left"/>
      <w:pPr>
        <w:ind w:left="720" w:hanging="360"/>
      </w:pPr>
      <w:rPr>
        <w:rFonts w:hint="default" w:ascii="Symbol" w:hAnsi="Symbol" w:cs="Symbol"/>
        <w:sz w:val="20"/>
      </w:rPr>
    </w:lvl>
  </w:abstractNum>
  <w:abstractNum w:abstractNumId="23">
    <w:nsid w:val="FF720160"/>
    <w:multiLevelType w:val="singleLevel"/>
    <w:tmpl w:val="FF720160"/>
    <w:lvl w:ilvl="0" w:tentative="0">
      <w:start w:val="1"/>
      <w:numFmt w:val="bullet"/>
      <w:lvlText w:val=""/>
      <w:lvlJc w:val="left"/>
      <w:pPr>
        <w:ind w:left="720" w:hanging="360"/>
      </w:pPr>
      <w:rPr>
        <w:rFonts w:hint="default" w:ascii="Symbol" w:hAnsi="Symbol" w:cs="Symbol"/>
        <w:sz w:val="20"/>
      </w:rPr>
    </w:lvl>
  </w:abstractNum>
  <w:abstractNum w:abstractNumId="24">
    <w:nsid w:val="FF7FF4DB"/>
    <w:multiLevelType w:val="singleLevel"/>
    <w:tmpl w:val="FF7FF4DB"/>
    <w:lvl w:ilvl="0" w:tentative="0">
      <w:start w:val="1"/>
      <w:numFmt w:val="bullet"/>
      <w:lvlText w:val=""/>
      <w:lvlJc w:val="left"/>
      <w:pPr>
        <w:ind w:left="720" w:hanging="360"/>
      </w:pPr>
      <w:rPr>
        <w:rFonts w:hint="default" w:ascii="Symbol" w:hAnsi="Symbol" w:cs="Symbol"/>
        <w:sz w:val="20"/>
      </w:rPr>
    </w:lvl>
  </w:abstractNum>
  <w:abstractNum w:abstractNumId="2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7">
    <w:nsid w:val="FFE1303B"/>
    <w:multiLevelType w:val="singleLevel"/>
    <w:tmpl w:val="FFE1303B"/>
    <w:lvl w:ilvl="0" w:tentative="0">
      <w:start w:val="1"/>
      <w:numFmt w:val="bullet"/>
      <w:lvlText w:val=""/>
      <w:lvlJc w:val="left"/>
      <w:pPr>
        <w:ind w:left="720" w:hanging="360"/>
      </w:pPr>
      <w:rPr>
        <w:rFonts w:hint="default" w:ascii="Symbol" w:hAnsi="Symbol" w:cs="Symbol"/>
        <w:sz w:val="20"/>
      </w:rPr>
    </w:lvl>
  </w:abstractNum>
  <w:abstractNum w:abstractNumId="28">
    <w:nsid w:val="FFFEC6F2"/>
    <w:multiLevelType w:val="singleLevel"/>
    <w:tmpl w:val="FFFEC6F2"/>
    <w:lvl w:ilvl="0" w:tentative="0">
      <w:start w:val="1"/>
      <w:numFmt w:val="bullet"/>
      <w:lvlText w:val=""/>
      <w:lvlJc w:val="left"/>
      <w:pPr>
        <w:ind w:left="720" w:hanging="360"/>
      </w:pPr>
      <w:rPr>
        <w:rFonts w:hint="default" w:ascii="Symbol" w:hAnsi="Symbol" w:cs="Symbol"/>
        <w:sz w:val="20"/>
      </w:rPr>
    </w:lvl>
  </w:abstractNum>
  <w:abstractNum w:abstractNumId="29">
    <w:nsid w:val="FFFF3E2B"/>
    <w:multiLevelType w:val="singleLevel"/>
    <w:tmpl w:val="FFFF3E2B"/>
    <w:lvl w:ilvl="0" w:tentative="0">
      <w:start w:val="1"/>
      <w:numFmt w:val="bullet"/>
      <w:lvlText w:val=""/>
      <w:lvlJc w:val="left"/>
      <w:pPr>
        <w:ind w:left="720" w:hanging="360"/>
      </w:pPr>
      <w:rPr>
        <w:rFonts w:hint="default" w:ascii="Symbol" w:hAnsi="Symbol" w:cs="Symbol"/>
        <w:sz w:val="20"/>
      </w:rPr>
    </w:lvl>
  </w:abstractNum>
  <w:abstractNum w:abstractNumId="30">
    <w:nsid w:val="FFFFB0DC"/>
    <w:multiLevelType w:val="singleLevel"/>
    <w:tmpl w:val="FFFFB0DC"/>
    <w:lvl w:ilvl="0" w:tentative="0">
      <w:start w:val="1"/>
      <w:numFmt w:val="bullet"/>
      <w:lvlText w:val=""/>
      <w:lvlJc w:val="left"/>
      <w:pPr>
        <w:ind w:left="720" w:hanging="360"/>
      </w:pPr>
      <w:rPr>
        <w:rFonts w:hint="default" w:ascii="Symbol" w:hAnsi="Symbol" w:cs="Symbol"/>
        <w:sz w:val="20"/>
      </w:rPr>
    </w:lvl>
  </w:abstractNum>
  <w:abstractNum w:abstractNumId="31">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2">
    <w:nsid w:val="15DC3E44"/>
    <w:multiLevelType w:val="singleLevel"/>
    <w:tmpl w:val="15DC3E44"/>
    <w:lvl w:ilvl="0" w:tentative="0">
      <w:start w:val="1"/>
      <w:numFmt w:val="bullet"/>
      <w:lvlText w:val=""/>
      <w:lvlJc w:val="left"/>
      <w:pPr>
        <w:ind w:left="720" w:hanging="360"/>
      </w:pPr>
      <w:rPr>
        <w:rFonts w:hint="default" w:ascii="Symbol" w:hAnsi="Symbol" w:cs="Symbol"/>
        <w:sz w:val="20"/>
      </w:rPr>
    </w:lvl>
  </w:abstractNum>
  <w:abstractNum w:abstractNumId="33">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4">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5">
    <w:nsid w:val="35A3FD5F"/>
    <w:multiLevelType w:val="singleLevel"/>
    <w:tmpl w:val="35A3FD5F"/>
    <w:lvl w:ilvl="0" w:tentative="0">
      <w:start w:val="1"/>
      <w:numFmt w:val="bullet"/>
      <w:lvlText w:val=""/>
      <w:lvlJc w:val="left"/>
      <w:pPr>
        <w:ind w:left="720" w:hanging="360"/>
      </w:pPr>
      <w:rPr>
        <w:rFonts w:hint="default" w:ascii="Symbol" w:hAnsi="Symbol" w:cs="Symbol"/>
        <w:sz w:val="20"/>
      </w:rPr>
    </w:lvl>
  </w:abstractNum>
  <w:abstractNum w:abstractNumId="36">
    <w:nsid w:val="3DADFE34"/>
    <w:multiLevelType w:val="singleLevel"/>
    <w:tmpl w:val="3DADFE34"/>
    <w:lvl w:ilvl="0" w:tentative="0">
      <w:start w:val="1"/>
      <w:numFmt w:val="bullet"/>
      <w:lvlText w:val=""/>
      <w:lvlJc w:val="left"/>
      <w:pPr>
        <w:ind w:left="720" w:hanging="360"/>
      </w:pPr>
      <w:rPr>
        <w:rFonts w:hint="default" w:ascii="Symbol" w:hAnsi="Symbol" w:cs="Symbol"/>
        <w:sz w:val="20"/>
      </w:rPr>
    </w:lvl>
  </w:abstractNum>
  <w:abstractNum w:abstractNumId="37">
    <w:nsid w:val="5DFD1FBB"/>
    <w:multiLevelType w:val="singleLevel"/>
    <w:tmpl w:val="5DFD1FBB"/>
    <w:lvl w:ilvl="0" w:tentative="0">
      <w:start w:val="1"/>
      <w:numFmt w:val="bullet"/>
      <w:lvlText w:val=""/>
      <w:lvlJc w:val="left"/>
      <w:pPr>
        <w:ind w:left="720" w:hanging="360"/>
      </w:pPr>
      <w:rPr>
        <w:rFonts w:hint="default" w:ascii="Symbol" w:hAnsi="Symbol" w:cs="Symbol"/>
        <w:sz w:val="20"/>
      </w:rPr>
    </w:lvl>
  </w:abstractNum>
  <w:abstractNum w:abstractNumId="38">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9">
    <w:nsid w:val="6FFFC4C7"/>
    <w:multiLevelType w:val="singleLevel"/>
    <w:tmpl w:val="6FFFC4C7"/>
    <w:lvl w:ilvl="0" w:tentative="0">
      <w:start w:val="1"/>
      <w:numFmt w:val="decimal"/>
      <w:lvlText w:val="%1."/>
      <w:lvlJc w:val="left"/>
      <w:pPr>
        <w:ind w:left="720" w:hanging="360"/>
      </w:pPr>
      <w:rPr>
        <w:sz w:val="24"/>
      </w:rPr>
    </w:lvl>
  </w:abstractNum>
  <w:abstractNum w:abstractNumId="40">
    <w:nsid w:val="76C7DA55"/>
    <w:multiLevelType w:val="singleLevel"/>
    <w:tmpl w:val="76C7DA55"/>
    <w:lvl w:ilvl="0" w:tentative="0">
      <w:start w:val="1"/>
      <w:numFmt w:val="bullet"/>
      <w:lvlText w:val=""/>
      <w:lvlJc w:val="left"/>
      <w:pPr>
        <w:ind w:left="720" w:hanging="360"/>
      </w:pPr>
      <w:rPr>
        <w:rFonts w:hint="default" w:ascii="Symbol" w:hAnsi="Symbol" w:cs="Symbol"/>
        <w:sz w:val="20"/>
      </w:rPr>
    </w:lvl>
  </w:abstractNum>
  <w:abstractNum w:abstractNumId="41">
    <w:nsid w:val="77EBE6AA"/>
    <w:multiLevelType w:val="singleLevel"/>
    <w:tmpl w:val="77EBE6AA"/>
    <w:lvl w:ilvl="0" w:tentative="0">
      <w:start w:val="1"/>
      <w:numFmt w:val="bullet"/>
      <w:lvlText w:val=""/>
      <w:lvlJc w:val="left"/>
      <w:pPr>
        <w:ind w:left="720" w:hanging="360"/>
      </w:pPr>
      <w:rPr>
        <w:rFonts w:hint="default" w:ascii="Symbol" w:hAnsi="Symbol" w:cs="Symbol"/>
        <w:sz w:val="20"/>
      </w:rPr>
    </w:lvl>
  </w:abstractNum>
  <w:abstractNum w:abstractNumId="42">
    <w:nsid w:val="7ABF241C"/>
    <w:multiLevelType w:val="singleLevel"/>
    <w:tmpl w:val="7ABF241C"/>
    <w:lvl w:ilvl="0" w:tentative="0">
      <w:start w:val="1"/>
      <w:numFmt w:val="bullet"/>
      <w:lvlText w:val=""/>
      <w:lvlJc w:val="left"/>
      <w:pPr>
        <w:ind w:left="720" w:hanging="360"/>
      </w:pPr>
      <w:rPr>
        <w:rFonts w:hint="default" w:ascii="Symbol" w:hAnsi="Symbol" w:cs="Symbol"/>
        <w:sz w:val="20"/>
      </w:rPr>
    </w:lvl>
  </w:abstractNum>
  <w:abstractNum w:abstractNumId="43">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4">
    <w:nsid w:val="7EFFD7C5"/>
    <w:multiLevelType w:val="singleLevel"/>
    <w:tmpl w:val="7EFFD7C5"/>
    <w:lvl w:ilvl="0" w:tentative="0">
      <w:start w:val="1"/>
      <w:numFmt w:val="bullet"/>
      <w:lvlText w:val=""/>
      <w:lvlJc w:val="left"/>
      <w:pPr>
        <w:ind w:left="720" w:hanging="360"/>
      </w:pPr>
      <w:rPr>
        <w:rFonts w:hint="default" w:ascii="Symbol" w:hAnsi="Symbol" w:cs="Symbol"/>
        <w:sz w:val="20"/>
      </w:rPr>
    </w:lvl>
  </w:abstractNum>
  <w:num w:numId="1">
    <w:abstractNumId w:val="34"/>
  </w:num>
  <w:num w:numId="2">
    <w:abstractNumId w:val="43"/>
  </w:num>
  <w:num w:numId="3">
    <w:abstractNumId w:val="5"/>
  </w:num>
  <w:num w:numId="4">
    <w:abstractNumId w:val="31"/>
  </w:num>
  <w:num w:numId="5">
    <w:abstractNumId w:val="21"/>
  </w:num>
  <w:num w:numId="6">
    <w:abstractNumId w:val="38"/>
  </w:num>
  <w:num w:numId="7">
    <w:abstractNumId w:val="17"/>
  </w:num>
  <w:num w:numId="8">
    <w:abstractNumId w:val="33"/>
  </w:num>
  <w:num w:numId="9">
    <w:abstractNumId w:val="25"/>
  </w:num>
  <w:num w:numId="10">
    <w:abstractNumId w:val="26"/>
  </w:num>
  <w:num w:numId="11">
    <w:abstractNumId w:val="6"/>
  </w:num>
  <w:num w:numId="12">
    <w:abstractNumId w:val="2"/>
  </w:num>
  <w:num w:numId="13">
    <w:abstractNumId w:val="13"/>
  </w:num>
  <w:num w:numId="14">
    <w:abstractNumId w:val="28"/>
  </w:num>
  <w:num w:numId="15">
    <w:abstractNumId w:val="12"/>
  </w:num>
  <w:num w:numId="16">
    <w:abstractNumId w:val="24"/>
  </w:num>
  <w:num w:numId="17">
    <w:abstractNumId w:val="27"/>
  </w:num>
  <w:num w:numId="18">
    <w:abstractNumId w:val="9"/>
  </w:num>
  <w:num w:numId="19">
    <w:abstractNumId w:val="8"/>
  </w:num>
  <w:num w:numId="20">
    <w:abstractNumId w:val="40"/>
  </w:num>
  <w:num w:numId="21">
    <w:abstractNumId w:val="39"/>
  </w:num>
  <w:num w:numId="22">
    <w:abstractNumId w:val="15"/>
  </w:num>
  <w:num w:numId="23">
    <w:abstractNumId w:val="3"/>
  </w:num>
  <w:num w:numId="24">
    <w:abstractNumId w:val="20"/>
  </w:num>
  <w:num w:numId="25">
    <w:abstractNumId w:val="41"/>
  </w:num>
  <w:num w:numId="26">
    <w:abstractNumId w:val="44"/>
  </w:num>
  <w:num w:numId="27">
    <w:abstractNumId w:val="18"/>
  </w:num>
  <w:num w:numId="28">
    <w:abstractNumId w:val="16"/>
  </w:num>
  <w:num w:numId="29">
    <w:abstractNumId w:val="11"/>
  </w:num>
  <w:num w:numId="30">
    <w:abstractNumId w:val="30"/>
  </w:num>
  <w:num w:numId="31">
    <w:abstractNumId w:val="37"/>
  </w:num>
  <w:num w:numId="32">
    <w:abstractNumId w:val="10"/>
  </w:num>
  <w:num w:numId="33">
    <w:abstractNumId w:val="35"/>
  </w:num>
  <w:num w:numId="34">
    <w:abstractNumId w:val="42"/>
  </w:num>
  <w:num w:numId="35">
    <w:abstractNumId w:val="32"/>
  </w:num>
  <w:num w:numId="36">
    <w:abstractNumId w:val="0"/>
  </w:num>
  <w:num w:numId="37">
    <w:abstractNumId w:val="14"/>
  </w:num>
  <w:num w:numId="38">
    <w:abstractNumId w:val="23"/>
  </w:num>
  <w:num w:numId="39">
    <w:abstractNumId w:val="22"/>
  </w:num>
  <w:num w:numId="40">
    <w:abstractNumId w:val="4"/>
  </w:num>
  <w:num w:numId="41">
    <w:abstractNumId w:val="36"/>
  </w:num>
  <w:num w:numId="42">
    <w:abstractNumId w:val="19"/>
  </w:num>
  <w:num w:numId="43">
    <w:abstractNumId w:val="29"/>
  </w:num>
  <w:num w:numId="44">
    <w:abstractNumId w:val="1"/>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D37743"/>
    <w:rsid w:val="7FF6C12C"/>
    <w:rsid w:val="BCB98261"/>
    <w:rsid w:val="CF7DF764"/>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2025-10-07T00:28:01Z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8D1424D8413D9A4911EEE3687D52EFEC_43</vt:lpwstr>
  </property>
  <property fmtid="{D5CDD505-2E9C-101B-9397-08002B2CF9AE}" pid="4" name="KSOTemplateDocerSaveRecord">
    <vt:lpwstr>eyJoZGlkIjoiNzI4YmNmYThhZjA0NTVhODllNDhjMGZiNmFkMDJjN2YiLCJ1c2VySWQiOiIxNjA5OTI0MDI0In0=</vt:lpwstr>
  </property>
</Properties>
</file>