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25C3A">
      <w:pPr>
        <w:pStyle w:val="2"/>
      </w:pPr>
    </w:p>
    <w:p w14:paraId="4030CFD4">
      <w:pPr>
        <w:pStyle w:val="2"/>
      </w:pPr>
      <w:r>
        <w:t>干变装配车间RGV设备技术分析报告</w:t>
      </w:r>
    </w:p>
    <w:p w14:paraId="65533CAE">
      <w:pPr>
        <w:pStyle w:val="3"/>
      </w:pPr>
      <w:r>
        <w:t>一、 RGV设备概述</w:t>
      </w:r>
    </w:p>
    <w:p w14:paraId="3BEF6652">
      <w:pPr>
        <w:pStyle w:val="4"/>
      </w:pPr>
      <w:r>
        <w:t>1.1 RGV设备的定义与分类</w:t>
      </w:r>
    </w:p>
    <w:p w14:paraId="2B6359E0">
      <w:r>
        <w:t>RGV（有轨制导车辆），又称有轨穿梭小车，是一种沿固定轨道运行的自动化物料搬运设备，其核心特征为通过轨道约束实现定向运动，具备承重能力强、定位精度高、运行稳定等优势。从结构组成看，RGV主要由车架、驱动装置、定位机构、电气系统、通信模块及安全防护装置构成，各部件协同实现物料的精准转运与工位对接。</w:t>
      </w:r>
    </w:p>
    <w:p w14:paraId="26F11083">
      <w:r>
        <w:t>根据功能划分，RGV可分为装配型与运输型两大类。装配型RGV系统侧重于生产线上的零部件装配辅助，能够按照预设程序将指定部件精准输送至装配工位，例如在变压器铁芯叠装工序中，可将裁剪后的硅钢片转运至叠装平台，并通过定位机构实现毫米级对接；运输型RGV系统则以大批量物料转运为核心，适用于仓库与生产线之间、不同装配区域之间的物料周转，如将绕制完成的绕组从存放区转运至器身装配工位，其设计重点在于提升单次转运量与运行效率。</w:t>
      </w:r>
    </w:p>
    <w:p w14:paraId="05A6CA04">
      <w:r>
        <w:t>按运动方式划分，RGV可分为环形轨道式与直线往复式。环形轨道式RGV通过闭合轨道布局实现多车协同运行，各小车独立执行任务且互不干扰，系统整体效率较高，适合干变装配车间多工位并行生产场景；直线往复式RGV通常为单小车设计，沿直线轨道做往复运动，结构简单、成本较低，但运行效率受限于单一线程，适用于点对点固定路径的物料转运，如从固化炉到装配线的半成品转运。</w:t>
      </w:r>
    </w:p>
    <w:p w14:paraId="6C491377">
      <w:r>
        <w:t>此外，根据供电方式可分为滑触线供电型与蓄电池供电型，滑触线供电型通过轨道旁的铜条导轨持续取电，适合长距离、连续运行场景；蓄电池供电型则摆脱了供电线缆约束，灵活性更高，但需定期充电或更换电池，在干变车间重载、高频次运行需求下，滑触线供电型更为常用。</w:t>
      </w:r>
    </w:p>
    <w:p w14:paraId="0835C7D8">
      <w:pPr>
        <w:pStyle w:val="4"/>
      </w:pPr>
      <w:r>
        <w:t>1.2 干变装配车间RGV的应用场景</w:t>
      </w:r>
    </w:p>
    <w:p w14:paraId="1BA980D5">
      <w:r>
        <w:t>在干变装配车间，RGV的应用贯穿于生产全流程，核心场景集中于物料转运与工位对接两大环节，其功能实现与干变产品（干式变压器）的生产特性深度适配。</w:t>
      </w:r>
    </w:p>
    <w:p w14:paraId="2BC74B3E">
      <w:r>
        <w:rPr>
          <w:b/>
        </w:rPr>
        <w:t>重型部件转运场景</w:t>
      </w:r>
      <w:r>
        <w:t>中，RGV承担变压器铁芯、绕组、器身等关键部件的搬运任务。干变铁芯通常由多片硅钢片叠装而成，单体重达数吨，传统人工或叉车搬运易导致铁芯变形、叠片错位，影响产品性能；而RGV通过高强度车架（承重范围5-10吨）与稳定的轨道支撑，可实现铁芯从叠装工位到起立翻转工位的平稳转运，且定位精度达±2mm，确保铁芯与翻转机构的精准对接。对于绕组转运，RGV可通过定制化载具（如弧形托板）固定绕组，避免运输过程中的晃动导致绝缘层磨损，尤其适用于环氧树脂浇注绕组等易损部件。</w:t>
      </w:r>
    </w:p>
    <w:p w14:paraId="7B743372">
      <w:r>
        <w:rPr>
          <w:b/>
        </w:rPr>
        <w:t>工位对接场景</w:t>
      </w:r>
      <w:r>
        <w:t>中，RGV实现装配工序的自动化衔接。例如在器身装配阶段，RGV可按照生产节拍依次将铁芯、绕组、夹件等部件转运至装配工位，通过与工位设备的信号交互（如光电传感器确认部件到位），触发后续装配动作（如夹紧、焊接）。相较于传统人工转运，RGV可将工位等待时间缩短30%以上，且通过预设程序严格控制转运节奏，避免工序衔接混乱。在成品转运环节，RGV可将装配完成的干变器身转运至检测工位，通过与检测设备的定位协同（如条码定位与检测平台基准对齐），确保检测数据的准确性。</w:t>
      </w:r>
    </w:p>
    <w:p w14:paraId="07B4F8F7">
      <w:r>
        <w:rPr>
          <w:b/>
        </w:rPr>
        <w:t>特殊工艺适配场景</w:t>
      </w:r>
      <w:r>
        <w:t>中，RGV可满足干变生产的特殊环境需求。例如在绝缘处理工序后，RGV需转运高温（60-80℃）的器身至冷却工位，此时其驱动电机与电气系统需具备耐高温设计（如电机绕组采用F级绝缘）；在粉尘较多的铁芯加工区域，RGV的轨道系统需配备防尘盖板，避免金属碎屑进入驱动轮与轨道间隙导致卡滞。此外，针对干变产品定制化程度高、规格多变的特点，RGV可通过上位机快速切换任务参数（如运行速度、停靠位置），适应不同型号产品的转运需求，提升产线柔性。</w:t>
      </w:r>
    </w:p>
    <w:p w14:paraId="29E2D77D">
      <w:r>
        <w:t>与传统搬运方式相比，RGV在干变车间的应用优势显著：一是</w:t>
      </w:r>
      <w:r>
        <w:rPr>
          <w:b/>
        </w:rPr>
        <w:t>降低人工强度</w:t>
      </w:r>
      <w:r>
        <w:t>，替代人工搬运重型部件，减少工伤风险；二是</w:t>
      </w:r>
      <w:r>
        <w:rPr>
          <w:b/>
        </w:rPr>
        <w:t>提升转运精度</w:t>
      </w:r>
      <w:r>
        <w:t>，通过闭环定位控制确保部件与工位设备的精准对接，降低装配误差；三是</w:t>
      </w:r>
      <w:r>
        <w:rPr>
          <w:b/>
        </w:rPr>
        <w:t>保障生产连续性</w:t>
      </w:r>
      <w:r>
        <w:t>，通过多车协同与自动调度，避免因物料短缺导致的产线停工。某干变生产企业案例显示，引入RGV后，器身装配环节的生产效率提升40%，部件转运损耗率从5%降至0.5%，验证了其在干变车间的实际应用价值。</w:t>
      </w:r>
    </w:p>
    <w:p w14:paraId="4215B685">
      <w:pPr>
        <w:pStyle w:val="3"/>
      </w:pPr>
      <w:r>
        <w:t>二、 RGV设备结构组成与功能特点</w:t>
      </w:r>
    </w:p>
    <w:p w14:paraId="7AD225B8">
      <w:pPr>
        <w:pStyle w:val="4"/>
      </w:pPr>
      <w:r>
        <w:t>2.1 核心结构组成</w:t>
      </w:r>
    </w:p>
    <w:p w14:paraId="13A66893">
      <w:pPr>
        <w:pStyle w:val="5"/>
      </w:pPr>
      <w:r>
        <w:t>2.1.1 车架与承载系统</w:t>
      </w:r>
    </w:p>
    <w:p w14:paraId="0719502B">
      <w:r>
        <w:t>车架是RGV的基础承载部件，其设计需满足干变车间重载、抗变形的需求。材质上通常采用Q345B高强度钢材，通过焊接工艺（如CO₂气体保护焊）形成箱型或桁架结构，确保整体刚性。以5吨级RGV为例，车架主梁截面尺寸为200mm×150mm×8mm（高×宽×板厚），经有限元分析验证，在满载工况下最大挠度≤1.5mm/m，满足部件平稳转运要求。为实现轻量化与强度平衡，部分关键部位（如承重横梁）采用铝合金型材（6061-T6），在降低自重15%的同时，确保承载能力不低于钢制结构。</w:t>
      </w:r>
    </w:p>
    <w:p w14:paraId="532C1AA9">
      <w:r>
        <w:t>车架与承载平台的连接采用模块化设计，通过T型槽或螺栓组固定，可根据物料形态更换载具，如针对变压器绕组的弧形托板、针对铁芯的磁吸固定装置等。底部安装减震垫（聚氨酯材质，硬度60 Shore A），可吸收运行过程中的振动，避免精密部件（如传感器、接线端子）因长期震动受损。车架两端设置牵引环与吊装孔，便于设备安装与维护时的移动。</w:t>
      </w:r>
    </w:p>
    <w:p w14:paraId="18FEEE78">
      <w:pPr>
        <w:pStyle w:val="5"/>
      </w:pPr>
      <w:r>
        <w:t>2.1.2 驱动与传动装置</w:t>
      </w:r>
    </w:p>
    <w:p w14:paraId="04A8E23E">
      <w:r>
        <w:t>驱动装置是RGV的动力核心，由伺服电机、减速器、传动机构及驱动轮组成，其设计需匹配干变车间重载、低速平稳的运行需求。伺服电机选用永磁同步电机（如西门子1FL6系列），具备高扭矩密度与精准转速控制特性，额定功率根据负载确定（5吨级RGV通常配置2.2kW电机），通过编码器（分辨率1024线）实现转速与位置的实时反馈，形成闭环控制。</w:t>
      </w:r>
    </w:p>
    <w:p w14:paraId="1DF3ACF5">
      <w:r>
        <w:t>减速器采用行星齿轮减速器（传动比10:1-30:1），将电机输出转速降低的同时放大扭矩，确保驱动轮具备足够驱动力（单轮驱动力≥500N）。传动机构根据负载特性选择：重载场景（≥5吨）采用齿轮齿条传动，主动齿轮（模数3-5）与轨道侧面的齿条啮合，传动效率达95%以上，且无打滑风险；轻载场景（&lt;5吨）可采用铰链传动，通过万向节连接电机输出轴与驱动轮，降低对轨道安装精度的要求。</w:t>
      </w:r>
    </w:p>
    <w:p w14:paraId="0D098EA8">
      <w:r>
        <w:t>驱动轮采用“金属轮芯+聚氨酯包覆”结构，轮芯为45号钢锻造，外包层厚度15-20mm（邵氏硬度85A），兼具耐磨性与减震性。轮组配置为双轮驱动+从动轮辅助支撑，驱动轮直径200-300mm，轮距根据车架宽度设计（通常为1.2-1.5倍轮径），确保转弯时的稳定性。部分设计中集成电磁制动器，当设备断电或紧急停止时，制动器在弹簧力作用下锁死驱动轮，制动扭矩≥200N·m，防止溜车。</w:t>
      </w:r>
    </w:p>
    <w:p w14:paraId="198CE836">
      <w:pPr>
        <w:pStyle w:val="5"/>
      </w:pPr>
      <w:r>
        <w:t>2.1.3 定位与转向机构</w:t>
      </w:r>
    </w:p>
    <w:p w14:paraId="231ECDBA">
      <w:r>
        <w:t>定位机构是RGV实现精准停靠的核心，通过“条码带定位+编码器反馈+辅助传感器”三重技术确保定位精度。条码带定位系统由条码带（PET材质，宽度50mm，包含位置编码与校验码）与读码器（如 Sick CLV650）组成，条码带沿轨道敷设，读码器安装于车架底部，扫描频率≥500Hz，可实时获取位置信息；编码器（安装于驱动轮轴端）通过记录轮径与转动圈数计算运行距离，与条码带定位形成冗余校验，当两者偏差超过±1mm时触发报警。</w:t>
      </w:r>
    </w:p>
    <w:p w14:paraId="0FB29B1B">
      <w:r>
        <w:t>对于需要高度对接的场景（如铁芯与翻转机对接），RGV配备液压顶升机构，由液压缸（行程50-100mm）、位移传感器（精度±0.1mm）、液压泵及控制阀组成。当RGV停靠至目标工位后，顶升机构启动，通过位移传感器反馈调整升降高度，使物料与工位设备基准面误差≤0.5mm。</w:t>
      </w:r>
    </w:p>
    <w:p w14:paraId="508B5630">
      <w:r>
        <w:t>转向机构设计与轨道类型匹配：直线轨道RGV采用固定轮组，通过两侧驱动轮差速实现转向（转弯半径≥1.5倍车长）；环形轨道RGV则配置万向从动轮（如igus PRT系列），左前轮与右后轮为万向轮，可自适应轨道方向，右前轮与左后轮为驱动轮，通过回转电机（功率0.55kW）调整转向角度，实现沿环形轨道的平稳转弯，最小转弯半径可达1.2m，满足车间紧凑布局需求。</w:t>
      </w:r>
    </w:p>
    <w:p w14:paraId="3B284D2C">
      <w:pPr>
        <w:pStyle w:val="5"/>
      </w:pPr>
      <w:r>
        <w:t>2.1.4 供电与安全防护装置</w:t>
      </w:r>
    </w:p>
    <w:p w14:paraId="0B1D711A">
      <w:r>
        <w:t>供电装置以滑触线系统为主，确保RGV在轨道全程持续取电。滑触线由铜条导轨（材质T2紫铜，导电截面积25-50mm²）、绝缘支架（MC尼龙材质，耐温-40℃-120℃）及集电器（碳刷材质，含银5%）组成，采用3相五线制供电（AC 380V/220V），满足驱动电机与控制系统的用电需求。根据车间环境选型：多尘环境选用多极管式滑触线（防护等级IP54），避免粉尘进入导轨；高温环境选用钢体滑触线（耐温≥200℃），确保导电性能稳定。集电器通过弹簧压力（15-20N）与导轨接触，碳刷磨损量≤5mm时需更换，通常每6个月检查一次。</w:t>
      </w:r>
    </w:p>
    <w:p w14:paraId="6AA3D6D8">
      <w:r>
        <w:t>安全防护装置包括机械防护与电气防护。机械防护方面，车架前后端安装弹性保险杠（聚氨酯材质，厚度50mm），当碰撞力超过500N时触发内置的行程开关，切断驱动电源；轨道两端设置极限挡板，防止RGV超程运行。电气防护方面，系统配置过载保护（断路器整定值为电机额定电流的1.2倍）、短路保护（熔断器额定电流32A）及漏电保护（动作电流≤30mA，动作时间≤0.1s）；操作区域设置安全光幕（检测高度1.2m，响应时间≤10ms），当有人或物体进入运行区域时，RGV立即减速至停止。</w:t>
      </w:r>
    </w:p>
    <w:p w14:paraId="22877DB9">
      <w:pPr>
        <w:pStyle w:val="4"/>
      </w:pPr>
      <w:r>
        <w:t>2.2 主要功能特点</w:t>
      </w:r>
    </w:p>
    <w:p w14:paraId="1B2A6C1F">
      <w:pPr>
        <w:pStyle w:val="5"/>
      </w:pPr>
      <w:r>
        <w:t>2.2.1 技术参数指标</w:t>
      </w:r>
    </w:p>
    <w:p w14:paraId="48A296A1">
      <w:r>
        <w:t>RGV的技术参数需与干变装配车间的生产需求精准匹配，核心指标如下表所示：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1C0E9C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7694562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7A3AE118">
            <w:pPr>
              <w:jc w:val="center"/>
              <w:rPr>
                <w:b/>
              </w:rPr>
            </w:pPr>
            <w:r>
              <w:rPr>
                <w:b/>
              </w:rPr>
              <w:t>典型值范围</w:t>
            </w:r>
          </w:p>
        </w:tc>
        <w:tc>
          <w:tcPr>
            <w:tcW w:w="0" w:type="auto"/>
            <w:vAlign w:val="center"/>
          </w:tcPr>
          <w:p w14:paraId="5606395D">
            <w:pPr>
              <w:jc w:val="center"/>
              <w:rPr>
                <w:b/>
              </w:rPr>
            </w:pPr>
            <w:r>
              <w:rPr>
                <w:b/>
              </w:rPr>
              <w:t>干变车间适配要求</w:t>
            </w:r>
          </w:p>
        </w:tc>
      </w:tr>
      <w:tr w14:paraId="08B037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CDBD894">
            <w:r>
              <w:t>承重能力</w:t>
            </w:r>
          </w:p>
        </w:tc>
        <w:tc>
          <w:tcPr>
            <w:tcW w:w="0" w:type="auto"/>
            <w:vAlign w:val="center"/>
          </w:tcPr>
          <w:p w14:paraId="5E4A1E9B">
            <w:r>
              <w:t>50kg-20吨</w:t>
            </w:r>
          </w:p>
        </w:tc>
        <w:tc>
          <w:tcPr>
            <w:tcW w:w="0" w:type="auto"/>
            <w:vAlign w:val="center"/>
          </w:tcPr>
          <w:p w14:paraId="6566A72E">
            <w:r>
              <w:t>≥5吨（适应铁芯、器身转运）</w:t>
            </w:r>
          </w:p>
        </w:tc>
      </w:tr>
      <w:tr w14:paraId="022455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5BA5605">
            <w:r>
              <w:t>运行速度</w:t>
            </w:r>
          </w:p>
        </w:tc>
        <w:tc>
          <w:tcPr>
            <w:tcW w:w="0" w:type="auto"/>
            <w:vAlign w:val="center"/>
          </w:tcPr>
          <w:p w14:paraId="49394B78">
            <w:r>
              <w:t>0.5-2m/s</w:t>
            </w:r>
          </w:p>
        </w:tc>
        <w:tc>
          <w:tcPr>
            <w:tcW w:w="0" w:type="auto"/>
            <w:vAlign w:val="center"/>
          </w:tcPr>
          <w:p w14:paraId="461A9842">
            <w:r>
              <w:t>0.8-1.2m/s（兼顾效率与平稳性）</w:t>
            </w:r>
          </w:p>
        </w:tc>
      </w:tr>
      <w:tr w14:paraId="00B22FF6">
        <w:tc>
          <w:tcPr>
            <w:tcW w:w="0" w:type="auto"/>
            <w:vAlign w:val="center"/>
          </w:tcPr>
          <w:p w14:paraId="7241E036">
            <w:r>
              <w:t>定位精度</w:t>
            </w:r>
          </w:p>
        </w:tc>
        <w:tc>
          <w:tcPr>
            <w:tcW w:w="0" w:type="auto"/>
            <w:vAlign w:val="center"/>
          </w:tcPr>
          <w:p w14:paraId="06A1BF62">
            <w:r>
              <w:t>±1-±5mm</w:t>
            </w:r>
          </w:p>
        </w:tc>
        <w:tc>
          <w:tcPr>
            <w:tcW w:w="0" w:type="auto"/>
            <w:vAlign w:val="center"/>
          </w:tcPr>
          <w:p w14:paraId="5D1FE9F9">
            <w:r>
              <w:t>±2mm（满足铁芯叠装对接）</w:t>
            </w:r>
          </w:p>
        </w:tc>
      </w:tr>
      <w:tr w14:paraId="27910D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B896DAC">
            <w:r>
              <w:t>制动距离</w:t>
            </w:r>
          </w:p>
        </w:tc>
        <w:tc>
          <w:tcPr>
            <w:tcW w:w="0" w:type="auto"/>
            <w:vAlign w:val="center"/>
          </w:tcPr>
          <w:p w14:paraId="499B43E5">
            <w:r>
              <w:t>≤0.3m（速度1m/s时）</w:t>
            </w:r>
          </w:p>
        </w:tc>
        <w:tc>
          <w:tcPr>
            <w:tcW w:w="0" w:type="auto"/>
            <w:vAlign w:val="center"/>
          </w:tcPr>
          <w:p w14:paraId="243191F1">
            <w:r>
              <w:t>≤0.2m（确保紧急停车安全）</w:t>
            </w:r>
          </w:p>
        </w:tc>
      </w:tr>
      <w:tr w14:paraId="050EB1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A32716F">
            <w:r>
              <w:t>供电方式</w:t>
            </w:r>
          </w:p>
        </w:tc>
        <w:tc>
          <w:tcPr>
            <w:tcW w:w="0" w:type="auto"/>
            <w:vAlign w:val="center"/>
          </w:tcPr>
          <w:p w14:paraId="3E34B8B0">
            <w:r>
              <w:t>滑触线/蓄电池</w:t>
            </w:r>
          </w:p>
        </w:tc>
        <w:tc>
          <w:tcPr>
            <w:tcW w:w="0" w:type="auto"/>
            <w:vAlign w:val="center"/>
          </w:tcPr>
          <w:p w14:paraId="3596B202">
            <w:r>
              <w:t>滑触线（连续运行需求）</w:t>
            </w:r>
          </w:p>
        </w:tc>
      </w:tr>
      <w:tr w14:paraId="363049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419F94D">
            <w:r>
              <w:t>防护等级</w:t>
            </w:r>
          </w:p>
        </w:tc>
        <w:tc>
          <w:tcPr>
            <w:tcW w:w="0" w:type="auto"/>
            <w:vAlign w:val="center"/>
          </w:tcPr>
          <w:p w14:paraId="525324D3">
            <w:r>
              <w:t>IP54-IP65</w:t>
            </w:r>
          </w:p>
        </w:tc>
        <w:tc>
          <w:tcPr>
            <w:tcW w:w="0" w:type="auto"/>
            <w:vAlign w:val="center"/>
          </w:tcPr>
          <w:p w14:paraId="7E25446E">
            <w:r>
              <w:t>IP54（防尘、防溅水）</w:t>
            </w:r>
          </w:p>
        </w:tc>
      </w:tr>
      <w:tr w14:paraId="413DBA2F">
        <w:tc>
          <w:tcPr>
            <w:tcW w:w="0" w:type="auto"/>
            <w:vAlign w:val="center"/>
          </w:tcPr>
          <w:p w14:paraId="02F837CC">
            <w:r>
              <w:t>连续运行时间</w:t>
            </w:r>
          </w:p>
        </w:tc>
        <w:tc>
          <w:tcPr>
            <w:tcW w:w="0" w:type="auto"/>
            <w:vAlign w:val="center"/>
          </w:tcPr>
          <w:p w14:paraId="55B76178">
            <w:r>
              <w:t>24小时（滑触线供电）</w:t>
            </w:r>
          </w:p>
        </w:tc>
        <w:tc>
          <w:tcPr>
            <w:tcW w:w="0" w:type="auto"/>
            <w:vAlign w:val="center"/>
          </w:tcPr>
          <w:p w14:paraId="1B3837CB">
            <w:r>
              <w:t>≥8小时（单班生产需求）</w:t>
            </w:r>
          </w:p>
        </w:tc>
      </w:tr>
    </w:tbl>
    <w:p w14:paraId="61CA1E53">
      <w:r>
        <w:t>其中，定位精度与承重能力是干变车间的核心关注指标。通过条码带与编码器的融合定位，RGV可实现±2mm的停靠精度，确保铁芯在叠装工位的精准放置；5吨以上的承重能力则满足变压器器身（含铁芯、绕组、夹件）的整体转运需求，避免部件拆分导致的装配误差。</w:t>
      </w:r>
    </w:p>
    <w:p w14:paraId="4AD9C552">
      <w:pPr>
        <w:pStyle w:val="5"/>
      </w:pPr>
      <w:r>
        <w:t>2.2.2 自动化与协同能力</w:t>
      </w:r>
    </w:p>
    <w:p w14:paraId="617996F1">
      <w:r>
        <w:t>RGV的自动化能力体现在任务执行、状态监测与异常处理的全流程无人化。通过与上位机（如西门子SIMATIC HMI）或WMS（仓库管理系统）通讯，RGV可接收生产工单信息，自动规划运行路径（如从“绕组存放区”→“器身装配工位”→“检测区”），并实时反馈任务进度（如“已完成3/5个转运任务”）。任务调度逻辑采用优先级机制，紧急任务（如急件生产）可中断当前任务并优先执行，中断点位置记忆功能确保后续任务可无缝接续。</w:t>
      </w:r>
    </w:p>
    <w:p w14:paraId="05BFC4C6">
      <w:r>
        <w:t>多车协同能力适用于环形轨道系统，通过“位置共享+动态避让”机制实现多车并行运行。每台RGV通过以太网（Profinet协议）将实时位置（精度±0.5mm）上传至调度系统，系统根据预设安全距离（≥1.5倍车长）动态分配路径。例如，当RGV1运行至“工位A”时，RGV2需在“工位A前5m”处等待，直至RGV1离开后继续运行；若发生路径冲突，系统自动调整运行顺序，确保整体效率最优。</w:t>
      </w:r>
    </w:p>
    <w:p w14:paraId="70907784">
      <w:r>
        <w:t>在干变装配流水线中，RGV可与其他自动化设备深度集成。例如，与机器人工作站对接时，RGV通过I/O信号告知机器人“物料已到位”，机器人完成抓取后反馈“物料已取走”，触发RGV执行下一任务；与MES系统联动时，RGV的运行数据（如转运次数、故障率）可实时上传至生产管理平台，为产能分析与设备优化提供数据支撑。这种自动化协同能力，使干变装配车间的生产节拍稳定性提升25%以上。</w:t>
      </w:r>
    </w:p>
    <w:p w14:paraId="0A567EF2">
      <w:pPr>
        <w:pStyle w:val="3"/>
      </w:pPr>
      <w:r>
        <w:t>三、 RGV设备机械原理与控制原理</w:t>
      </w:r>
    </w:p>
    <w:p w14:paraId="790455FC">
      <w:pPr>
        <w:pStyle w:val="4"/>
      </w:pPr>
      <w:r>
        <w:t>3.1 机械工作原理</w:t>
      </w:r>
    </w:p>
    <w:p w14:paraId="635CFE62">
      <w:pPr>
        <w:pStyle w:val="5"/>
      </w:pPr>
      <w:r>
        <w:t>3.1.1 驱动与传动系统原理</w:t>
      </w:r>
    </w:p>
    <w:p w14:paraId="0185CC9B">
      <w:r>
        <w:t>RGV的驱动与传动系统通过“电机-减速器-传动机构-驱动轮”的动力传递路径，实现重载条件下的精准运动控制。其核心在于伺服电机的闭环控制与传动机构的动力放大，适配干变车间低速、平稳的运行需求。</w:t>
      </w:r>
    </w:p>
    <w:p w14:paraId="2ECD7F54">
      <w:r>
        <w:t>伺服电机采用闭环控制模式，由PLC（可编程逻辑控制器）发送速度指令（如1000rpm），电机内置的光电编码器实时检测实际转速（如998rpm），并将偏差反馈至驱动器（如西门子V90），驱动器通过PID算法调整输出电流，使实际转速与指令转速偏差≤0.1%。当RGV需要加速时，驱动器控制电流线性增加，避免机械冲击；减速时则通过再生制动将动能转化为电能（经制动电阻消耗），实现平稳减速。</w:t>
      </w:r>
    </w:p>
    <w:p w14:paraId="5BDB9696">
      <w:r>
        <w:t>减速器的作用是降低转速、放大扭矩。以传动比20:1的行星齿轮减速器为例，输入轴（电机端）转速1500rpm时，输出轴转速为75rpm，扭矩放大20倍（忽略效率损失）。对于5吨级RGV，驱动轮直径250mm，所需驱动力F=（总质量×加速度）+滚动摩擦力，假设总质量6吨（含自重1吨+负载5吨），加速度0.2m/s²，滚动摩擦系数0.02，则F=6000kg×0.2m/s²+6000kg×9.8m/s²×0.02=1200N+1176N=2376N，单个驱动轮驱动力需≥1188N，对应驱动轮扭矩T=F×轮径/2=1188N×0.125m=148.5N·m，经减速器放大后，电机输出扭矩需≥148.5N·m/20=7.425N·m，选用额定扭矩10N·m的伺服电机即可满足需求。</w:t>
      </w:r>
    </w:p>
    <w:p w14:paraId="004960E6">
      <w:r>
        <w:t>传动机构根据负载特性选择齿轮齿条或铰链传动。齿轮齿条传动时，主动齿轮（模数4，齿数20）与轨道侧面的齿条（模数4，齿距12.56mm）啮合，将旋转运动转化为直线运动，传动效率高达95%，且无打滑风险，适合干变车间重载、高精度场景；铰链传动通过万向节连接电机输出轴与驱动轮，允许一定角度偏差（≤5°），降低对轨道平行度的要求，适用于轨道安装精度较低的区域（如临时过渡轨道）。双轮驱动设计中，两侧驱动轮由独立电机控制，通过调整两侧转速差实现转向：当需要左转时，左轮减速、右轮加速，转速差与转弯半径成反比（转弯半径越小，转速差越大），确保转向过程平稳无侧滑。</w:t>
      </w:r>
    </w:p>
    <w:p w14:paraId="4BED90BF">
      <w:pPr>
        <w:pStyle w:val="5"/>
      </w:pPr>
      <w:r>
        <w:t>3.1.2 制动与行走系统原理</w:t>
      </w:r>
    </w:p>
    <w:p w14:paraId="16FAE498">
      <w:r>
        <w:t>制动系统通过“电磁控制+机械制动”的双重机制，确保RGV在正常停止与紧急情况下的安全停车。电磁制动器（如SEW BMG系列）集成于驱动电机后端，其工作原理为：通电时，电磁线圈产生磁场，吸引衔铁压缩弹簧，摩擦片与制动盘分离，电机可自由转动；断电时，磁场消失，弹簧复位推动摩擦片压紧制动盘，产生制动力矩。制动响应时间≤0.2秒，确保紧急情况下（如安全光幕触发）RGV可快速停车，制动扭矩根据驱动轮最大静摩擦力设计，对于5吨级RGV，制动扭矩≥200N·m，可使以1m/s运行的RGV在0.2m内停止。</w:t>
      </w:r>
    </w:p>
    <w:p w14:paraId="7252F729">
      <w:r>
        <w:t>对于重载或斜坡轨道场景，RGV额外配置液压辅助制动装置。该装置由液压缸（缸径50mm，行程30mm）、制动蹄片（摩擦系数0.4）、液压泵及压力传感器组成，当检测到坡度≥3°或制动系统异常时，液压泵启动，推动制动蹄片夹紧轨道侧面，提供额外制动力（≥5000N），防止RGV溜车。压力传感器实时监测制动压力，当压力低于设定值（如8MPa）时触发报警，提醒维护人员检查液压系统。</w:t>
      </w:r>
    </w:p>
    <w:p w14:paraId="27BC5878">
      <w:r>
        <w:t>行走系统由轨道、导向轮与车架构成，其核心是确保RGV沿轨道的稳定运行。轨道采用6061-T6铝合金型材或Q235钢制型材，通过膨胀螺栓（M12，扭矩35N·m）固定于地面，直线段轨道接缝处采用榫卯结构连接，缝隙≤0.5mm，表面平整度误差≤0.3mm/m，避免运行时产生颠簸。导向轮（尼龙材质，直径80mm）安装于车架底部两侧，与轨道内侧接触，限制车体横向偏移量≤2mm；部分RGV在车架前后端增设侧向导向轮，进一步提升曲线运行时的稳定性，侧向导向轮与轨道侧面间隙控制在1-2mm，既避免卡滞，又确保导向精度。行走机构的运行阻力主要来自驱动轮与轨道的滚动摩擦（摩擦系数0.02-0.03）及导向轮的滑动摩擦（摩擦系数0.05-0.08），通过优化轮组布局（如增加从动轮数量）可将总阻力控制在额定驱动力的30%以内，确保电机输出功率得到高效利用。</w:t>
      </w:r>
    </w:p>
    <w:p w14:paraId="7FCD7EE9">
      <w:pPr>
        <w:pStyle w:val="4"/>
      </w:pPr>
      <w:r>
        <w:t>3.2 控制与供电系统原理</w:t>
      </w:r>
    </w:p>
    <w:p w14:paraId="43A26577">
      <w:pPr>
        <w:pStyle w:val="5"/>
      </w:pPr>
      <w:r>
        <w:t>3.2.1 PLC控制系统架构</w:t>
      </w:r>
    </w:p>
    <w:p w14:paraId="0687F36D">
      <w:r>
        <w:t>PLC控制系统是RGV的“大脑”，负责接收指令、执行逻辑控制与状态反馈，其架构采用“主控制器+分布式I/O+人机界面”的分层设计。主控制器选用西门子S7-1214C DC/DC/DC型PLC，具备14路数字量输入、10路数字量输出及2路模拟量输入，支持Profinet通讯，可满足干变车间复杂控制需求。PLC程序采用结构化设计，包含初始化模块（设备参数配置）、任务管理模块（接收与解析上位机指令）、运动控制模块（速度与位置闭环控制）、安全监控模块（急停、防撞逻辑）及故障诊断模块（实时检测设备状态）。</w:t>
      </w:r>
    </w:p>
    <w:p w14:paraId="636702D8">
      <w:r>
        <w:t>工作模式切换功能适配不同场景需求：自动模式下，PLC从WMS系统接收任务列表（如“转运铁芯至工位3”），通过运动控制模块计算运行路径与速度曲线（加速时间1s，匀速速度1m/s，减速时间1s），驱动RGV自动完成任务；手动模式下，操作人员通过手持盒（带急停按钮）发送点动指令（前进、后退、升降），PLC直接控制电机动作，用于设备调试或故障处理；半自动模式下，PLC记忆当前任务进度，当因异常中断后，可从中断点继续执行任务，避免任务从头开始。</w:t>
      </w:r>
    </w:p>
    <w:p w14:paraId="5CFD4530">
      <w:r>
        <w:t>人机界面（HMI，如西门子TP1200）实时显示RGV运行状态，包括当前位置（精度±0.1mm）、任务进度（如“已运行20m/50m”）、电机温度（正常≤65℃）、故障代码（如“E01：条码读码错误”）等信息。操作人员可通过HMI修改运行参数（如定位精度补偿值）、查看历史运行数据（近30天任务完成率）及触发手动操作（如强制复位故障）。</w:t>
      </w:r>
    </w:p>
    <w:p w14:paraId="6C1CC02E">
      <w:pPr>
        <w:pStyle w:val="5"/>
      </w:pPr>
      <w:r>
        <w:t>3.2.2 定位与通信系统原理</w:t>
      </w:r>
    </w:p>
    <w:p w14:paraId="2614F366">
      <w:r>
        <w:t>RGV的定位系统通过多传感器融合实现高精度停靠，核心技术包括条码带定位、编码器反馈与辅助传感器校准。条码带定位系统中，读码器（安装高度100mm，与条码带距离50mm±10mm）扫描轨道上的条码带，每10mm包含一个位置编码，读码器将编码信息转换为绝对位置（如“X=12345.6mm”），扫描频率500Hz，确保运行速度1.2m/s时仍能稳定读码。编码器（分辨率1024线/转）安装于驱动轮轴端，通过记录轮径（如250mm）与转动圈数计算运行距离（距离=轮周长×圈数），与条码带定位形成冗余，当两者偏差超过±1mm时，PLC启动辅助校准——通过激光测距传感器（如 Sick DT500，精度±0.1mm）检测轨道旁的基准板位置，修正累积误差。</w:t>
      </w:r>
    </w:p>
    <w:p w14:paraId="33F26510">
      <w:r>
        <w:t>通信系统实现RGV与外部设备的数据交互，采用“有线+无线”双重方案。有线通信通过Profinet总线连接PLC与本地I/O模块（如传感器、执行器），传输速率100Mbps，响应时间≤1ms，确保实时控制信号的可靠传输；无线通信采用WIFI（IEEE 802.11n协议）或ZigBee（IEEE 802.15.4协议）技术，实现RGV与上位机、其他RGV的信息共享。在多车协同场景中，每台RGV通过无线通信发送自身位置（更新频率10Hz）、速度（精度±0.01m/s）与任务状态（如“运行中”“等待中”），调度系统根据这些信息计算安全距离（当前车速度v=1m/s时，安全距离d=v×t+1m，t为制动响应时间0.2s，即d=1.2m），当两车距离小于安全距离时，后车自动减速或停车。</w:t>
      </w:r>
    </w:p>
    <w:p w14:paraId="7FA6687D">
      <w:r>
        <w:t>为应对干变车间电磁干扰（如焊接设备、变频器），通信系统采用抗干扰设计：无线模块加装金属屏蔽罩（厚度1mm），降低电磁辐射影响；数据传输采用CRC校验（16位）与重传机制，确保数据正确率≥99.99%；关键信号（如急停指令）采用硬线连接，避免无线通信延迟导致的安全风险。</w:t>
      </w:r>
    </w:p>
    <w:p w14:paraId="26C101F7">
      <w:pPr>
        <w:pStyle w:val="5"/>
      </w:pPr>
      <w:r>
        <w:t>3.2.3 供电系统工作原理</w:t>
      </w:r>
    </w:p>
    <w:p w14:paraId="11E4E3CE">
      <w:r>
        <w:t>RGV的供电系统通过滑触线实现全程持续供电，其工作原理是“导电轨-集电器-电源模块”的电能传输路径。滑触线由多段导电轨（单极或多极）组成，每段长度6m，通过连接器（铜质，导电截面积50mm²）拼接，导电轨之间的接触电阻≤0.01Ω，确保电流传输损耗≤2%。集电器（安装于RGV车架侧面）由碳刷（含银5%，硬度HB25）、弹簧机构（压力15-20N）及外壳组成，碳刷在弹簧力作用下与导电轨紧密接触，随RGV运动而滑动，持续取电。</w:t>
      </w:r>
    </w:p>
    <w:p w14:paraId="06318E29">
      <w:r>
        <w:t>根据车间电流需求，滑触线选型如下：单极滑触线（如Schunk MK系列）适用于多级组合（3相+地线+零线），安装灵活，可扩展至6极以上；多极管式滑触线（如igus Chainflex）集成多极导电体与绝缘层，防护等级IP54，安装简便，适合粉尘环境；钢体滑触线（如KabelSchlepp）载流量大（可达1000A），适合高电流需求（如20吨级RGV）。供电电源柜输出3相五线制AC 380V/220V交流电，通过断路器（额定电流100A）与滑触线连接，为避免长距离压降，每200m需增设一个电源接入点。</w:t>
      </w:r>
    </w:p>
    <w:p w14:paraId="7B7F1C17">
      <w:r>
        <w:t>电气控制系统对供电质量进行实时监控，包括电压监测（范围360-400V，超出范围触发报警）、电流监测（驱动电机电流≤额定值1.2倍）及绝缘监测（对地绝缘电阻≥1MΩ）。当检测到过压、欠压、过流或绝缘故障时，系统立即切断主电源，保护设备安全。对于敏感电子元件（如PLC、传感器），供电系统配置隔离变压器（容量5kVA）与UPS（备用时间15分钟），防止电网波动导致的设备重启或数据丢失。</w:t>
      </w:r>
    </w:p>
    <w:p w14:paraId="405C3E42">
      <w:pPr>
        <w:pStyle w:val="3"/>
      </w:pPr>
      <w:r>
        <w:t>四、 常见故障类型与成因分析</w:t>
      </w:r>
    </w:p>
    <w:p w14:paraId="025FAFB6">
      <w:pPr>
        <w:pStyle w:val="4"/>
      </w:pPr>
      <w:r>
        <w:t>4.1 主要故障类型</w:t>
      </w:r>
    </w:p>
    <w:p w14:paraId="742F33CA">
      <w:pPr>
        <w:pStyle w:val="5"/>
      </w:pPr>
      <w:r>
        <w:t>4.1.1 驱动装置故障</w:t>
      </w:r>
    </w:p>
    <w:p w14:paraId="7F469386">
      <w:r>
        <w:t>驱动装置是RGV故障高发区，主要表现为电机不运转、运转异响及过热停机三类故障，直接影响设备运行效率。</w:t>
      </w:r>
    </w:p>
    <w:p w14:paraId="29A50D15">
      <w:r>
        <w:rPr>
          <w:b/>
        </w:rPr>
        <w:t>电机不运转故障</w:t>
      </w:r>
      <w:r>
        <w:t>的典型现象为RGV接收启动指令后无动作，HMI显示“驱动电机未就绪”。常见原因为电源故障（如滑触线集电器接触不良，导致电机缺相）、接线松动（电机动力线端子排松动，接触电阻增大）或电机过载保护触发（过载电流≥1.5倍额定电流，热继电器动作）。例如，某干变车间RGV因滑触线碳刷磨损过度（剩余长度&lt;5mm），导致集电器与导电轨接触不良，电机输入电压降至320V（低于额定380V），无法启动，同时HMI报“欠压故障”。</w:t>
      </w:r>
    </w:p>
    <w:p w14:paraId="1CC9CF39">
      <w:r>
        <w:rPr>
          <w:b/>
        </w:rPr>
        <w:t>运转异响故障</w:t>
      </w:r>
      <w:r>
        <w:t>表现为电机或传动机构发出异常声音（如“嗡嗡声”“咔嗒声”），伴随振动增大（振幅&gt;4.5mm/s）。电机异响多因轴承磨损（径向游隙&gt;0.15mm）或转子扫膛（定转子间隙不均，最小间隙&lt;0.2mm）；传动机构异响则可能是齿轮齿条啮合不良（齿侧间隙&gt;0.3mm）、减速器缺油（油位低于最低刻度）或铰链传动万向节磨损（间隙&gt;1mm）。某案例中，RGV运行时出现周期性“咔嗒声”，经检查发现驱动轮齿轮因金属碎屑卡入导致齿面局部磨损（磨损量&gt;0.5mm），啮合时产生冲击异响。</w:t>
      </w:r>
    </w:p>
    <w:p w14:paraId="62E5F2D2">
      <w:r>
        <w:rPr>
          <w:b/>
        </w:rPr>
        <w:t>过热停机故障</w:t>
      </w:r>
      <w:r>
        <w:t>指电机温度超过额定值（通常≤65℃），触发热保护停机，HMI显示“电机过热”。成因包括负载过大（实际负载&gt;1.2倍额定负载）、通风不良（电机散热孔被粉尘堵塞，散热面积减少30%）或环境温度过高（车间温度&gt;40℃，超出电机允许范围）。例如，夏季干变车间高温环境下，RGV连续运行2小时后，电机温度升至75℃，热继电器动作导致停机。</w:t>
      </w:r>
    </w:p>
    <w:p w14:paraId="4289C740">
      <w:pPr>
        <w:pStyle w:val="5"/>
      </w:pPr>
      <w:r>
        <w:t>4.1.2 电气与控制系统故障</w:t>
      </w:r>
    </w:p>
    <w:p w14:paraId="78132C46">
      <w:r>
        <w:t>电气与控制系统故障影响RGV的自动化运行与精准控制，主要包括电源接触不良、PLC程序错误及定位信号丢失三类。</w:t>
      </w:r>
    </w:p>
    <w:p w14:paraId="44E0E7EE">
      <w:r>
        <w:rPr>
          <w:b/>
        </w:rPr>
        <w:t>电源接触不良故障</w:t>
      </w:r>
      <w:r>
        <w:t>表现为设备频繁重启、指示灯闪烁或部分功能失效，根源在于供电回路的连接问题。滑触线集电器碳刷磨损不均（单边磨损量&gt;2mm）会导致接触电阻增大（&gt;0.1Ω），产生局部过热（碳刷温度&gt;80℃），引发供电不稳定；电缆接头氧化（如接线端子未做镀锡处理）或松动（扭矩&lt;20N·m）也会导致电压波动（波动范围&gt;±5%）。某干变车间RGV曾因滑触线连接器螺栓松动（扭矩降至15N·m），导致供电电压间歇性跌落至340V，PLC因欠压重启，任务执行中断。</w:t>
      </w:r>
    </w:p>
    <w:p w14:paraId="6F7277BD">
      <w:r>
        <w:rPr>
          <w:b/>
        </w:rPr>
        <w:t>PLC程序错误故障</w:t>
      </w:r>
      <w:r>
        <w:t>包括逻辑冲突、数据丢失与参数异常，表现为RGV运行逻辑混乱（如“已到工位却不停止”）或无法接收指令。逻辑冲突多因多车协同时指令优先级设置错误（如紧急任务未标记“高优先级”）；数据丢失可能是PLC电池电量不足（电压&lt;3V），导致断电后程序与参数丢失；参数异常则是操作人员误修改关键参数（如定位补偿值设为“-10mm”而非“+0.5mm”）。例如，某RGV因PLC电池失效（使用时间&gt;5年），重启后丢失工位坐标数据，导致停靠位置偏差达20mm。</w:t>
      </w:r>
    </w:p>
    <w:p w14:paraId="0B7ACBF2">
      <w:r>
        <w:rPr>
          <w:b/>
        </w:rPr>
        <w:t>定位信号丢失故障</w:t>
      </w:r>
      <w:r>
        <w:t>导致RGV无法精准停靠，表现为“定位失败”报警或停靠误差&gt;±5mm。条码带污染（如油污覆盖、粉尘堆积）会使读码器无法识别编码，信号强度降至&lt;50%；编码器故障（如线缆断裂、脉冲丢失）导致运行距离计算错误；激光传感器被遮挡（如轨道旁堆放杂物）则无法完成辅助校准。某案例中，干变车间绝缘材料粉尘覆盖条码带，读码器信号强度从90%降至30%，RGV连续3次停靠失败，触发“定位超时”报警。</w:t>
      </w:r>
    </w:p>
    <w:p w14:paraId="41F96ACF">
      <w:pPr>
        <w:pStyle w:val="5"/>
      </w:pPr>
      <w:r>
        <w:t>4.1.3 机械部件故障</w:t>
      </w:r>
    </w:p>
    <w:p w14:paraId="6447718E">
      <w:r>
        <w:t>机械部件故障直接影响RGV的结构稳定性与运行精度，主要涉及驱动轮磨损、轨道变形及制动片过度磨损。</w:t>
      </w:r>
    </w:p>
    <w:p w14:paraId="63DF2B28">
      <w:r>
        <w:rPr>
          <w:b/>
        </w:rPr>
        <w:t>驱动轮磨损故障</w:t>
      </w:r>
      <w:r>
        <w:t>表现为轮径变小（磨损量&gt;5mm）、踏面失圆（圆度误差&gt;0.3mm）或橡胶包覆层开裂，导致运行时振动增大（振幅&gt;5mm/s）、定位精度下降（偏差&gt;±3mm）。驱动轮磨损的主要原因是轨道表面不平整（凸起&gt;0.5mm）、轮材选择不当（如聚氨酯硬度不足，邵氏硬度&lt;80A）或过载运行（负载&gt;1.5倍额定值）。例如，某RGV长期在有金属碎屑的轨道上运行，驱动轮踏面被划伤（深度&gt;2mm），导致运行时产生周期性颠簸，定位精度从±2mm降至±4mm。</w:t>
      </w:r>
    </w:p>
    <w:p w14:paraId="0973737B">
      <w:r>
        <w:rPr>
          <w:b/>
        </w:rPr>
        <w:t>轨道变形故障</w:t>
      </w:r>
      <w:r>
        <w:t>包括直线度超差（局部弯曲&gt;1mm/m）、接缝错位（高低差&gt;0.5mm）或固定螺栓松动（扭矩&lt;25N·m），导致RGV运行阻力增大（&gt;额定值50%）、导向轮卡滞或车体倾斜（倾斜角&gt;1°）。轨道变形多因基础沉降（地面平整度变化&gt;2mm/m）、安装时未预留热胀冷缩间隙（温度变化10℃时，6m轨道伸缩量&gt;1mm）或重型设备碾压（如叉车碾压轨道边缘）。某干变车间因地面沉降，轨道直线度误差达1.5mm/m，RGV运行时导向轮与轨道摩擦加剧，产生“吱吱”异响，且驱动电机电流升高15%。</w:t>
      </w:r>
    </w:p>
    <w:p w14:paraId="65C076C4">
      <w:r>
        <w:rPr>
          <w:b/>
        </w:rPr>
        <w:t>制动片过度磨损故障</w:t>
      </w:r>
      <w:r>
        <w:t>指电磁制动器摩擦片厚度&lt;3mm或液压制动蹄片摩擦层厚度&lt;2mm，导致制动距离延长（&gt;0.5m，速度1m/s时）或制动失效。磨损原因包括制动频率过高（如频繁急停，每日&gt;50次）、制动间隙调整不当（间隙&gt;0.3mm，导致制动片与制动盘接触不良）或摩擦片材质不佳（耐磨次数&lt;10万次）。例如，某RGV因制动间隙未定期调整（实际间隙0.5mm），制动片仅部分接触制动盘，制动扭矩降至额定值的60%，紧急停车时滑行距离达0.8m，险些与工位设备碰撞。</w:t>
      </w:r>
    </w:p>
    <w:p w14:paraId="0FC71C60">
      <w:pPr>
        <w:pStyle w:val="4"/>
      </w:pPr>
      <w:r>
        <w:t>4.2 故障成因机理</w:t>
      </w:r>
    </w:p>
    <w:p w14:paraId="0E448BF8">
      <w:pPr>
        <w:pStyle w:val="5"/>
      </w:pPr>
      <w:r>
        <w:t>4.2.1 磨损老化因素</w:t>
      </w:r>
    </w:p>
    <w:p w14:paraId="0B39D6D0">
      <w:r>
        <w:t>磨损老化是RGV故障的长期诱因，涉及机械部件的物理损耗与电气元件的性能衰退，其过程与设备运行时间、负载强度密切相关。</w:t>
      </w:r>
    </w:p>
    <w:p w14:paraId="39AC51BC">
      <w:r>
        <w:rPr>
          <w:b/>
        </w:rPr>
        <w:t>机械部件磨损</w:t>
      </w:r>
      <w:r>
        <w:t>遵循“摩擦-疲劳-失效”机理。驱动轮与轨道的滚动摩擦会导致轮面材料逐渐剥落（磨损速率约0.1mm/1000小时），当磨损量超过轮径的2%时，轮径变化导致编码器计算距离偏差（每运行100m偏差&gt;1mm）；齿轮齿条啮合过程中，齿面接触应力（重载时可达500MPa）使表层材料产生疲劳裂纹，裂纹扩展后形成齿面剥落（即“点蚀”），当剥落面积&gt;10%时，传动精度下降（齿侧间隙增大&gt;0.3mm）。轴承磨损源于润滑不足或污染物侵入，滚珠与滚道之间的摩擦会产生磨粒（如铁屑），加速磨损进程，当轴承游隙&gt;0.15mm时，电机运行振动显著增大（振幅&gt;4mm/s）。</w:t>
      </w:r>
    </w:p>
    <w:p w14:paraId="5A78FD06">
      <w:r>
        <w:rPr>
          <w:b/>
        </w:rPr>
        <w:t>电气元件老化</w:t>
      </w:r>
      <w:r>
        <w:t>表现为性能参数漂移或功能失效。伺服电机绕组绝缘层（如漆包线）在高温（&gt;65℃）与湿度（&gt;85%RH）环境下会逐渐老化，绝缘电阻从初始&gt;100MΩ降至&lt;10MΩ，导致漏电流增大（&gt;10mA），严重时引发绕组短路；PLC电容（如电解电容）的电解液会随时间挥发，容量衰减（每年衰减5%-10%），当容量低于额定值的70%时，断电数据保持能力丧失；光电传感器的LED光源亮度随使用时间（&gt;20000小时）衰减，检测距离缩短（从500mm降至300mm），导致信号不稳定。</w:t>
      </w:r>
    </w:p>
    <w:p w14:paraId="6DF906DC">
      <w:r>
        <w:t>干变车间RGV的磨损老化速度快于普通车间，因变压器生产过程中产生的金属碎屑（硅钢片、铜箔）、绝缘粉尘（环氧树脂、云母片）会加速机械部件磨损，而车间内的局部高温（如固化炉附近60℃）则加速电气元件老化。某跟踪数据显示，干变车间RGV的驱动轮寿命约8000小时，较普通车间缩短20%；伺服电机平均无故障工作时间（MTBF）约25000小时，缩短15%。</w:t>
      </w:r>
    </w:p>
    <w:p w14:paraId="4AE2C688">
      <w:pPr>
        <w:pStyle w:val="5"/>
      </w:pPr>
      <w:r>
        <w:t>4.2.2 操作与环境因素</w:t>
      </w:r>
    </w:p>
    <w:p w14:paraId="36CCA66C">
      <w:r>
        <w:t>操作不当与恶劣环境是RGV故障的重要诱因，直接导致设备损伤或性能下降。</w:t>
      </w:r>
    </w:p>
    <w:p w14:paraId="1D51C170">
      <w:r>
        <w:rPr>
          <w:b/>
        </w:rPr>
        <w:t>操作不当</w:t>
      </w:r>
      <w:r>
        <w:t>包括超载运行、参数设置错误与违规干预。超载运行指实际负载超过RGV额定承重（如5吨级RGV转运6吨铁芯），会使车架产生塑性变形（挠度&gt;2mm/m）、驱动轮踏面塌陷（凹陷&gt;1mm）或传动齿轮齿根断裂（弯曲应力&gt;材料屈服强度345MPa）；参数设置错误如加速时间过短（&lt;0.5s），会导致启动冲击（加速度&gt;1m/s²），使机械部件承受过大惯性力（如驱动轮轴扭矩&gt;额定值1.5倍）；违规干预如手动推动自动运行中的RGV，会损坏编码器（计数偏差&gt;100脉冲）或导致定位系统混乱。某案例中，操作员为赶工期，强制RGV超载10%运行，1个月后检测发现车架主梁挠度达2.5mm/m，超出设计允许值（1.5mm/m）。</w:t>
      </w:r>
    </w:p>
    <w:p w14:paraId="78E70781">
      <w:r>
        <w:rPr>
          <w:b/>
        </w:rPr>
        <w:t>环境因素</w:t>
      </w:r>
      <w:r>
        <w:t>对RGV的影响体现在高温、粉尘与电磁干扰三个方面。高温环境（&gt;40℃）使电机散热效率下降（散热系数降低20%），绕组温度升高（&gt;75℃），绝缘老化加速；粉尘（如硅钢片碎屑、环氧树脂粉尘）进入齿轮箱后，与润滑油混合形成磨料，加速齿面磨损（磨损速率提高50%），进入电机内部则导致轴承润滑失效（油脂变质周期缩短至3个月）；电磁干扰（如焊接设备、变频器）会干扰RGV的通信信号，无线传输误码率从0.1%升至1%，导致上位机指令丢失或定位数据错误。</w:t>
      </w:r>
    </w:p>
    <w:p w14:paraId="1F479CC5">
      <w:r>
        <w:t>干变车间的特殊环境加剧了设备故障风险：铁芯加工区域的金属粉尘浓度可达5mg/m³，远超普通车间（1mg/m³）；器身干燥工序的环境温度可达80℃，对电气元件耐热性要求更高；焊接工位的电磁辐射强度（&gt;100V/m）易导致PLC通信中断。某调研显示，环境因素导致的RGV故障占比达35%，是干变车间设备管理的重点关注对象。</w:t>
      </w:r>
    </w:p>
    <w:p w14:paraId="6ED2E30F">
      <w:pPr>
        <w:pStyle w:val="5"/>
      </w:pPr>
      <w:r>
        <w:t>4.2.3 维护不足因素</w:t>
      </w:r>
    </w:p>
    <w:p w14:paraId="6E02F449">
      <w:r>
        <w:t>维护不足导致小故障演变为大故障，主要表现为预防性维护缺失、维护操作不规范与备件更换不及时。</w:t>
      </w:r>
    </w:p>
    <w:p w14:paraId="6A8D74EF">
      <w:r>
        <w:rPr>
          <w:b/>
        </w:rPr>
        <w:t>预防性维护缺失</w:t>
      </w:r>
      <w:r>
        <w:t>指未按计划进行检查与保养，导致潜在故障未被及时发现。例如，未每周清理条码带表面油污，导致读码器信号强度逐渐下降（从90%降至50%），最终触发定位故障；未每月检查制动片厚度，使摩擦片磨损至&lt;3mm仍继续使用，导致制动距离延长至0.8m（设计值0.2m）；未每季度更换齿轮箱润滑油（变质润滑油粘度从220cSt降至150cSt），导致齿轮磨损速率提高30%。某干变车间因连续3个月未进行轨道清洁，轨道接缝处堆积金属碎屑（厚度&gt;2mm），RGV运行时驱动轮卡滞，导致电机过载停机。</w:t>
      </w:r>
    </w:p>
    <w:p w14:paraId="20FE6CD7">
      <w:r>
        <w:rPr>
          <w:b/>
        </w:rPr>
        <w:t>维护操作不规范</w:t>
      </w:r>
      <w:r>
        <w:t>包括工具使用不当、参数调整错误与安装精度不足。使用普通扳手而非扭矩扳手紧固螺栓，导致滑触线连接器扭矩不均（偏差&gt;10N·m），接触电阻增大；随意调整伺服电机增益参数（如位置环增益从2000调至5000），导致运行时产生振荡（振幅&gt;3mm/s）；更换驱动轮时未校准轮距（偏差&gt;2mm），导致RGV运行时偏向轨道一侧，导向轮磨损加剧。例如，某维护人员更换制动片后未调整制动间隙（实际间隙0.5mm，标准0.1-0.3mm），导致制动响应时间从0.2s延长至0.5s，紧急情况下无法及时停车。</w:t>
      </w:r>
    </w:p>
    <w:p w14:paraId="60EE0A5C">
      <w:r>
        <w:rPr>
          <w:b/>
        </w:rPr>
        <w:t>备件更换不及时</w:t>
      </w:r>
      <w:r>
        <w:t>指关键备件库存不足或超过使用寿命仍继续使用。当驱动轮磨损量达5mm（标准更换阈值）却无备件时，RGV只能带故障运行，定位精度持续下降（从±2mm增至±5mm）；使用过期PLC电池（寿命&gt;5年），导致断电后程序丢失，需重新调试（耗时&gt;4小时）；继续使用绝缘老化的电缆（绝缘电阻&lt;1MΩ），增加短路风险。某干变车间因未储备条码读码器备件，读码器故障后设备停机2天，影响生产计划。</w:t>
      </w:r>
    </w:p>
    <w:p w14:paraId="3BA80C39">
      <w:pPr>
        <w:pStyle w:val="3"/>
      </w:pPr>
      <w:r>
        <w:t>五、 故障诊断方法与维护对策</w:t>
      </w:r>
    </w:p>
    <w:p w14:paraId="6B3CBBB5">
      <w:pPr>
        <w:pStyle w:val="4"/>
      </w:pPr>
      <w:r>
        <w:t>5.1 故障诊断技术</w:t>
      </w:r>
    </w:p>
    <w:p w14:paraId="04491703">
      <w:pPr>
        <w:pStyle w:val="5"/>
      </w:pPr>
      <w:r>
        <w:t>5.1.1 故障现象识别与定位</w:t>
      </w:r>
    </w:p>
    <w:p w14:paraId="3E08FB11">
      <w:r>
        <w:t>RGV故障诊断的首要步骤是通过现象观察与数据监测，精准识别故障类型并定位故障部位，为后续维修提供依据。</w:t>
      </w:r>
    </w:p>
    <w:p w14:paraId="05FD99FC">
      <w:r>
        <w:rPr>
          <w:b/>
        </w:rPr>
        <w:t>基于感官观察的初步判断</w:t>
      </w:r>
      <w:r>
        <w:t>可快速缩小故障范围。听声音：电机“嗡嗡”声可能为缺相或轴承磨损，齿轮“咔嗒”声提示啮合不良，制动“尖叫”声表明制动片磨损；看外观：驱动轮踏面裂纹、轨道变形、电缆破损等可直接观察；摸温度：电机外壳温度&gt;70℃提示过热，滑触线集电器温度&gt;80℃可能接触不良；闻气味：焦糊味多为电机绕组短路或电缆烧毁。例如，RGV运行时出现周期性“咯噔”声，伴随振动增大，初步判断为驱动轮或轨道异常，需进一步检查。</w:t>
      </w:r>
    </w:p>
    <w:p w14:paraId="58C9F208">
      <w:r>
        <w:rPr>
          <w:b/>
        </w:rPr>
        <w:t>基于数据监测的精准定位</w:t>
      </w:r>
      <w:r>
        <w:t>通过设备自带传感器与外接检测工具获取量化数据，验证初步判断并定位具体部件。HMI状态监测：查看实时位置（偏差&gt;±5mm提示定位故障）、电机电流（&gt;额定值1.2倍提示过载）、信号强度（读码器信号&lt;60%提示条码带污染）；外接工具检测：使用万用表测量电机三相电压（不平衡度&gt;5%为缺相）、绝缘电阻（&lt;10MΩ提示绕组老化）；热成像仪检测电气柜温度（接触器温度&gt;70℃提示接触不良）；振动分析仪检测驱动轮振动频谱（轴承特征频率&gt;10g提示轴承故障）。例如，HMI显示“定位失败”，读码器信号强度55%，使用工业相机拍摄条码带发现表面油污，确认故障原因为条码带污染。</w:t>
      </w:r>
    </w:p>
    <w:p w14:paraId="0BC26151">
      <w:r>
        <w:rPr>
          <w:b/>
        </w:rPr>
        <w:t>故障现象与部位对应关系</w:t>
      </w:r>
      <w:r>
        <w:t>可通过故障树分析法建立，例如：当RGV无法启动时，可能路径为“电源故障→集电器磨损→滑触线接触不良”或“电机故障→过载保护→热继电器动作”，通过逐级排查（先测电源电压，再查电机电流）确定根本原因。某案例中，RGV启动无动作，HMI无报警，测量滑触线电压380V正常，测量电机绕组电阻发现U相断路，最终定位为电机引出线断裂。</w:t>
      </w:r>
    </w:p>
    <w:p w14:paraId="670722F8">
      <w:pPr>
        <w:pStyle w:val="5"/>
      </w:pPr>
      <w:r>
        <w:t>5.1.2 检测工具与诊断流程</w:t>
      </w:r>
    </w:p>
    <w:p w14:paraId="4547471A">
      <w:r>
        <w:t>配备专业检测工具与标准化诊断流程，可提高故障诊断效率与准确性，减少盲目维修。</w:t>
      </w:r>
    </w:p>
    <w:p w14:paraId="1651EAF2">
      <w:r>
        <w:rPr>
          <w:b/>
        </w:rPr>
        <w:t>常用检测工具及其应用场景</w:t>
      </w:r>
      <w:r>
        <w:t>如下：</w:t>
      </w:r>
    </w:p>
    <w:p w14:paraId="635E42F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万用表</w:t>
      </w:r>
      <w:r>
        <w:t>：测量电压（确认供电是否正常，如滑触线电压380V±10%）、电流（电机运行电流是否过载）、电阻（电机绕组电阻是否平衡、电缆通断）；</w:t>
      </w:r>
    </w:p>
    <w:p w14:paraId="0DDF00A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热成像仪</w:t>
      </w:r>
      <w:r>
        <w:t>：检测电气元件温度（如接触器、接线端子、电机轴承），识别过热隐患（温度超过70℃需关注）；</w:t>
      </w:r>
    </w:p>
    <w:p w14:paraId="33F74C9E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振动分析仪</w:t>
      </w:r>
      <w:r>
        <w:t>：采集驱动轮、电机、减速器的振动数据，通过频谱分析识别故障频率（如轴承内圈故障频率=0.38×转速）；</w:t>
      </w:r>
    </w:p>
    <w:p w14:paraId="3D13C64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激光水平仪</w:t>
      </w:r>
      <w:r>
        <w:t>：检测轨道直线度（误差&gt;0.5mm/m需调整）、平行度（偏差&gt;1mm需校准）；</w:t>
      </w:r>
    </w:p>
    <w:p w14:paraId="30B06B73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条码检测仪</w:t>
      </w:r>
      <w:r>
        <w:t>：评估条码带质量（对比度&gt;80%、码间距误差&lt;0.1mm）与读码器性能（解码率&gt;99.9%）。</w:t>
      </w:r>
    </w:p>
    <w:p w14:paraId="11875F93">
      <w:r>
        <w:rPr>
          <w:b/>
        </w:rPr>
        <w:t>标准化诊断流程</w:t>
      </w:r>
      <w:r>
        <w:t>分为“现象记录-数据采集-部件检测-逻辑验证”四步：</w:t>
      </w:r>
    </w:p>
    <w:p w14:paraId="38070D3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现象记录</w:t>
      </w:r>
      <w:r>
        <w:t>：记录故障发生时间、工况（负载、速度）、报警代码（如“HMI报E05”）及伴随现象（异响、振动、烟雾）；</w:t>
      </w:r>
    </w:p>
    <w:p w14:paraId="170125F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数据采集</w:t>
      </w:r>
      <w:r>
        <w:t>：通过HMI导出故障前后的运行数据（位置、速度、电流），使用工具测量关键参数（电压、电阻、温度）；</w:t>
      </w:r>
    </w:p>
    <w:p w14:paraId="63747274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部件检测</w:t>
      </w:r>
      <w:r>
        <w:t>：根据初步判断拆解可疑部件（如电机轴承、驱动轮），通过目视检查（磨损、裂纹）、尺寸测量（轮径、间隙）确认状态；</w:t>
      </w:r>
    </w:p>
    <w:p w14:paraId="1D96F85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逻辑验证</w:t>
      </w:r>
      <w:r>
        <w:t>：更换或修复可疑部件后，进行功能测试（如点动运行、自动定位），验证故障是否消除。</w:t>
      </w:r>
    </w:p>
    <w:p w14:paraId="47766E26">
      <w:r>
        <w:t>例如，诊断“RGV定位偏差大”故障的流程：记录偏差值（8mm）→采集读码器信号强度（60%）、编码器数据（与实际距离偏差3mm）→检测条码带（表面油污）、读码器镜头（灰尘）→清洁条码带与镜头后测试，定位偏差恢复至±2mm，确认故障解决。</w:t>
      </w:r>
    </w:p>
    <w:p w14:paraId="19A74168">
      <w:pPr>
        <w:pStyle w:val="4"/>
      </w:pPr>
      <w:r>
        <w:t>5.2 维护与预防策略</w:t>
      </w:r>
    </w:p>
    <w:p w14:paraId="4427B5D4">
      <w:pPr>
        <w:pStyle w:val="5"/>
      </w:pPr>
      <w:r>
        <w:t>5.2.1 日常维护要点</w:t>
      </w:r>
    </w:p>
    <w:p w14:paraId="1BF94C79">
      <w:r>
        <w:t>日常维护是预防故障的基础，通过每日、每周的定期检查与清洁，及时发现并处理轻微隐患，避免故障扩大。</w:t>
      </w:r>
    </w:p>
    <w:p w14:paraId="13FDB853">
      <w:r>
        <w:rPr>
          <w:b/>
        </w:rPr>
        <w:t>每日维护项目（15分钟/台）</w:t>
      </w:r>
      <w:r>
        <w:t>：</w:t>
      </w:r>
    </w:p>
    <w:p w14:paraId="3433D830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轨道系统</w:t>
      </w:r>
      <w:r>
        <w:t>：清理轨道表面及两侧的金属碎屑、绝缘粉尘（使用吸尘器配合毛刷），检查轨道接缝螺栓是否松动（扭矩25-30N·m），目视检查轨道有无明显变形或异物；</w:t>
      </w:r>
    </w:p>
    <w:p w14:paraId="79431A2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驱动与制动系统</w:t>
      </w:r>
      <w:r>
        <w:t>：听电机运行声音是否均匀，检查制动刹车片厚度（≥3mm），测试急停按钮功能（触发后应立即停机）；</w:t>
      </w:r>
    </w:p>
    <w:p w14:paraId="3AAA14C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定位系统</w:t>
      </w:r>
      <w:r>
        <w:t>：清洁条码带表面油污（使用无水乙醇擦拭），检查读码器镜头是否清洁（使用镜头纸擦拭），确认HMI显示定位精度≤±2mm；</w:t>
      </w:r>
    </w:p>
    <w:p w14:paraId="4AAF011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供电系统</w:t>
      </w:r>
      <w:r>
        <w:t>：检查滑触线集电器碳刷磨损量（≤5mm），集电器与滑触线接触是否良好（无火花）。</w:t>
      </w:r>
    </w:p>
    <w:p w14:paraId="7A42877F">
      <w:r>
        <w:rPr>
          <w:b/>
        </w:rPr>
        <w:t>每周维护项目（30分钟/台）</w:t>
      </w:r>
      <w:r>
        <w:t>：</w:t>
      </w:r>
    </w:p>
    <w:p w14:paraId="72A9482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机械部件</w:t>
      </w:r>
      <w:r>
        <w:t>：检查驱动轮踏面磨损（深度≤2mm）、轮缘厚度（≥10mm），测试驱动轮转动灵活性（无卡滞）；检查导向轮与轨道间隙（1-2mm），润滑导向轮轴承（加注锂基润滑脂，型号ZL-3）；</w:t>
      </w:r>
    </w:p>
    <w:p w14:paraId="2780C5C8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：检查电缆接头有无松动、氧化（使用凡士林保护），测试PLC电池电压（≥3V），清理电气柜灰尘（使用压缩空气，压力≤0.3MPa）；</w:t>
      </w:r>
    </w:p>
    <w:p w14:paraId="74AD842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安全装置</w:t>
      </w:r>
      <w:r>
        <w:t>：测试安全光幕功能（遮挡时RGV应立即停止），检查保险杠弹性（按压后能复位），验证极限开关动作是否灵敏。</w:t>
      </w:r>
    </w:p>
    <w:p w14:paraId="46313A6B">
      <w:r>
        <w:rPr>
          <w:b/>
        </w:rPr>
        <w:t>维护标准与记录</w:t>
      </w:r>
      <w:r>
        <w:t>：制定《RGV日常维护检查表》，记录检查项目、标准值、实测值及异常情况，维护人员签字确认，数据存档至少3个月，便于追溯设备状态变化趋势。</w:t>
      </w:r>
    </w:p>
    <w:p w14:paraId="0E8C8682">
      <w:pPr>
        <w:pStyle w:val="5"/>
      </w:pPr>
      <w:r>
        <w:t>5.2.2 定期检修计划</w:t>
      </w:r>
    </w:p>
    <w:p w14:paraId="572107A3">
      <w:r>
        <w:t>定期检修是针对长期运行导致的磨损、老化问题，通过深度检测与部件更换，恢复设备性能，延长使用寿命，分为月度、季度、年度三个周期。</w:t>
      </w:r>
    </w:p>
    <w:p w14:paraId="566BF790">
      <w:r>
        <w:rPr>
          <w:b/>
        </w:rPr>
        <w:t>月度检修（2小时/台）</w:t>
      </w:r>
      <w:r>
        <w:t>：</w:t>
      </w:r>
    </w:p>
    <w:p w14:paraId="54A693CD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机械系统深度检测</w:t>
      </w:r>
      <w:r>
        <w:t>：拆卸驱动轮检查轴承游隙（径向间隙≤0.15mm），更换磨损轴承；测量齿轮齿条啮合间隙（≤0.3mm），调整张紧装置；检查车架结构有无变形（挠度≤1.5mm/m），紧固关键部位螺栓（如车架连接螺栓，扭矩50N·m）；</w:t>
      </w:r>
    </w:p>
    <w:p w14:paraId="1933C345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电气系统性能测试</w:t>
      </w:r>
      <w:r>
        <w:t>：使用热成像仪检测电机、变频器、接触器温度（≤65℃）；测量电机绝缘电阻（≥10MΩ）、接地电阻（≤4Ω）；校准编码器（与激光测距仪对比，偏差≤±0.5mm）；</w:t>
      </w:r>
    </w:p>
    <w:p w14:paraId="6827A496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功能验证</w:t>
      </w:r>
      <w:r>
        <w:t>：进行空载与满载（额定负载100%）运行测试，记录运行速度（偏差≤±5%）、制动距离（≤0.3m，速度1m/s时）、定位精度（≤±2mm）。</w:t>
      </w:r>
    </w:p>
    <w:p w14:paraId="69DC6883">
      <w:r>
        <w:rPr>
          <w:b/>
        </w:rPr>
        <w:t>季度检修（4小时/台）</w:t>
      </w:r>
      <w:r>
        <w:t>：</w:t>
      </w:r>
    </w:p>
    <w:p w14:paraId="1310562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润滑系统维护</w:t>
      </w:r>
      <w:r>
        <w:t>：更换减速机润滑油（型号ISO VG220，油量至油位镜1/2-2/3），清理齿轮箱内铁屑（使用磁棒）；润滑传动链条（涂抹二硫化钼润滑脂），调整链条张紧度（下垂量10-15mm）；</w:t>
      </w:r>
    </w:p>
    <w:p w14:paraId="737A2D88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定位系统校准</w:t>
      </w:r>
      <w:r>
        <w:t>：重新标定条码带零点（与机械原点对齐，偏差≤0.1mm），调整读码器高度、角度（确保信号强度≥90%）；校准液压顶升机构（位移传感器误差≤±0.1mm）；</w:t>
      </w:r>
    </w:p>
    <w:p w14:paraId="5CA76624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控制系统优化</w:t>
      </w:r>
      <w:r>
        <w:t>：备份PLC程序，检查程序逻辑有无冲突；优化伺服电机参数（如位置环增益、速度环积分时间），减少运行振动（振幅≤2mm/s）。</w:t>
      </w:r>
    </w:p>
    <w:p w14:paraId="7AB8C792">
      <w:r>
        <w:rPr>
          <w:b/>
        </w:rPr>
        <w:t>年度大修（8小时/台）</w:t>
      </w:r>
      <w:r>
        <w:t>：</w:t>
      </w:r>
    </w:p>
    <w:p w14:paraId="470A325B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结构件探伤</w:t>
      </w:r>
      <w:r>
        <w:t>：对车架承重梁、驱动轮轴进行超声波探伤（无≥3mm内部缺陷），对关键焊缝进行磁粉检测（无裂纹）；</w:t>
      </w:r>
    </w:p>
    <w:p w14:paraId="0BB213E6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部件更换</w:t>
      </w:r>
      <w:r>
        <w:t>：更换老化电缆（使用时间&gt;3年）、磨损制动片（厚度&lt;3mm）、过期电池（PLC电池，使用时间&gt;5年）；</w:t>
      </w:r>
    </w:p>
    <w:p w14:paraId="2EE63C95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性能复测与优化</w:t>
      </w:r>
      <w:r>
        <w:t>：进行全参数性能测试，包括最大负载运行（120%额定负载，运行1小时无异常）、连续运行可靠性（24小时无故障）；根据测试结果调整轨道（直线度≤0.3mm/m）、优化控制参数。</w:t>
      </w:r>
    </w:p>
    <w:p w14:paraId="3D31E82C">
      <w:r>
        <w:rPr>
          <w:b/>
        </w:rPr>
        <w:t>检修记录与报告</w:t>
      </w:r>
      <w:r>
        <w:t>：编制《RGV定期检修报告》，包含检测数据、更换部件清单、性能测试结果及改进建议，提交设备管理部门存档，作为备件采购与维护计划调整的依据。</w:t>
      </w:r>
    </w:p>
    <w:p w14:paraId="51CA20DC">
      <w:pPr>
        <w:pStyle w:val="5"/>
      </w:pPr>
      <w:r>
        <w:t>5.2.3 备件管理与预防策略</w:t>
      </w:r>
    </w:p>
    <w:p w14:paraId="5DF019C4">
      <w:r>
        <w:t>科学的备件管理与主动预防策略，可减少故障停机时间，降低维护成本，确保RGV长期稳定运行。</w:t>
      </w:r>
    </w:p>
    <w:p w14:paraId="726DF78C">
      <w:r>
        <w:rPr>
          <w:b/>
        </w:rPr>
        <w:t>关键备件清单与库存管理</w:t>
      </w:r>
      <w:r>
        <w:t>：</w:t>
      </w:r>
    </w:p>
    <w:p w14:paraId="5A8C002C">
      <w:r>
        <w:t>根据RGV故障频率与影响程度，确定关键备件清单（如下表），设定安全库存量，确保故障发生时能及时更换。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3ECEB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664D9BF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587A6E14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  <w:tc>
          <w:tcPr>
            <w:tcW w:w="0" w:type="auto"/>
            <w:vAlign w:val="center"/>
          </w:tcPr>
          <w:p w14:paraId="457D91FC">
            <w:pPr>
              <w:jc w:val="center"/>
              <w:rPr>
                <w:b/>
              </w:rPr>
            </w:pPr>
            <w:r>
              <w:rPr>
                <w:b/>
              </w:rPr>
              <w:t>安全库存量</w:t>
            </w:r>
          </w:p>
        </w:tc>
        <w:tc>
          <w:tcPr>
            <w:tcW w:w="0" w:type="auto"/>
            <w:vAlign w:val="center"/>
          </w:tcPr>
          <w:p w14:paraId="6C60AB6E">
            <w:pPr>
              <w:jc w:val="center"/>
              <w:rPr>
                <w:b/>
              </w:rPr>
            </w:pPr>
            <w:r>
              <w:rPr>
                <w:b/>
              </w:rPr>
              <w:t>存储条件</w:t>
            </w:r>
          </w:p>
        </w:tc>
        <w:tc>
          <w:tcPr>
            <w:tcW w:w="0" w:type="auto"/>
            <w:vAlign w:val="center"/>
          </w:tcPr>
          <w:p w14:paraId="22CE66E1">
            <w:pPr>
              <w:jc w:val="center"/>
              <w:rPr>
                <w:b/>
              </w:rPr>
            </w:pPr>
            <w:r>
              <w:rPr>
                <w:b/>
              </w:rPr>
              <w:t>备注（干变车间适配）</w:t>
            </w:r>
          </w:p>
        </w:tc>
      </w:tr>
      <w:tr w14:paraId="40E93E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240279E">
            <w:r>
              <w:t>驱动轮轴承</w:t>
            </w:r>
          </w:p>
        </w:tc>
        <w:tc>
          <w:tcPr>
            <w:tcW w:w="0" w:type="auto"/>
            <w:vAlign w:val="center"/>
          </w:tcPr>
          <w:p w14:paraId="40646E8E">
            <w:r>
              <w:t>8000小时</w:t>
            </w:r>
          </w:p>
        </w:tc>
        <w:tc>
          <w:tcPr>
            <w:tcW w:w="0" w:type="auto"/>
            <w:vAlign w:val="center"/>
          </w:tcPr>
          <w:p w14:paraId="7B5405CF">
            <w:r>
              <w:t>2套/台</w:t>
            </w:r>
          </w:p>
        </w:tc>
        <w:tc>
          <w:tcPr>
            <w:tcW w:w="0" w:type="auto"/>
            <w:vAlign w:val="center"/>
          </w:tcPr>
          <w:p w14:paraId="1F8DC8D7">
            <w:r>
              <w:t>环境温度15-30℃</w:t>
            </w:r>
          </w:p>
        </w:tc>
        <w:tc>
          <w:tcPr>
            <w:tcW w:w="0" w:type="auto"/>
            <w:vAlign w:val="center"/>
          </w:tcPr>
          <w:p w14:paraId="018A6967">
            <w:r>
              <w:t>选用耐高温型号（耐温≥120℃）</w:t>
            </w:r>
          </w:p>
        </w:tc>
      </w:tr>
      <w:tr w14:paraId="20B172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7990574">
            <w:r>
              <w:t>激光读码器</w:t>
            </w:r>
          </w:p>
        </w:tc>
        <w:tc>
          <w:tcPr>
            <w:tcW w:w="0" w:type="auto"/>
            <w:vAlign w:val="center"/>
          </w:tcPr>
          <w:p w14:paraId="3CE29D93">
            <w:r>
              <w:t>12个月</w:t>
            </w:r>
          </w:p>
        </w:tc>
        <w:tc>
          <w:tcPr>
            <w:tcW w:w="0" w:type="auto"/>
            <w:vAlign w:val="center"/>
          </w:tcPr>
          <w:p w14:paraId="185170C7">
            <w:r>
              <w:t>1套/3台</w:t>
            </w:r>
          </w:p>
        </w:tc>
        <w:tc>
          <w:tcPr>
            <w:tcW w:w="0" w:type="auto"/>
            <w:vAlign w:val="center"/>
          </w:tcPr>
          <w:p w14:paraId="34FD892A">
            <w:r>
              <w:t>防静电包装</w:t>
            </w:r>
          </w:p>
        </w:tc>
        <w:tc>
          <w:tcPr>
            <w:tcW w:w="0" w:type="auto"/>
            <w:vAlign w:val="center"/>
          </w:tcPr>
          <w:p w14:paraId="0C0694E6">
            <w:r>
              <w:t>配备防尘罩（IP65防护）</w:t>
            </w:r>
          </w:p>
        </w:tc>
      </w:tr>
      <w:tr w14:paraId="72302AAD">
        <w:tc>
          <w:tcPr>
            <w:tcW w:w="0" w:type="auto"/>
            <w:vAlign w:val="center"/>
          </w:tcPr>
          <w:p w14:paraId="6296ED7E">
            <w:r>
              <w:t>制动刹车片</w:t>
            </w:r>
          </w:p>
        </w:tc>
        <w:tc>
          <w:tcPr>
            <w:tcW w:w="0" w:type="auto"/>
            <w:vAlign w:val="center"/>
          </w:tcPr>
          <w:p w14:paraId="3520F5E3">
            <w:r>
              <w:t>5000次制动</w:t>
            </w:r>
          </w:p>
        </w:tc>
        <w:tc>
          <w:tcPr>
            <w:tcW w:w="0" w:type="auto"/>
            <w:vAlign w:val="center"/>
          </w:tcPr>
          <w:p w14:paraId="1D208DE8">
            <w:r>
              <w:t>4片/台</w:t>
            </w:r>
          </w:p>
        </w:tc>
        <w:tc>
          <w:tcPr>
            <w:tcW w:w="0" w:type="auto"/>
            <w:vAlign w:val="center"/>
          </w:tcPr>
          <w:p w14:paraId="7D65938B">
            <w:r>
              <w:t>相对湿度≤60%</w:t>
            </w:r>
          </w:p>
        </w:tc>
        <w:tc>
          <w:tcPr>
            <w:tcW w:w="0" w:type="auto"/>
            <w:vAlign w:val="center"/>
          </w:tcPr>
          <w:p w14:paraId="4A8648AF">
            <w:r>
              <w:t>摩擦系数≥0.4，适应重载制动</w:t>
            </w:r>
          </w:p>
        </w:tc>
      </w:tr>
      <w:tr w14:paraId="6A71EC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A4BD01B">
            <w:r>
              <w:t>滑触线碳刷</w:t>
            </w:r>
          </w:p>
        </w:tc>
        <w:tc>
          <w:tcPr>
            <w:tcW w:w="0" w:type="auto"/>
            <w:vAlign w:val="center"/>
          </w:tcPr>
          <w:p w14:paraId="1E1376E2">
            <w:r>
              <w:t>6个月</w:t>
            </w:r>
          </w:p>
        </w:tc>
        <w:tc>
          <w:tcPr>
            <w:tcW w:w="0" w:type="auto"/>
            <w:vAlign w:val="center"/>
          </w:tcPr>
          <w:p w14:paraId="4C42FA85">
            <w:r>
              <w:t>10个/台</w:t>
            </w:r>
          </w:p>
        </w:tc>
        <w:tc>
          <w:tcPr>
            <w:tcW w:w="0" w:type="auto"/>
            <w:vAlign w:val="center"/>
          </w:tcPr>
          <w:p w14:paraId="60F4CA93">
            <w:r>
              <w:t>干燥环境</w:t>
            </w:r>
          </w:p>
        </w:tc>
        <w:tc>
          <w:tcPr>
            <w:tcW w:w="0" w:type="auto"/>
            <w:vAlign w:val="center"/>
          </w:tcPr>
          <w:p w14:paraId="5118EE2D">
            <w:r>
              <w:t>含银5%，提高导电性与耐磨性</w:t>
            </w:r>
          </w:p>
        </w:tc>
      </w:tr>
      <w:tr w14:paraId="128613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112E636">
            <w:r>
              <w:t>PLC电池</w:t>
            </w:r>
          </w:p>
        </w:tc>
        <w:tc>
          <w:tcPr>
            <w:tcW w:w="0" w:type="auto"/>
            <w:vAlign w:val="center"/>
          </w:tcPr>
          <w:p w14:paraId="007B7CCC">
            <w:r>
              <w:t>5年</w:t>
            </w:r>
          </w:p>
        </w:tc>
        <w:tc>
          <w:tcPr>
            <w:tcW w:w="0" w:type="auto"/>
            <w:vAlign w:val="center"/>
          </w:tcPr>
          <w:p w14:paraId="1E58370E">
            <w:r>
              <w:t>1个/台</w:t>
            </w:r>
          </w:p>
        </w:tc>
        <w:tc>
          <w:tcPr>
            <w:tcW w:w="0" w:type="auto"/>
            <w:vAlign w:val="center"/>
          </w:tcPr>
          <w:p w14:paraId="1C78DFB0">
            <w:r>
              <w:t>常温保存</w:t>
            </w:r>
          </w:p>
        </w:tc>
        <w:tc>
          <w:tcPr>
            <w:tcW w:w="0" w:type="auto"/>
            <w:vAlign w:val="center"/>
          </w:tcPr>
          <w:p w14:paraId="5E8CADF6">
            <w:r>
              <w:t>电压≥3.6V，支持数据保持72小时</w:t>
            </w:r>
          </w:p>
        </w:tc>
      </w:tr>
    </w:tbl>
    <w:p w14:paraId="7070A413">
      <w:r>
        <w:rPr>
          <w:b/>
        </w:rPr>
        <w:t>库存管理措施</w:t>
      </w:r>
      <w:r>
        <w:t>：采用ERP系统实现备件信息化管理，设置库存预警阈值（如低于安全库存量的50%时自动报警），建立备件出入库登记制度，遵循“先进先出”原则，定期检查备件保质期（如电池每6个月检测电压）。</w:t>
      </w:r>
    </w:p>
    <w:p w14:paraId="5B9C0097">
      <w:r>
        <w:rPr>
          <w:b/>
        </w:rPr>
        <w:t>预测性维护策略</w:t>
      </w:r>
      <w:r>
        <w:t>：基于状态监测数据，提前识别潜在故障，主动安排维护，避免突发停机。</w:t>
      </w:r>
    </w:p>
    <w:p w14:paraId="39EA2294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振动监测预警</w:t>
      </w:r>
      <w:r>
        <w:t>：在电机、减速器安装振动传感器（采样频率1kHz），实时监测振动加速度（正常≤4.5mm/s），当出现异常频谱（如轴承故障频率）时触发预警，提前更换轴承；</w:t>
      </w:r>
    </w:p>
    <w:p w14:paraId="2F31B28A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温度趋势分析</w:t>
      </w:r>
      <w:r>
        <w:t>：通过热成像仪定期检测电气元件温度，绘制温度变化曲线（如接触器温度月增长&gt;5℃），识别早期过热隐患；</w:t>
      </w:r>
    </w:p>
    <w:p w14:paraId="53D99AE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磨损预测模型</w:t>
      </w:r>
      <w:r>
        <w:t>：基于驱动轮磨损量（初始直径D0，当前直径Dt）与运行时间t，建立磨损速率模型（v=(D0-Dt)/t），预测剩余寿命（T=(Dt-更换阈值)/v），提前采购备件。</w:t>
      </w:r>
    </w:p>
    <w:p w14:paraId="5C776ACF">
      <w:r>
        <w:rPr>
          <w:b/>
        </w:rPr>
        <w:t>典型故障预防案例</w:t>
      </w:r>
      <w:r>
        <w:t>：通过振动监测发现某RGV电机振动加速度升至5.2mm/s，频谱分析显示轴承内圈故障频率（230Hz），提前更换轴承，避免故障扩大导致的停机（预计节省维修时间8小时，减少生产损失约2万元）。</w:t>
      </w:r>
    </w:p>
    <w:p w14:paraId="57FCB103">
      <w:pPr>
        <w:pStyle w:val="3"/>
      </w:pPr>
      <w:r>
        <w:t>六、 结论与应用建议</w:t>
      </w:r>
    </w:p>
    <w:p w14:paraId="79852A86">
      <w:pPr>
        <w:pStyle w:val="4"/>
      </w:pPr>
      <w:r>
        <w:t>6.1 RGV设备在干变装配车间的应用价值总结</w:t>
      </w:r>
    </w:p>
    <w:p w14:paraId="2587A1E1">
      <w:r>
        <w:t>RGV设备通过精准、高效、稳定的物料转运能力，为干变装配车间带来显著的生产优化价值，具体体现在效率提升、精度保障与成本降低三个维度。</w:t>
      </w:r>
    </w:p>
    <w:p w14:paraId="4D0881D6">
      <w:r>
        <w:rPr>
          <w:b/>
        </w:rPr>
        <w:t>生产效率提升</w:t>
      </w:r>
      <w:r>
        <w:t>方面，RGV实现了物料转运的自动化与智能化，替代传统人工或叉车搬运，减少了工位等待时间与转运周期。在干变铁芯叠装工序中，RGV可按照生产节拍（如每30分钟转运1个铁芯）自动完成从叠装平台到起立翻转机的转运，较人工搬运效率提升40%以上；多车协同的环形轨道系统可实现多工位并行转运，系统整体吞吐量较单一线性转运提升2倍。某干变企业应用数据显示，引入RGV后，器身装配线的生产周期从8小时缩短至5.5小时，单日产能提升30%。</w:t>
      </w:r>
    </w:p>
    <w:p w14:paraId="1302DD8E">
      <w:r>
        <w:rPr>
          <w:b/>
        </w:rPr>
        <w:t>装配精度保障</w:t>
      </w:r>
      <w:r>
        <w:t>方面，RGV的毫米级定位能力（±2mm）确保了重型部件的精准对接，降低了装配误差。例如，在变压器器身与油箱装配时，RGV通过液压顶升机构调整高度，使器身与油箱定位销孔对齐误差≤0.5mm，避免人工对接导致的铁芯倾斜（传统误差&gt;2mm），提升产品电气性能（空载损耗降低3%-5%）。定位系统的冗余设计（条码带+编码器+激光校准）确保了在粉尘、振动环境下的定位稳定性，定位成功率≥99.9%，远高于人工操作的95%。</w:t>
      </w:r>
    </w:p>
    <w:p w14:paraId="2F33767A">
      <w:r>
        <w:rPr>
          <w:b/>
        </w:rPr>
        <w:t>综合成本降低</w:t>
      </w:r>
      <w:r>
        <w:t>方面，RGV通过减少人工投入、降低故障率与延长设备寿命，实现长期成本优化。人工成本方面，1台RGV可替代2-3名搬运工人，年节省人工成本15-20万元；维护成本方面，RGV结构简单（标准化部件占比&gt;80%），年运维成本约为设备原值的5%-8%，低于AGV的10%-15%；设备寿命方面，RGV设计寿命10年，通过科学维护可延长至12年，较叉车（寿命5年）更具长期经济性。此外，RGV的运行能耗较低（空载功率&lt;1kW，满载功率&lt;3kW），年耗电量约2万度，较同等负载的叉车（年耗电量3.5万度）节能40%。</w:t>
      </w:r>
    </w:p>
    <w:p w14:paraId="21F33401">
      <w:pPr>
        <w:pStyle w:val="4"/>
      </w:pPr>
      <w:r>
        <w:t>6.2 设备管理优化方向</w:t>
      </w:r>
    </w:p>
    <w:p w14:paraId="1799E238">
      <w:r>
        <w:t>针对干变装配车间的生产特性与RGV设备特点，从轨道布局、智能化升级、人员培训三个维度提出设备管理优化建议，进一步发挥RGV的应用价值。</w:t>
      </w:r>
    </w:p>
    <w:p w14:paraId="3F983B0A">
      <w:r>
        <w:rPr>
          <w:b/>
        </w:rPr>
        <w:t>轨道布局与产线适配优化</w:t>
      </w:r>
      <w:r>
        <w:t>：</w:t>
      </w:r>
    </w:p>
    <w:p w14:paraId="64EDFBD4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刚性匹配产线流程</w:t>
      </w:r>
      <w:r>
        <w:t>：根据干变生产工艺（铁芯叠装→绕组套装→器身装配→干燥→总装），设计“U型”或“L型”轨道布局，使RGV路径与工序顺序一致，减少无效往返（如从“铁芯区→绕组区→器身区”单向流转）；关键工位设置避让轨道（长度≥2倍车长），避免多车等待导致的效率损失；</w:t>
      </w:r>
    </w:p>
    <w:p w14:paraId="515F7A8D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轨道安装精度控制</w:t>
      </w:r>
      <w:r>
        <w:t>：施工时采用激光投线仪定位，确保轨道直线度误差≤0.3mm/m，接缝高低差≤0.5mm；轨道基础采用混凝土浇筑（厚度≥200mm，标号C30），预埋膨胀螺栓（间距1.5m），防止地面沉降导致轨道变形；</w:t>
      </w:r>
    </w:p>
    <w:p w14:paraId="559308AB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环境适应性改造</w:t>
      </w:r>
      <w:r>
        <w:t>：在粉尘密集区域（如铁芯加工区），轨道加装防尘盖板（铝合金材质，厚度2mm），定期使用压缩空气吹扫轨道槽内粉尘；高温区域（如干燥炉附近）的轨道采用耐高温钢材（如310S不锈钢），滑触线选用钢体滑触线（耐温≥200℃）。</w:t>
      </w:r>
    </w:p>
    <w:p w14:paraId="0C4BA4AF">
      <w:r>
        <w:rPr>
          <w:b/>
        </w:rPr>
        <w:t>智能化监测与管理系统升级</w:t>
      </w:r>
      <w:r>
        <w:t>：</w:t>
      </w:r>
    </w:p>
    <w:p w14:paraId="04E40FA7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数据采集与分析平台</w:t>
      </w:r>
      <w:r>
        <w:t>：在RGV加装电流、温度、振动传感器，通过工业以太网（Profinet协议）将实时数据上传至MES系统，建立设备状态监控大屏，显示关键指标（如“当前在线3台RGV，任务完成率98%，故障预警0项”）；</w:t>
      </w:r>
    </w:p>
    <w:p w14:paraId="794ED625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预测性维护系统开发</w:t>
      </w:r>
      <w:r>
        <w:t>：基于历史故障数据与实时监测数据，训练故障预测模型（如通过机器学习算法识别振动频谱特征与故障类型的关联关系），实现“状态监测→故障预警→维护工单”的闭环管理；</w:t>
      </w:r>
    </w:p>
    <w:p w14:paraId="184838BB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与MES系统深度融合</w:t>
      </w:r>
      <w:r>
        <w:t>：RGV任务调度纳入MES生产计划，根据工单优先级（如急件生产标记“P0级”）自动调整运行顺序；RGV运行数据（转运次数、故障率）反馈至MES，用于产能分析（如“RGV利用率85%，当前产能瓶颈为器身装配工位”），优化生产排程。</w:t>
      </w:r>
    </w:p>
    <w:p w14:paraId="283D5259">
      <w:r>
        <w:rPr>
          <w:b/>
        </w:rPr>
        <w:t>维护团队能力建设</w:t>
      </w:r>
      <w:r>
        <w:t>：</w:t>
      </w:r>
    </w:p>
    <w:p w14:paraId="1E0024BF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技能培训体系构建</w:t>
      </w:r>
      <w:r>
        <w:t>：编制《RGV设备维护培训教材》，内容涵盖机械原理（驱动、制动系统）、控制原理（PLC、定位系统）、故障诊断（工具使用、流程）；每月开展实操培训（如“驱动轮更换与校准”“条码带粘贴与读码器调试”），考核合格后方可上岗；</w:t>
      </w:r>
    </w:p>
    <w:p w14:paraId="5462DD59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维护标准作业程序（SOP）制定</w:t>
      </w:r>
      <w:r>
        <w:t>：针对常见故障（如定位偏差、电机过热）编制《故障处理SOP》，明确“现象→原因→处理步骤→验证方法”，例如“定位偏差超差”SOP：①清洁条码带→②校准读码器→③检查编码器→④激光校准；</w:t>
      </w:r>
    </w:p>
    <w:p w14:paraId="6A418300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外部技术资源整合</w:t>
      </w:r>
      <w:r>
        <w:t>：与RGV设备厂家签订“维保协议”，获取专业技术支持（如年度深度检修、疑难故障会诊）；加入行业技术交流群，分享维护经验（如“干变车间RGV防尘改造案例”），学习先进管理方法。</w:t>
      </w:r>
    </w:p>
    <w:p w14:paraId="53DFC23A">
      <w:r>
        <w:t>通过上述优化措施，可使RGV设备的综合效率提升15%-20%，故障率降低30%，进一步支撑干变装配车间的自动化、智能化升级。</w:t>
      </w:r>
    </w:p>
    <w:p w14:paraId="5B2D23B2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DD9F53"/>
    <w:multiLevelType w:val="singleLevel"/>
    <w:tmpl w:val="97DD9F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FCF4D9D"/>
    <w:multiLevelType w:val="singleLevel"/>
    <w:tmpl w:val="9FCF4D9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15E7EAB"/>
    <w:multiLevelType w:val="singleLevel"/>
    <w:tmpl w:val="A15E7EA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5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6">
    <w:nsid w:val="DC5F48F1"/>
    <w:multiLevelType w:val="singleLevel"/>
    <w:tmpl w:val="DC5F48F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E7E7B708"/>
    <w:multiLevelType w:val="singleLevel"/>
    <w:tmpl w:val="E7E7B7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E98991EA"/>
    <w:multiLevelType w:val="singleLevel"/>
    <w:tmpl w:val="E98991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0">
    <w:nsid w:val="FBD7B9CD"/>
    <w:multiLevelType w:val="singleLevel"/>
    <w:tmpl w:val="FBD7B9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FBD7C7F1"/>
    <w:multiLevelType w:val="singleLevel"/>
    <w:tmpl w:val="FBD7C7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FBFED7B5"/>
    <w:multiLevelType w:val="singleLevel"/>
    <w:tmpl w:val="FBFED7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4">
    <w:nsid w:val="FEFF328A"/>
    <w:multiLevelType w:val="singleLevel"/>
    <w:tmpl w:val="FEFF32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0">
    <w:nsid w:val="3EEC19DD"/>
    <w:multiLevelType w:val="singleLevel"/>
    <w:tmpl w:val="3EEC19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22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19"/>
  </w:num>
  <w:num w:numId="2">
    <w:abstractNumId w:val="22"/>
  </w:num>
  <w:num w:numId="3">
    <w:abstractNumId w:val="4"/>
  </w:num>
  <w:num w:numId="4">
    <w:abstractNumId w:val="17"/>
  </w:num>
  <w:num w:numId="5">
    <w:abstractNumId w:val="13"/>
  </w:num>
  <w:num w:numId="6">
    <w:abstractNumId w:val="21"/>
  </w:num>
  <w:num w:numId="7">
    <w:abstractNumId w:val="9"/>
  </w:num>
  <w:num w:numId="8">
    <w:abstractNumId w:val="18"/>
  </w:num>
  <w:num w:numId="9">
    <w:abstractNumId w:val="15"/>
  </w:num>
  <w:num w:numId="10">
    <w:abstractNumId w:val="16"/>
  </w:num>
  <w:num w:numId="11">
    <w:abstractNumId w:val="5"/>
  </w:num>
  <w:num w:numId="12">
    <w:abstractNumId w:val="3"/>
  </w:num>
  <w:num w:numId="13">
    <w:abstractNumId w:val="20"/>
  </w:num>
  <w:num w:numId="14">
    <w:abstractNumId w:val="6"/>
  </w:num>
  <w:num w:numId="15">
    <w:abstractNumId w:val="1"/>
  </w:num>
  <w:num w:numId="16">
    <w:abstractNumId w:val="2"/>
  </w:num>
  <w:num w:numId="17">
    <w:abstractNumId w:val="12"/>
  </w:num>
  <w:num w:numId="18">
    <w:abstractNumId w:val="14"/>
  </w:num>
  <w:num w:numId="19">
    <w:abstractNumId w:val="10"/>
  </w:num>
  <w:num w:numId="20">
    <w:abstractNumId w:val="8"/>
  </w:num>
  <w:num w:numId="21">
    <w:abstractNumId w:val="0"/>
  </w:num>
  <w:num w:numId="22">
    <w:abstractNumId w:val="7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573220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1DFCEC2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2025-10-06T22:28:30Z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6D726E21E1E132590ED2E368968A6D83_43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