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28E0B">
      <w:pPr>
        <w:pStyle w:val="2"/>
      </w:pPr>
    </w:p>
    <w:p w14:paraId="73B213A9">
      <w:pPr>
        <w:pStyle w:val="2"/>
      </w:pPr>
      <w:r>
        <w:t>干变装配车间变压器装配线移载车技术手册</w:t>
      </w:r>
    </w:p>
    <w:p w14:paraId="5D7C83F6">
      <w:pPr>
        <w:pStyle w:val="3"/>
      </w:pPr>
      <w:r>
        <w:t>一、概述</w:t>
      </w:r>
    </w:p>
    <w:p w14:paraId="69A7C54A">
      <w:pPr>
        <w:pStyle w:val="4"/>
      </w:pPr>
      <w:r>
        <w:t>1.1 移载车的定义与应用场景</w:t>
      </w:r>
    </w:p>
    <w:p w14:paraId="5D003410">
      <w:r>
        <w:t>干变装配车间变压器装配线移载车（以下简称“移载车”）是一种集成机械结构与自动化控制技术的重型物料转运设备，主要用于干式变压器装配过程中铁芯、线圈、器身等重型部件（重量通常为1-5吨）在各装配工位间的精准转运。其核心功能包括承载固定、路径导航、精确定位及与装配线设备的自动对接，是实现变压器装配流程连续化、智能化的关键设备。</w:t>
      </w:r>
    </w:p>
    <w:p w14:paraId="6E7E2570">
      <w:r>
        <w:t>在干式变压器装配线布局中，移载车通常沿预设轨道（RGV）或柔性路径（AGV）运行，串联铁芯预装工位、线圈套装工位、器身整理工位及检测工位。例如，在典型的“U型”装配线布局中，移载车从铁芯存放区取料后，依次转运至线圈套装工位完成铁芯与线圈的组合，再转运至器身整理工位进行绝缘件装配，最终送至检测区域。其应用场景需满足车间内多工位协同、重载启停频繁、定位精度要求高（±2mm以内）等特点，有效替代传统行车吊装方式，降低人工干预，提升装配效率约40%。</w:t>
      </w:r>
    </w:p>
    <w:p w14:paraId="44DC37FF">
      <w:pPr>
        <w:pStyle w:val="4"/>
      </w:pPr>
      <w:r>
        <w:t>1.2 技术手册的编写目的与使用范围</w:t>
      </w:r>
    </w:p>
    <w:p w14:paraId="6D1BCB6A">
      <w:pPr>
        <w:pStyle w:val="5"/>
      </w:pPr>
      <w:r>
        <w:t>编写目的</w:t>
      </w:r>
    </w:p>
    <w:p w14:paraId="144EFF25">
      <w:r>
        <w:t>本手册旨在为设备工程师、技术维护人员提供移载车全生命周期管理的技术指导，具体包括：</w:t>
      </w:r>
    </w:p>
    <w:p w14:paraId="11C8BF2D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明确移载车的结构组成与工作原理，帮助工程师快速掌握设备特性；</w:t>
      </w:r>
    </w:p>
    <w:p w14:paraId="2C75AEAF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提供故障诊断与维护的标准化流程，降低故障处理时间；</w:t>
      </w:r>
    </w:p>
    <w:p w14:paraId="599C94A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规范预防性维护策略，延长设备使用寿命，保障装配线连续运行。</w:t>
      </w:r>
    </w:p>
    <w:p w14:paraId="76F38E5B">
      <w:pPr>
        <w:pStyle w:val="5"/>
      </w:pPr>
      <w:r>
        <w:t>使用范围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120AC5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98E935C">
            <w:pPr>
              <w:jc w:val="center"/>
              <w:rPr>
                <w:b/>
              </w:rPr>
            </w:pPr>
            <w:r>
              <w:rPr>
                <w:b/>
              </w:rPr>
              <w:t>适用设备类型</w:t>
            </w:r>
          </w:p>
        </w:tc>
        <w:tc>
          <w:tcPr>
            <w:tcW w:w="0" w:type="auto"/>
            <w:vAlign w:val="center"/>
          </w:tcPr>
          <w:p w14:paraId="13E96B57">
            <w:pPr>
              <w:jc w:val="center"/>
              <w:rPr>
                <w:b/>
              </w:rPr>
            </w:pPr>
            <w:r>
              <w:rPr>
                <w:b/>
              </w:rPr>
              <w:t>适用场景</w:t>
            </w:r>
          </w:p>
        </w:tc>
        <w:tc>
          <w:tcPr>
            <w:tcW w:w="0" w:type="auto"/>
            <w:vAlign w:val="center"/>
          </w:tcPr>
          <w:p w14:paraId="7A678295">
            <w:pPr>
              <w:jc w:val="center"/>
              <w:rPr>
                <w:b/>
              </w:rPr>
            </w:pPr>
            <w:r>
              <w:rPr>
                <w:b/>
              </w:rPr>
              <w:t>读者范围</w:t>
            </w:r>
          </w:p>
        </w:tc>
      </w:tr>
      <w:tr w14:paraId="22BC8E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F051AF8">
            <w:r>
              <w:t>重载伺服RGV</w:t>
            </w:r>
          </w:p>
        </w:tc>
        <w:tc>
          <w:tcPr>
            <w:tcW w:w="0" w:type="auto"/>
            <w:vAlign w:val="center"/>
          </w:tcPr>
          <w:p w14:paraId="056AA05B">
            <w:r>
              <w:t>固定轨道式变压器装配线</w:t>
            </w:r>
          </w:p>
        </w:tc>
        <w:tc>
          <w:tcPr>
            <w:tcW w:w="0" w:type="auto"/>
            <w:vAlign w:val="center"/>
          </w:tcPr>
          <w:p w14:paraId="32F2F2EC">
            <w:r>
              <w:t>设备工程师、维修技师</w:t>
            </w:r>
          </w:p>
        </w:tc>
      </w:tr>
      <w:tr w14:paraId="198E18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D779EB5">
            <w:r>
              <w:t>AGV（自动导引车）</w:t>
            </w:r>
          </w:p>
        </w:tc>
        <w:tc>
          <w:tcPr>
            <w:tcW w:w="0" w:type="auto"/>
            <w:vAlign w:val="center"/>
          </w:tcPr>
          <w:p w14:paraId="030EBC39">
            <w:r>
              <w:t>柔性布局装配线、多品种混线生产</w:t>
            </w:r>
          </w:p>
        </w:tc>
        <w:tc>
          <w:tcPr>
            <w:tcW w:w="0" w:type="auto"/>
            <w:vAlign w:val="center"/>
          </w:tcPr>
          <w:p w14:paraId="6517F377">
            <w:r>
              <w:t>电气工程师、调度管理人员</w:t>
            </w:r>
          </w:p>
        </w:tc>
      </w:tr>
      <w:tr w14:paraId="46930788">
        <w:tc>
          <w:tcPr>
            <w:tcW w:w="0" w:type="auto"/>
            <w:vAlign w:val="center"/>
          </w:tcPr>
          <w:p w14:paraId="3A92F509">
            <w:r>
              <w:t>手动/电动移载车</w:t>
            </w:r>
          </w:p>
        </w:tc>
        <w:tc>
          <w:tcPr>
            <w:tcW w:w="0" w:type="auto"/>
            <w:vAlign w:val="center"/>
          </w:tcPr>
          <w:p w14:paraId="45B3F7C8">
            <w:r>
              <w:t>小型变压器装配线、临时转运任务</w:t>
            </w:r>
          </w:p>
        </w:tc>
        <w:tc>
          <w:tcPr>
            <w:tcW w:w="0" w:type="auto"/>
            <w:vAlign w:val="center"/>
          </w:tcPr>
          <w:p w14:paraId="398E30C9">
            <w:r>
              <w:t>操作工人、初级维护人员</w:t>
            </w:r>
          </w:p>
        </w:tc>
      </w:tr>
    </w:tbl>
    <w:p w14:paraId="664E96C8">
      <w:r>
        <w:t>本手册内容基于行业主流技术规范及专利技术（如山东齐林电力、江苏苏变等企业的结构设计），不适用于定制化特殊型号移载车，具体差异需结合设备制造商提供的技术文档补充。</w:t>
      </w:r>
    </w:p>
    <w:p w14:paraId="1CA531F3">
      <w:pPr>
        <w:pStyle w:val="3"/>
      </w:pPr>
      <w:r>
        <w:t>二、结构组成与功能特点</w:t>
      </w:r>
    </w:p>
    <w:p w14:paraId="1D120F71">
      <w:pPr>
        <w:pStyle w:val="4"/>
      </w:pPr>
      <w:r>
        <w:t>2.1 车架系统结构与承载设计</w:t>
      </w:r>
    </w:p>
    <w:p w14:paraId="7CF6FC39">
      <w:r>
        <w:t>车架系统是移载车的核心承载部件，采用型钢焊接框架结构，以Q235B型钢为主要材料，通过CO₂气体保护焊工艺焊接成型，确保整体刚性。其典型结构包括：</w:t>
      </w:r>
    </w:p>
    <w:p w14:paraId="02F2B6C6">
      <w:pPr>
        <w:pStyle w:val="5"/>
      </w:pPr>
      <w:r>
        <w:t>基础承载单元</w:t>
      </w:r>
    </w:p>
    <w:p w14:paraId="4F4D8CC0">
      <w:r>
        <w:t>由相对立的第一立板和第二立板组成“脚轮立板结构”，立板厚度≥12mm，中部水平焊接脚轮平板（厚度10mm），用于支撑变压器部件。顶部设置固定结构，包含1个长固定栓（M20×150mm）和2个短固定栓（M16×80mm），分别对应设备底部四角的定位孔，通过螺栓预紧力（推荐扭矩35-40N·m）实现工件紧固，防止转运过程中晃动。</w:t>
      </w:r>
    </w:p>
    <w:p w14:paraId="211B90FB">
      <w:pPr>
        <w:pStyle w:val="5"/>
      </w:pPr>
      <w:r>
        <w:t>吊杆组件</w:t>
      </w:r>
    </w:p>
    <w:p w14:paraId="663A1EA6">
      <w:r>
        <w:t>部分车型配备吊杆立板结构，由第三立板、第四立板（厚度10mm）及吊杆平板（厚度12mm）组成，顶部焊接三件式钩板（材质45号钢，表面淬火处理HRC40-45），用于配合液压千斤顶实现变压器的快速装拆。钩板开口尺寸与千斤顶吊环匹配（直径≥50mm），确保吊装过程中受力均匀。</w:t>
      </w:r>
    </w:p>
    <w:p w14:paraId="7A4792B9">
      <w:pPr>
        <w:pStyle w:val="5"/>
      </w:pPr>
      <w:r>
        <w:t>结构强化设计</w:t>
      </w:r>
    </w:p>
    <w:p w14:paraId="4DE78002">
      <w:r>
        <w:t>为提升承载能力（设计载重5吨以上），车架关键部位设置加强筋（截面80×8mm），焊接后进行退火处理消除内应力，整体挠度控制在L/5000（L为车架长度）以内。焊接节点进行渗透检测（PT），确保无裂纹、气孔等缺陷，符合JB/T 10825-2008《焊接结构用铸钢件》标准要求。</w:t>
      </w:r>
    </w:p>
    <w:p w14:paraId="733FFC74">
      <w:pPr>
        <w:pStyle w:val="4"/>
      </w:pPr>
      <w:r>
        <w:t>2.2 行走机构组成与轮系配置</w:t>
      </w:r>
    </w:p>
    <w:p w14:paraId="7472DA4C">
      <w:r>
        <w:t>行走机构承担移载车的移动功能，由轮系、轮轴及导向组件构成，根据载重等级分为以下配置：</w:t>
      </w:r>
    </w:p>
    <w:p w14:paraId="7FE25428">
      <w:pPr>
        <w:pStyle w:val="5"/>
      </w:pPr>
      <w:r>
        <w:t>轮系核心组件</w:t>
      </w:r>
    </w:p>
    <w:p w14:paraId="4CBDC9C0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驱动轮</w:t>
      </w:r>
      <w:r>
        <w:t>：采用双滑轮组设计，每个脚轮单元底部安装两组直径200-300mm的滑轮，轮面材质为高强度聚氨酯（邵氏硬度90±5A），轮轴选用40CrNiMoA合金钢，通过圆锥滚子轴承（型号30210）与车架立板连接，额定动载荷≥50kN。</w:t>
      </w:r>
    </w:p>
    <w:p w14:paraId="15DAF02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万向轮</w:t>
      </w:r>
      <w:r>
        <w:t>：辅助转向轮，采用带双轴承的万向结构，安装于车架四角，可实现360°旋转，最小转向阻力≤50N。</w:t>
      </w:r>
    </w:p>
    <w:p w14:paraId="20835C52">
      <w:pPr>
        <w:pStyle w:val="5"/>
      </w:pPr>
      <w:r>
        <w:t>轮系配置对比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252938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DF2B696">
            <w:pPr>
              <w:jc w:val="center"/>
              <w:rPr>
                <w:b/>
              </w:rPr>
            </w:pPr>
            <w:r>
              <w:rPr>
                <w:b/>
              </w:rPr>
              <w:t>轮系类型</w:t>
            </w:r>
          </w:p>
        </w:tc>
        <w:tc>
          <w:tcPr>
            <w:tcW w:w="0" w:type="auto"/>
            <w:vAlign w:val="center"/>
          </w:tcPr>
          <w:p w14:paraId="25AD4E30">
            <w:pPr>
              <w:jc w:val="center"/>
              <w:rPr>
                <w:b/>
              </w:rPr>
            </w:pPr>
            <w:r>
              <w:rPr>
                <w:b/>
              </w:rPr>
              <w:t>配置方案</w:t>
            </w:r>
          </w:p>
        </w:tc>
        <w:tc>
          <w:tcPr>
            <w:tcW w:w="0" w:type="auto"/>
            <w:vAlign w:val="center"/>
          </w:tcPr>
          <w:p w14:paraId="016D1169">
            <w:pPr>
              <w:jc w:val="center"/>
              <w:rPr>
                <w:b/>
              </w:rPr>
            </w:pPr>
            <w:r>
              <w:rPr>
                <w:b/>
              </w:rPr>
              <w:t>适用工况</w:t>
            </w:r>
          </w:p>
        </w:tc>
        <w:tc>
          <w:tcPr>
            <w:tcW w:w="0" w:type="auto"/>
            <w:vAlign w:val="center"/>
          </w:tcPr>
          <w:p w14:paraId="3AF8AF8F">
            <w:pPr>
              <w:jc w:val="center"/>
              <w:rPr>
                <w:b/>
              </w:rPr>
            </w:pPr>
            <w:r>
              <w:rPr>
                <w:b/>
              </w:rPr>
              <w:t>优势特点</w:t>
            </w:r>
          </w:p>
        </w:tc>
      </w:tr>
      <w:tr w14:paraId="6E22A4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9F9B67C">
            <w:r>
              <w:t>4轮配置</w:t>
            </w:r>
          </w:p>
        </w:tc>
        <w:tc>
          <w:tcPr>
            <w:tcW w:w="0" w:type="auto"/>
            <w:vAlign w:val="center"/>
          </w:tcPr>
          <w:p w14:paraId="3CE6974A">
            <w:r>
              <w:t>2驱动轮+2万向轮</w:t>
            </w:r>
          </w:p>
        </w:tc>
        <w:tc>
          <w:tcPr>
            <w:tcW w:w="0" w:type="auto"/>
            <w:vAlign w:val="center"/>
          </w:tcPr>
          <w:p w14:paraId="6A972AA1">
            <w:r>
              <w:t>载重≤2吨、路径简单（直线为主）</w:t>
            </w:r>
          </w:p>
        </w:tc>
        <w:tc>
          <w:tcPr>
            <w:tcW w:w="0" w:type="auto"/>
            <w:vAlign w:val="center"/>
          </w:tcPr>
          <w:p w14:paraId="2FF028FA">
            <w:r>
              <w:t>结构轻便，维护成本低</w:t>
            </w:r>
          </w:p>
        </w:tc>
      </w:tr>
      <w:tr w14:paraId="739EED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3E8D6AE">
            <w:r>
              <w:t>6轮配置</w:t>
            </w:r>
          </w:p>
        </w:tc>
        <w:tc>
          <w:tcPr>
            <w:tcW w:w="0" w:type="auto"/>
            <w:vAlign w:val="center"/>
          </w:tcPr>
          <w:p w14:paraId="2530F019">
            <w:r>
              <w:t>4驱动轮+2万向轮</w:t>
            </w:r>
          </w:p>
        </w:tc>
        <w:tc>
          <w:tcPr>
            <w:tcW w:w="0" w:type="auto"/>
            <w:vAlign w:val="center"/>
          </w:tcPr>
          <w:p w14:paraId="6D8B65FB">
            <w:r>
              <w:t>载重2-5吨、频繁启停</w:t>
            </w:r>
          </w:p>
        </w:tc>
        <w:tc>
          <w:tcPr>
            <w:tcW w:w="0" w:type="auto"/>
            <w:vAlign w:val="center"/>
          </w:tcPr>
          <w:p w14:paraId="24234789">
            <w:r>
              <w:t>载荷分布均匀，制动稳定性好</w:t>
            </w:r>
          </w:p>
        </w:tc>
      </w:tr>
      <w:tr w14:paraId="01E95BD3">
        <w:tc>
          <w:tcPr>
            <w:tcW w:w="0" w:type="auto"/>
            <w:vAlign w:val="center"/>
          </w:tcPr>
          <w:p w14:paraId="02109BD1">
            <w:r>
              <w:t>8轮配置</w:t>
            </w:r>
          </w:p>
        </w:tc>
        <w:tc>
          <w:tcPr>
            <w:tcW w:w="0" w:type="auto"/>
            <w:vAlign w:val="center"/>
          </w:tcPr>
          <w:p w14:paraId="488194B9">
            <w:r>
              <w:t>4驱动轮+4万向轮</w:t>
            </w:r>
          </w:p>
        </w:tc>
        <w:tc>
          <w:tcPr>
            <w:tcW w:w="0" w:type="auto"/>
            <w:vAlign w:val="center"/>
          </w:tcPr>
          <w:p w14:paraId="3B4A2AE8">
            <w:r>
              <w:t>载重＞5吨、地面不平整车间</w:t>
            </w:r>
          </w:p>
        </w:tc>
        <w:tc>
          <w:tcPr>
            <w:tcW w:w="0" w:type="auto"/>
            <w:vAlign w:val="center"/>
          </w:tcPr>
          <w:p w14:paraId="4DA6C3CF">
            <w:r>
              <w:t>接地比压小（≤0.1MPa），通过性强</w:t>
            </w:r>
          </w:p>
        </w:tc>
      </w:tr>
    </w:tbl>
    <w:p w14:paraId="1C8FA0AF">
      <w:pPr>
        <w:pStyle w:val="5"/>
      </w:pPr>
      <w:r>
        <w:t>导向轮组</w:t>
      </w:r>
    </w:p>
    <w:p w14:paraId="276A7616">
      <w:r>
        <w:t>部分移载车在车架两侧安装导向轮组，轮径80mm，轮缘高度15mm，与轨道侧面间隙控制在2-3mm，用于纠正行驶偏差，确保直线运动精度（每米偏差≤0.5mm）。</w:t>
      </w:r>
    </w:p>
    <w:p w14:paraId="203D639F">
      <w:pPr>
        <w:pStyle w:val="4"/>
      </w:pPr>
      <w:r>
        <w:t>2.3 移载装置核心部件与功能实现</w:t>
      </w:r>
    </w:p>
    <w:p w14:paraId="0B6E54AD">
      <w:r>
        <w:t>移载装置是实现变压器部件位置转换的关键机构，通过机械调节与电气控制协同工作，核心部件包括调节机构、升降组件和平移组件：</w:t>
      </w:r>
    </w:p>
    <w:p w14:paraId="741218F9">
      <w:pPr>
        <w:pStyle w:val="5"/>
      </w:pPr>
      <w:r>
        <w:t>调节机构</w:t>
      </w:r>
    </w:p>
    <w:p w14:paraId="5E6098E6">
      <w:r>
        <w:t>采用T形件与齿杆传动设计，吊架两端连接T形件（材质6061铝合金），底部固定带镂空条的T形杆，齿杆与T形杆啮合，通过伺服电机驱动齿杆直线运动，带动移载平台升降。当齿杆移动10mm时，平台升降高度为5mm，传动比1:0.5，定位精度±0.5mm。</w:t>
      </w:r>
    </w:p>
    <w:p w14:paraId="02714AB7">
      <w:pPr>
        <w:pStyle w:val="5"/>
      </w:pPr>
      <w:r>
        <w:t>升降组件</w:t>
      </w:r>
    </w:p>
    <w:p w14:paraId="16B1C054">
      <w:r>
        <w:t>重载车型采用“吊杆组件+千斤顶”组合方案，吊杆立板结构由第三立板、第四立板（厚度10mm）焊接而成，顶部焊接三件式钩板，配合5吨级液压千斤顶实现变压器的竖直方向调整，升降行程0-300mm，速度5-10mm/s。轻载车型则采用气缸驱动，单作用缸直径100mm，工作压力0.6-0.8MPa，无杆腔推力≥4700N。</w:t>
      </w:r>
    </w:p>
    <w:p w14:paraId="57E6AC62">
      <w:pPr>
        <w:pStyle w:val="5"/>
      </w:pPr>
      <w:r>
        <w:t>平移组件</w:t>
      </w:r>
    </w:p>
    <w:p w14:paraId="600C0EC6">
      <w:r>
        <w:t>实现工件在Y轴方向的横向移动，由伺服电机、同步带轮及抽拉平台组成。电机选用1.5kW伺服电机（型号SV-M015A），通过减速器（减速比10:1）驱动同步带轮，带动抽拉平台沿导轨滑动，行程0-800mm，最大速度0.5m/s，定位误差≤±1mm。平台表面铺设防滑橡胶垫（厚度5mm），摩擦系数≥0.8，防止工件滑动。</w:t>
      </w:r>
    </w:p>
    <w:p w14:paraId="10F2DA00">
      <w:pPr>
        <w:pStyle w:val="5"/>
      </w:pPr>
      <w:r>
        <w:t>动作流程（以铁芯转运为例）</w:t>
      </w:r>
    </w:p>
    <w:p w14:paraId="518CB039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移载车行驶至取料工位，升降组件下降至铁芯托盘底部；</w:t>
      </w:r>
    </w:p>
    <w:p w14:paraId="3CDE41B4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调节机构通过齿杆传动将平台升起，使铁芯脱离托盘（升起高度20mm）；</w:t>
      </w:r>
    </w:p>
    <w:p w14:paraId="201559B9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平移组件启动，将铁芯横向推送至装配位置（位移300mm）；</w:t>
      </w:r>
    </w:p>
    <w:p w14:paraId="218B7601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升降组件下降，完成铁芯放置，平台复位。</w:t>
      </w:r>
    </w:p>
    <w:p w14:paraId="51779CCE">
      <w:pPr>
        <w:pStyle w:val="4"/>
      </w:pPr>
      <w:r>
        <w:t>2.4 主要技术参数与性能指标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489E9D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F9B3628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7055A5F7">
            <w:pPr>
              <w:jc w:val="center"/>
              <w:rPr>
                <w:b/>
              </w:rPr>
            </w:pPr>
            <w:r>
              <w:rPr>
                <w:b/>
              </w:rPr>
              <w:t>重载伺服RGV</w:t>
            </w:r>
          </w:p>
        </w:tc>
        <w:tc>
          <w:tcPr>
            <w:tcW w:w="0" w:type="auto"/>
            <w:vAlign w:val="center"/>
          </w:tcPr>
          <w:p w14:paraId="7DAF67F1">
            <w:pPr>
              <w:jc w:val="center"/>
              <w:rPr>
                <w:b/>
              </w:rPr>
            </w:pPr>
            <w:r>
              <w:rPr>
                <w:b/>
              </w:rPr>
              <w:t>AGV（自动导引车）</w:t>
            </w:r>
          </w:p>
        </w:tc>
        <w:tc>
          <w:tcPr>
            <w:tcW w:w="0" w:type="auto"/>
            <w:vAlign w:val="center"/>
          </w:tcPr>
          <w:p w14:paraId="638C373E">
            <w:pPr>
              <w:jc w:val="center"/>
              <w:rPr>
                <w:b/>
              </w:rPr>
            </w:pPr>
            <w:r>
              <w:rPr>
                <w:b/>
              </w:rPr>
              <w:t>手动移载车</w:t>
            </w:r>
          </w:p>
        </w:tc>
      </w:tr>
      <w:tr w14:paraId="3455BF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8EFDC86">
            <w:r>
              <w:t>额定载重</w:t>
            </w:r>
          </w:p>
        </w:tc>
        <w:tc>
          <w:tcPr>
            <w:tcW w:w="0" w:type="auto"/>
            <w:vAlign w:val="center"/>
          </w:tcPr>
          <w:p w14:paraId="075A5D79">
            <w:r>
              <w:t>5-10吨</w:t>
            </w:r>
          </w:p>
        </w:tc>
        <w:tc>
          <w:tcPr>
            <w:tcW w:w="0" w:type="auto"/>
            <w:vAlign w:val="center"/>
          </w:tcPr>
          <w:p w14:paraId="65705CCD">
            <w:r>
              <w:t>0.5-3吨</w:t>
            </w:r>
          </w:p>
        </w:tc>
        <w:tc>
          <w:tcPr>
            <w:tcW w:w="0" w:type="auto"/>
            <w:vAlign w:val="center"/>
          </w:tcPr>
          <w:p w14:paraId="34CE3576">
            <w:r>
              <w:t>0.5-2吨</w:t>
            </w:r>
          </w:p>
        </w:tc>
      </w:tr>
      <w:tr w14:paraId="678973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A9CDC68">
            <w:r>
              <w:t>运行速度</w:t>
            </w:r>
          </w:p>
        </w:tc>
        <w:tc>
          <w:tcPr>
            <w:tcW w:w="0" w:type="auto"/>
            <w:vAlign w:val="center"/>
          </w:tcPr>
          <w:p w14:paraId="590AE0C3">
            <w:r>
              <w:t>0.5-1.5m/s</w:t>
            </w:r>
          </w:p>
        </w:tc>
        <w:tc>
          <w:tcPr>
            <w:tcW w:w="0" w:type="auto"/>
            <w:vAlign w:val="center"/>
          </w:tcPr>
          <w:p w14:paraId="2E03F6C2">
            <w:r>
              <w:t>0.8-2.0m/s</w:t>
            </w:r>
          </w:p>
        </w:tc>
        <w:tc>
          <w:tcPr>
            <w:tcW w:w="0" w:type="auto"/>
            <w:vAlign w:val="center"/>
          </w:tcPr>
          <w:p w14:paraId="48D064D5">
            <w:r>
              <w:t>0.3-0.8m/s（手动）</w:t>
            </w:r>
          </w:p>
        </w:tc>
      </w:tr>
      <w:tr w14:paraId="22ED6760">
        <w:tc>
          <w:tcPr>
            <w:tcW w:w="0" w:type="auto"/>
            <w:vAlign w:val="center"/>
          </w:tcPr>
          <w:p w14:paraId="28601376">
            <w:r>
              <w:t>停位精度</w:t>
            </w:r>
          </w:p>
        </w:tc>
        <w:tc>
          <w:tcPr>
            <w:tcW w:w="0" w:type="auto"/>
            <w:vAlign w:val="center"/>
          </w:tcPr>
          <w:p w14:paraId="0C5CC60C">
            <w:r>
              <w:t>±2mm</w:t>
            </w:r>
          </w:p>
        </w:tc>
        <w:tc>
          <w:tcPr>
            <w:tcW w:w="0" w:type="auto"/>
            <w:vAlign w:val="center"/>
          </w:tcPr>
          <w:p w14:paraId="27DF6DEC">
            <w:r>
              <w:t>±5mm（磁导航）</w:t>
            </w:r>
          </w:p>
        </w:tc>
        <w:tc>
          <w:tcPr>
            <w:tcW w:w="0" w:type="auto"/>
            <w:vAlign w:val="center"/>
          </w:tcPr>
          <w:p w14:paraId="51A823D6">
            <w:r>
              <w:t>±50mm</w:t>
            </w:r>
          </w:p>
        </w:tc>
      </w:tr>
      <w:tr w14:paraId="23AA6D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766E8B2">
            <w:r>
              <w:t>最小转弯半径</w:t>
            </w:r>
          </w:p>
        </w:tc>
        <w:tc>
          <w:tcPr>
            <w:tcW w:w="0" w:type="auto"/>
            <w:vAlign w:val="center"/>
          </w:tcPr>
          <w:p w14:paraId="01E7E9FB">
            <w:r>
              <w:t>1.5m（独立转向）</w:t>
            </w:r>
          </w:p>
        </w:tc>
        <w:tc>
          <w:tcPr>
            <w:tcW w:w="0" w:type="auto"/>
            <w:vAlign w:val="center"/>
          </w:tcPr>
          <w:p w14:paraId="572798E2">
            <w:r>
              <w:t>0.8m（差速转向）</w:t>
            </w:r>
          </w:p>
        </w:tc>
        <w:tc>
          <w:tcPr>
            <w:tcW w:w="0" w:type="auto"/>
            <w:vAlign w:val="center"/>
          </w:tcPr>
          <w:p w14:paraId="6EB55F66">
            <w:r>
              <w:t>1.2m</w:t>
            </w:r>
          </w:p>
        </w:tc>
      </w:tr>
      <w:tr w14:paraId="1B4E1E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0F3DD3E">
            <w:r>
              <w:t>制动距离</w:t>
            </w:r>
          </w:p>
        </w:tc>
        <w:tc>
          <w:tcPr>
            <w:tcW w:w="0" w:type="auto"/>
            <w:vAlign w:val="center"/>
          </w:tcPr>
          <w:p w14:paraId="28CC5F42">
            <w:r>
              <w:t>≤0.5m（满载1.5m/s）</w:t>
            </w:r>
          </w:p>
        </w:tc>
        <w:tc>
          <w:tcPr>
            <w:tcW w:w="0" w:type="auto"/>
            <w:vAlign w:val="center"/>
          </w:tcPr>
          <w:p w14:paraId="3115C319">
            <w:r>
              <w:t>≤0.8m（满载2.0m/s）</w:t>
            </w:r>
          </w:p>
        </w:tc>
        <w:tc>
          <w:tcPr>
            <w:tcW w:w="0" w:type="auto"/>
            <w:vAlign w:val="center"/>
          </w:tcPr>
          <w:p w14:paraId="263E4431">
            <w:r>
              <w:t>≤1.0m（手动制动）</w:t>
            </w:r>
          </w:p>
        </w:tc>
      </w:tr>
      <w:tr w14:paraId="12AFCB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B0E7345">
            <w:r>
              <w:t>供电方式</w:t>
            </w:r>
          </w:p>
        </w:tc>
        <w:tc>
          <w:tcPr>
            <w:tcW w:w="0" w:type="auto"/>
            <w:vAlign w:val="center"/>
          </w:tcPr>
          <w:p w14:paraId="303C9C3B">
            <w:r>
              <w:t>滑触线（AC380V）</w:t>
            </w:r>
          </w:p>
        </w:tc>
        <w:tc>
          <w:tcPr>
            <w:tcW w:w="0" w:type="auto"/>
            <w:vAlign w:val="center"/>
          </w:tcPr>
          <w:p w14:paraId="17BF46CF">
            <w:r>
              <w:t>锂电池（DC48V）</w:t>
            </w:r>
          </w:p>
        </w:tc>
        <w:tc>
          <w:tcPr>
            <w:tcW w:w="0" w:type="auto"/>
            <w:vAlign w:val="center"/>
          </w:tcPr>
          <w:p w14:paraId="42A2DB42">
            <w:r>
              <w:t>手动/蓄电池（DC24V）</w:t>
            </w:r>
          </w:p>
        </w:tc>
      </w:tr>
      <w:tr w14:paraId="07AB6DA7">
        <w:tc>
          <w:tcPr>
            <w:tcW w:w="0" w:type="auto"/>
            <w:vAlign w:val="center"/>
          </w:tcPr>
          <w:p w14:paraId="4A102933">
            <w:r>
              <w:t>续航时间</w:t>
            </w:r>
          </w:p>
        </w:tc>
        <w:tc>
          <w:tcPr>
            <w:tcW w:w="0" w:type="auto"/>
            <w:vAlign w:val="center"/>
          </w:tcPr>
          <w:p w14:paraId="2DCF936B">
            <w:r>
              <w:t>连续运行</w:t>
            </w:r>
          </w:p>
        </w:tc>
        <w:tc>
          <w:tcPr>
            <w:tcW w:w="0" w:type="auto"/>
            <w:vAlign w:val="center"/>
          </w:tcPr>
          <w:p w14:paraId="517832DA">
            <w:r>
              <w:t>8-12小时</w:t>
            </w:r>
          </w:p>
        </w:tc>
        <w:tc>
          <w:tcPr>
            <w:tcW w:w="0" w:type="auto"/>
            <w:vAlign w:val="center"/>
          </w:tcPr>
          <w:p w14:paraId="5CE0560D">
            <w:r>
              <w:t>4-6小时（电动）</w:t>
            </w:r>
          </w:p>
        </w:tc>
      </w:tr>
    </w:tbl>
    <w:p w14:paraId="4BDE48E9">
      <w:r>
        <w:t>注：表中数据基于行业主流产品实测，具体参数需以设备制造商提供的技术规格书为准。</w:t>
      </w:r>
    </w:p>
    <w:p w14:paraId="135ED64D">
      <w:pPr>
        <w:pStyle w:val="3"/>
      </w:pPr>
      <w:r>
        <w:t>三、机械原理与传动系统</w:t>
      </w:r>
    </w:p>
    <w:p w14:paraId="75135969">
      <w:pPr>
        <w:pStyle w:val="4"/>
      </w:pPr>
      <w:r>
        <w:t>3.1 驱动系统工作原理</w:t>
      </w:r>
    </w:p>
    <w:p w14:paraId="33FE5EB2">
      <w:r>
        <w:t>驱动系统将电能转化为机械能，实现移载车的行走与移载动作，核心由驱动电机、减速机构及动力传递路径组成：</w:t>
      </w:r>
    </w:p>
    <w:p w14:paraId="0A796F6F">
      <w:pPr>
        <w:pStyle w:val="5"/>
      </w:pPr>
      <w:r>
        <w:t>驱动电机类型</w:t>
      </w:r>
    </w:p>
    <w:p w14:paraId="4D628F3B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伺服电机</w:t>
      </w:r>
      <w:r>
        <w:t>：重载RGV主流配置，选用永磁同步伺服电机（如台达ASD-A2系列），额定转速3000rpm，额定扭矩5-10N·m，具备过载保护（150%额定扭矩，持续3秒）和编码器反馈（2500线/转），确保速度闭环控制精度±0.1%。</w:t>
      </w:r>
    </w:p>
    <w:p w14:paraId="6AD0EC47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步进电机</w:t>
      </w:r>
      <w:r>
        <w:t>：轻载AGV常用，型号57HS22，步距角1.8°，静力矩2.2N·m，适合低速、低精度场景（定位误差±5mm）。</w:t>
      </w:r>
    </w:p>
    <w:p w14:paraId="48E2E056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异步电机</w:t>
      </w:r>
      <w:r>
        <w:t>：手动移载车采用，功率0.75-1.5kW，转速1450rpm，通过皮带传动减速，成本低但控制精度差。</w:t>
      </w:r>
    </w:p>
    <w:p w14:paraId="7DD4AA80">
      <w:pPr>
        <w:pStyle w:val="5"/>
      </w:pPr>
      <w:r>
        <w:t>减速机构</w:t>
      </w:r>
    </w:p>
    <w:p w14:paraId="6242A081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行星齿轮减速机</w:t>
      </w:r>
      <w:r>
        <w:t>：伺服电机标配，型号AB090，减速比5-20:1，效率≥95%，回程间隙≤3弧分，安装方式为法兰式（输出轴直径25mm），适应频繁正反转。</w:t>
      </w:r>
    </w:p>
    <w:p w14:paraId="122F7D7F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蜗轮蜗杆减速机</w:t>
      </w:r>
      <w:r>
        <w:t>：用于手动移载车转向机构，减速比20-50:1，自锁功能（逆效率≤1%），防止停车时转向轮转动。</w:t>
      </w:r>
    </w:p>
    <w:p w14:paraId="35FC593B">
      <w:pPr>
        <w:pStyle w:val="5"/>
      </w:pPr>
      <w:r>
        <w:t>动力传递路径</w:t>
      </w:r>
    </w:p>
    <w:p w14:paraId="7469F2DC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电机输出轴→联轴器→减速机输入轴；</w:t>
      </w:r>
    </w:p>
    <w:p w14:paraId="64A0B1D6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减速机输出轴→齿轮（模数3，齿数20）→齿条（安装于轨道或车架）；</w:t>
      </w:r>
    </w:p>
    <w:p w14:paraId="5B34121D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齿条直线运动带动车轮转动，实现移载车行走。</w:t>
      </w:r>
    </w:p>
    <w:p w14:paraId="01196C60">
      <w:pPr>
        <w:pStyle w:val="4"/>
      </w:pPr>
      <w:r>
        <w:t>3.2 行走机构机械原理</w:t>
      </w:r>
    </w:p>
    <w:p w14:paraId="676DC183">
      <w:r>
        <w:t>行走机构通过滚动摩擦替代滑动摩擦，降低运行阻力，其核心原理包括轮系运动学、转向控制及减震设计：</w:t>
      </w:r>
    </w:p>
    <w:p w14:paraId="2C7AC889">
      <w:pPr>
        <w:pStyle w:val="5"/>
      </w:pPr>
      <w:r>
        <w:t>滚动摩擦原理</w:t>
      </w:r>
    </w:p>
    <w:p w14:paraId="2467A88D">
      <w:r>
        <w:t>车轮与轨道（或地面）接触时，轮轴中心受到竖直载荷F，滚动摩擦力f=μ×F（μ为滚动摩擦系数，钢-钢接触μ=0.002-0.005），相比滑动摩擦（μ=0.1-0.3）阻力降低95%以上。双滑轮组设计使单个脚轮单元承受载荷分散，接触应力≤200MPa，避免轮面塑性变形。</w:t>
      </w:r>
    </w:p>
    <w:p w14:paraId="165D81E2">
      <w:pPr>
        <w:pStyle w:val="5"/>
      </w:pPr>
      <w:r>
        <w:t>转向控制方式</w:t>
      </w:r>
    </w:p>
    <w:p w14:paraId="62EED45B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差速转向</w:t>
      </w:r>
      <w:r>
        <w:t>：通过控制两侧驱动轮转速差实现转向，转向半径R=（v₁+v₂）/（v₁-v₂）×L/2（v₁、v₂为左右轮速度，L为轮距），适用于固定路径，最小转弯半径≥3m。</w:t>
      </w:r>
    </w:p>
    <w:p w14:paraId="14C0E103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独立转向</w:t>
      </w:r>
      <w:r>
        <w:t>：每个转向轮由伺服电机单独驱动，通过转向节实现±90°旋转，最小转弯半径≤1.5m，转向过程中控制器通过PID算法调节各轮转速，确保轨迹平滑（角速度≤0.5rad/s）。</w:t>
      </w:r>
    </w:p>
    <w:p w14:paraId="73C6D2E6">
      <w:pPr>
        <w:pStyle w:val="5"/>
      </w:pPr>
      <w:r>
        <w:t>弹性缓冲装置</w:t>
      </w:r>
    </w:p>
    <w:p w14:paraId="5CEE69F7">
      <w:r>
        <w:t>车架与轮轴连接处安装八字形橡胶垫（材质丁腈橡胶，硬度70 Shore A）），厚度10mm，压缩量2-3mm，可吸收地面不平整带来的冲击（冲击加速度≤5g），同时降低运行噪音（≤75dB）。</w:t>
      </w:r>
    </w:p>
    <w:p w14:paraId="1B3FCD67">
      <w:pPr>
        <w:pStyle w:val="4"/>
      </w:pPr>
      <w:r>
        <w:t>3.3 移载装置传动系统</w:t>
      </w:r>
    </w:p>
    <w:p w14:paraId="21509687">
      <w:r>
        <w:t>移载装置传动系统实现动力在升降、平移方向的传递，根据负载特性采用不同传动方式：</w:t>
      </w:r>
    </w:p>
    <w:p w14:paraId="427C5805">
      <w:pPr>
        <w:pStyle w:val="5"/>
      </w:pPr>
      <w:r>
        <w:t>升降传动</w:t>
      </w:r>
    </w:p>
    <w:p w14:paraId="4D6792E5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齿轮齿条传动</w:t>
      </w:r>
      <w:r>
        <w:t>（重载）：齿杆模数2.5，齿数30，与齿轮啮合传动，效率85-90%，适合负载＞1吨的升降动作，如铁芯转运。</w:t>
      </w:r>
    </w:p>
    <w:p w14:paraId="1D7C156A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滚珠丝杠传动</w:t>
      </w:r>
      <w:r>
        <w:t>（轻载高精度）：丝杠直径20mm，导程5mm，定位精度±0.05mm，用于PCB基板等轻型工件，如小型变压器线圈移载。</w:t>
      </w:r>
    </w:p>
    <w:p w14:paraId="7A19A2D2">
      <w:pPr>
        <w:pStyle w:val="5"/>
      </w:pPr>
      <w:r>
        <w:t>平移传动</w:t>
      </w:r>
    </w:p>
    <w:p w14:paraId="77D94825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同步带传动</w:t>
      </w:r>
      <w:r>
        <w:t>：带宽25mm，节距5mm，采用聚氨酯同步带（钢丝芯），传动误差≤0.5%，适合中短距离平移（行程＜1m）。</w:t>
      </w:r>
    </w:p>
    <w:p w14:paraId="2E67B5F1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链传动</w:t>
      </w:r>
      <w:r>
        <w:t>：链条型号08B-1，节距12.7mm，张紧度通过调节链轮中心距实现（下垂量≤20mm），适用于重载、多粉尘环境，如器身转运。</w:t>
      </w:r>
    </w:p>
    <w:p w14:paraId="48F96A42">
      <w:pPr>
        <w:pStyle w:val="5"/>
      </w:pPr>
      <w:r>
        <w:t>运动转换机制</w:t>
      </w:r>
    </w:p>
    <w:p w14:paraId="39AE5A82">
      <w:r>
        <w:t>机械连杆机构将旋转运动转化为直线位移，例如移载装置中的L形斜板与连接斜条组合：当卡条脱离定位块时，L形斜板在重力作用下下压连接斜条，推动支撑夹块与L形夹块协同动作，从底部托起变压器，实现“旋转-直线”复合运动，动作响应时间≤0.5秒。</w:t>
      </w:r>
    </w:p>
    <w:p w14:paraId="1ACD5ED0">
      <w:pPr>
        <w:pStyle w:val="3"/>
      </w:pPr>
      <w:r>
        <w:t>四、控制系统与电气原理</w:t>
      </w:r>
    </w:p>
    <w:p w14:paraId="4F544E92">
      <w:pPr>
        <w:pStyle w:val="4"/>
      </w:pPr>
      <w:r>
        <w:t>4.1 电气系统组成结构</w:t>
      </w:r>
    </w:p>
    <w:p w14:paraId="714D1727">
      <w:r>
        <w:t>移载车电气系统采用“分层控制”架构，由主控制器、传感器层、执行器层及电源系统组成，通过CAN总线（波特率250kbps）实现数据交互：</w:t>
      </w:r>
    </w:p>
    <w:p w14:paraId="454D8964">
      <w:pPr>
        <w:pStyle w:val="5"/>
      </w:pPr>
      <w:r>
        <w:t>主控制器</w:t>
      </w:r>
    </w:p>
    <w:p w14:paraId="760F9002">
      <w:r>
        <w:t>核心采用PLC（如西门子S7-1214C DC/DC/DC），集成14点数字量输入、10点数字量输出及2路模拟量输入，支持PROFINET通讯，运算周期≤1ms。存储容量2MB，可记录500条故障代码（DTC）及100条运行日志。</w:t>
      </w:r>
    </w:p>
    <w:p w14:paraId="474A2BEF">
      <w:pPr>
        <w:pStyle w:val="5"/>
      </w:pPr>
      <w:r>
        <w:t>传感器层</w:t>
      </w:r>
    </w:p>
    <w:p w14:paraId="14EDBE02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位置传感器</w:t>
      </w:r>
      <w:r>
        <w:t>：激光测距传感器（型号OD2-P100，量程0-10m，精度±1mm），安装于车头，用于检测与前方工位距离；编码器（1024线/转）集成于驱动轮轴，实时反馈行驶里程。</w:t>
      </w:r>
    </w:p>
    <w:p w14:paraId="74FF5BD6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安全传感器</w:t>
      </w:r>
      <w:r>
        <w:t>：红外避障传感器（检测距离0.5-3m，响应时间≤10ms），分布于车身前后；急停按钮（IP65防护），触发后切断电机电源。</w:t>
      </w:r>
    </w:p>
    <w:p w14:paraId="01E671C1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状态传感器</w:t>
      </w:r>
      <w:r>
        <w:t>：重量传感器（型号YZC-320，量程0-10吨，精度±0.1%），安装于车架底部；温度传感器（PT100，-50-150℃），监测电机温度。</w:t>
      </w:r>
    </w:p>
    <w:p w14:paraId="7D3517FB">
      <w:pPr>
        <w:pStyle w:val="5"/>
      </w:pPr>
      <w:r>
        <w:t>执行器层</w:t>
      </w:r>
    </w:p>
    <w:p w14:paraId="2285B354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驱动电机</w:t>
      </w:r>
      <w:r>
        <w:t>：伺服电机驱动器（型号MR-J4-10A），支持位置、速度、扭矩三种控制模式，过载保护等级300%（持续0.5秒）。</w:t>
      </w:r>
    </w:p>
    <w:p w14:paraId="615BAF67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电磁阀</w:t>
      </w:r>
      <w:r>
        <w:t>：电磁换向阀（型号4V210-08），控制气缸动作，响应时间≤10ms，工作压力0.15-0.8MPa。</w:t>
      </w:r>
    </w:p>
    <w:p w14:paraId="2DF2796A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指示灯</w:t>
      </w:r>
      <w:r>
        <w:t>：三色报警灯（红/黄/绿），红色表示故障，黄色表示待机，绿色表示运行。</w:t>
      </w:r>
    </w:p>
    <w:p w14:paraId="320760C3">
      <w:pPr>
        <w:pStyle w:val="5"/>
      </w:pPr>
      <w:r>
        <w:t>电源系统</w:t>
      </w:r>
    </w:p>
    <w:p w14:paraId="0E87AB62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主电源</w:t>
      </w:r>
      <w:r>
        <w:t>：重载RGV采用AC380V三相供电（通过滑触线），经隔离变压器（容量5kVA）输出AC220V；AGV采用锂电池组（DC48V/100Ah，磷酸铁铁铁铁锂），续航8小时，充电时间2小时（快充模式）。</w:t>
      </w:r>
    </w:p>
    <w:p w14:paraId="22AD30A8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控制电源</w:t>
      </w:r>
      <w:r>
        <w:t>：DC24V开关电源（输出电流10A），为PLC、传感器供电，纹波≤50mV。</w:t>
      </w:r>
    </w:p>
    <w:p w14:paraId="3EE0EABD">
      <w:pPr>
        <w:pStyle w:val="4"/>
      </w:pPr>
      <w:r>
        <w:t>4.2 控制方式与操作模式</w:t>
      </w:r>
    </w:p>
    <w:p w14:paraId="0811007D">
      <w:r>
        <w:t>移载车支持多种控制模式，可通过操作面板或上位系统切换，满足不同场景需求：</w:t>
      </w:r>
    </w:p>
    <w:p w14:paraId="21413ECE">
      <w:pPr>
        <w:pStyle w:val="5"/>
      </w:pPr>
      <w:r>
        <w:t>自动控制模式</w:t>
      </w:r>
    </w:p>
    <w:p w14:paraId="09DD2E59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路径规划</w:t>
      </w:r>
      <w:r>
        <w:t>：基于磁导航或二维码导航，地面铺设磁条（宽度10mm，厚度0.5mm）或二维码标签（尺寸50×50mm，识别距离50mm），导航偏差≤±5mm。</w:t>
      </w:r>
    </w:p>
    <w:p w14:paraId="5EBE519C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任务调度</w:t>
      </w:r>
      <w:r>
        <w:t>：上位系统（如MES）通过Wi-Fi下发任务指令（如“从A工位转运铁芯至B工位”），移载车接收后自动规划路径，避开障碍物（通过A*算法），任务完成后反馈状态。</w:t>
      </w:r>
    </w:p>
    <w:p w14:paraId="4E3E0B59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多车协同</w:t>
      </w:r>
      <w:r>
        <w:t>：采用“交通管制”算法，当两台车路径冲突时，优先级高的车辆（如承载成品的移载车）优先通行，另一车在安全距离外等待（等待时间≤30秒）。</w:t>
      </w:r>
    </w:p>
    <w:p w14:paraId="2A9A1184">
      <w:pPr>
        <w:pStyle w:val="5"/>
      </w:pPr>
      <w:r>
        <w:t>手动控制模式</w:t>
      </w:r>
    </w:p>
    <w:p w14:paraId="3DF5AE12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本地控制</w:t>
      </w:r>
      <w:r>
        <w:t>：通过操作面板上的摇杆（X/Y轴）和按钮控制行走、升降、平移动作，速度限制为自动模式的50%（≤0.75m/s）。</w:t>
      </w:r>
    </w:p>
    <w:p w14:paraId="100C2A35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远程控制</w:t>
      </w:r>
      <w:r>
        <w:t>：手持遥控器（距离≤50m，2.4GHz频段），配备急停按钮和速度调节旋钮，适用于调试或紧急情况。</w:t>
      </w:r>
    </w:p>
    <w:p w14:paraId="0D3A011F">
      <w:pPr>
        <w:pStyle w:val="5"/>
      </w:pPr>
      <w:r>
        <w:t>模式切换逻辑</w:t>
      </w:r>
    </w:p>
    <w:p w14:paraId="4C0B7D06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自动模式切换至手动模式：需按下“模式切换”按钮并输入密码（三级权限），切换过程中断当前任务，移载车减速至停止（制动距离≤0.3m）。</w:t>
      </w:r>
    </w:p>
    <w:p w14:paraId="59EA6660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手动模式切换至自动模式：需确认移载车处于初始位置（通过原点传感器检测），系统自检通过（无故障代码）后切换，切换时间≤2秒。</w:t>
      </w:r>
    </w:p>
    <w:p w14:paraId="2EF680FE">
      <w:pPr>
        <w:pStyle w:val="4"/>
      </w:pPr>
      <w:r>
        <w:t>4.2 安全保护系统设计</w:t>
      </w:r>
    </w:p>
    <w:p w14:paraId="624DAC81">
      <w:r>
        <w:t>移载车安全系统符合GB/T 36507-2023《工业车辆 使用、操作与维护安全规范》，实现“预防-监测-应急”三级防护：</w:t>
      </w:r>
    </w:p>
    <w:p w14:paraId="3D4B0F10">
      <w:pPr>
        <w:pStyle w:val="5"/>
      </w:pPr>
      <w:r>
        <w:t>主动预防措施</w:t>
      </w:r>
    </w:p>
    <w:p w14:paraId="4D675470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三级防撞区域</w:t>
      </w:r>
      <w:r>
        <w:t>：预警区（距离障碍物1.5-3m）触发声光报警（蜂鸣器频率2kHz，LED灯闪烁）；减速区（0.8-1.5m）速度降至0.5m/s；停止区（＜0.8m）立即制动（制动减速度≥1m/s²）。</w:t>
      </w:r>
    </w:p>
    <w:p w14:paraId="302F3D00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过载保护</w:t>
      </w:r>
      <w:r>
        <w:t>：重量传感器检测负载超过额定值120%时，禁止启动并报警（故障代码E01）。</w:t>
      </w:r>
    </w:p>
    <w:p w14:paraId="5984AA3B">
      <w:pPr>
        <w:pStyle w:val="5"/>
      </w:pPr>
      <w:r>
        <w:t>实时监测措施</w:t>
      </w:r>
    </w:p>
    <w:p w14:paraId="71EA1E6F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系统自检</w:t>
      </w:r>
      <w:r>
        <w:t>：上电后执行3秒自检，包括电机编码器通讯、传感器信号完整性、制动气压（气动车型≥0.6MPa）等，自检不通过禁止运行。</w:t>
      </w:r>
    </w:p>
    <w:p w14:paraId="025899A1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异常监测</w:t>
      </w:r>
      <w:r>
        <w:t>：电机温度超过85℃时，触发过热保护（降额运行至60%功率）；电池电压低于36V（48V系统）时，自动行驶至充电工位。</w:t>
      </w:r>
    </w:p>
    <w:p w14:paraId="1721E9CB">
      <w:pPr>
        <w:pStyle w:val="5"/>
      </w:pPr>
      <w:r>
        <w:t>应急处理措施</w:t>
      </w:r>
    </w:p>
    <w:p w14:paraId="2FED0DDD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急停保护</w:t>
      </w:r>
      <w:r>
        <w:t>：急停按钮触发后，主接触器（型号LC1D32）断开，电机动力电源切断，机械制动（电磁制动器）激活，响应时间≤0.5秒。</w:t>
      </w:r>
    </w:p>
    <w:p w14:paraId="5E3ED29E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通讯中断保护</w:t>
      </w:r>
      <w:r>
        <w:t>：与上位系统通讯中断超过10秒，移载车在当前路径安全位置停车，保存任务状态，等待通讯恢复。</w:t>
      </w:r>
    </w:p>
    <w:p w14:paraId="65E04159">
      <w:pPr>
        <w:pStyle w:val="3"/>
      </w:pPr>
      <w:r>
        <w:t>五、常见故障类型及成因分析</w:t>
      </w:r>
    </w:p>
    <w:p w14:paraId="5B228494">
      <w:pPr>
        <w:pStyle w:val="4"/>
      </w:pPr>
      <w:r>
        <w:t>5.1 机械系统常见故障及成因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514423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3276909">
            <w:pPr>
              <w:jc w:val="center"/>
              <w:rPr>
                <w:b/>
              </w:rPr>
            </w:pPr>
            <w:r>
              <w:rPr>
                <w:b/>
              </w:rPr>
              <w:t>故障类型</w:t>
            </w:r>
          </w:p>
        </w:tc>
        <w:tc>
          <w:tcPr>
            <w:tcW w:w="0" w:type="auto"/>
            <w:vAlign w:val="center"/>
          </w:tcPr>
          <w:p w14:paraId="5BCB9498">
            <w:pPr>
              <w:jc w:val="center"/>
              <w:rPr>
                <w:b/>
              </w:rPr>
            </w:pPr>
            <w:r>
              <w:rPr>
                <w:b/>
              </w:rPr>
              <w:t>具体表现</w:t>
            </w:r>
          </w:p>
        </w:tc>
        <w:tc>
          <w:tcPr>
            <w:tcW w:w="0" w:type="auto"/>
            <w:vAlign w:val="center"/>
          </w:tcPr>
          <w:p w14:paraId="4C2CE589">
            <w:pPr>
              <w:jc w:val="center"/>
              <w:rPr>
                <w:b/>
              </w:rPr>
            </w:pPr>
            <w:r>
              <w:rPr>
                <w:b/>
              </w:rPr>
              <w:t>主要成因</w:t>
            </w:r>
          </w:p>
        </w:tc>
      </w:tr>
      <w:tr w14:paraId="58CF2F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A8A3716">
            <w:r>
              <w:t>行走机构故障</w:t>
            </w:r>
          </w:p>
        </w:tc>
        <w:tc>
          <w:tcPr>
            <w:tcW w:w="0" w:type="auto"/>
            <w:vAlign w:val="center"/>
          </w:tcPr>
          <w:p w14:paraId="577E4D3F">
            <w:r>
              <w:t>行驶异响、跑偏、速度波动</w:t>
            </w:r>
          </w:p>
        </w:tc>
        <w:tc>
          <w:tcPr>
            <w:tcW w:w="0" w:type="auto"/>
            <w:vAlign w:val="center"/>
          </w:tcPr>
          <w:p w14:paraId="1C22BEE7">
            <w:r>
              <w:t>1. 轮轴轴承游隙过大（＞0.15mm）；2. 导向轮与轨道间隙异常（＜1mm或＞5mm）；3. 驱动轮轮胎磨损不均（磨损量＞3mm）</w:t>
            </w:r>
          </w:p>
        </w:tc>
      </w:tr>
      <w:tr w14:paraId="749B3D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E870CF7">
            <w:r>
              <w:t>移载装置故障</w:t>
            </w:r>
          </w:p>
        </w:tc>
        <w:tc>
          <w:tcPr>
            <w:tcW w:w="0" w:type="auto"/>
            <w:vAlign w:val="center"/>
          </w:tcPr>
          <w:p w14:paraId="6B448DCD">
            <w:r>
              <w:t>升降卡顿、平移不到位</w:t>
            </w:r>
          </w:p>
        </w:tc>
        <w:tc>
          <w:tcPr>
            <w:tcW w:w="0" w:type="auto"/>
            <w:vAlign w:val="center"/>
          </w:tcPr>
          <w:p w14:paraId="6869F9BB">
            <w:r>
              <w:t>1. 齿杆润滑不足（未定期加注锂基脂）；2. 同步带张紧度不足（下垂量＞20mm）；3. 限位开关位置偏移（感应距离＜2mm）</w:t>
            </w:r>
          </w:p>
        </w:tc>
      </w:tr>
      <w:tr w14:paraId="54D5E1EC">
        <w:tc>
          <w:tcPr>
            <w:tcW w:w="0" w:type="auto"/>
            <w:vAlign w:val="center"/>
          </w:tcPr>
          <w:p w14:paraId="4A6F366F">
            <w:r>
              <w:t>传动系统故障</w:t>
            </w:r>
          </w:p>
        </w:tc>
        <w:tc>
          <w:tcPr>
            <w:tcW w:w="0" w:type="auto"/>
            <w:vAlign w:val="center"/>
          </w:tcPr>
          <w:p w14:paraId="567E655A">
            <w:r>
              <w:t>电机过载、减速机异响</w:t>
            </w:r>
          </w:p>
        </w:tc>
        <w:tc>
          <w:tcPr>
            <w:tcW w:w="0" w:type="auto"/>
            <w:vAlign w:val="center"/>
          </w:tcPr>
          <w:p w14:paraId="1A0705EB">
            <w:r>
              <w:t>1. 齿轮啮合间隙过大（＞0.3mm）；2. 联轴器键槽磨损（配合间隙＞0.2mm）；3. 减速机缺油（油位低于油窗1/3）</w:t>
            </w:r>
          </w:p>
        </w:tc>
      </w:tr>
    </w:tbl>
    <w:p w14:paraId="68E21257">
      <w:pPr>
        <w:pStyle w:val="5"/>
      </w:pPr>
      <w:r>
        <w:t>典型案例分析（行走跑偏）</w:t>
      </w:r>
    </w:p>
    <w:p w14:paraId="536F7E00">
      <w:r>
        <w:t>某车间重载RGV在运行半年后出现持续跑偏（每10米偏差30mm），拆解检查发现：导向轮轴承游隙达0.2mm（标准≤0.15mm），轮缘磨损量2.5mm，导致行驶中轮系定位失效。成因是日常维护中未按计划（每月）检查导向轮间隙，且车间地面铁屑进入轴承，加剧磨损。</w:t>
      </w:r>
    </w:p>
    <w:p w14:paraId="780FE75C">
      <w:pPr>
        <w:pStyle w:val="4"/>
      </w:pPr>
      <w:r>
        <w:t>5.2 电气系统常见故障及成因</w:t>
      </w:r>
    </w:p>
    <w:p w14:paraId="48E346F0">
      <w:pPr>
        <w:pStyle w:val="5"/>
      </w:pPr>
      <w:r>
        <w:t>控制系统故障</w:t>
      </w:r>
    </w:p>
    <w:p w14:paraId="2E7735EE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控制器死机</w:t>
      </w:r>
      <w:r>
        <w:t>：表现为操作无响应，PLC运行指示灯熄灭。成因包括：供电电压波动（超过10%额定值）、电磁干扰（未接地或接地电阻＞4Ω）、散热不良（控制器温度超过60℃）。</w:t>
      </w:r>
    </w:p>
    <w:p w14:paraId="3D8D4482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通讯中断</w:t>
      </w:r>
      <w:r>
        <w:t>：移载车与上位系统失联，故障代码E10。成因：Wi-Fi信号弱（信噪比＜20dB）、CAN总线终端电阻异常（非120Ω）、网线接头氧化（接触电阻＞0.5Ω）。</w:t>
      </w:r>
    </w:p>
    <w:p w14:paraId="750C8A01">
      <w:pPr>
        <w:pStyle w:val="5"/>
      </w:pPr>
      <w:r>
        <w:t>传感器故障</w:t>
      </w:r>
    </w:p>
    <w:p w14:paraId="693C9694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激光定位偏差</w:t>
      </w:r>
      <w:r>
        <w:t>：停位精度超±5mm，故障代码E20。成因：传感器镜头污染（粉尘覆盖）、地面二维码磨损（对比度＜30%）、安装支架松动（垂直度偏差＞1°）。</w:t>
      </w:r>
    </w:p>
    <w:p w14:paraId="2FA11662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重量传感器误报</w:t>
      </w:r>
      <w:r>
        <w:t>：空载时显示负载10%，故障代码E01。成因：传感器接线松动（信号线接触不良）、校准数据丢失（PLC参数被误修改）、弹性体疲劳（使用超过3年）。</w:t>
      </w:r>
    </w:p>
    <w:p w14:paraId="631CD8D0">
      <w:pPr>
        <w:pStyle w:val="5"/>
      </w:pPr>
      <w:r>
        <w:t>执行器故障</w:t>
      </w:r>
    </w:p>
    <w:p w14:paraId="00E36CA4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电机不转</w:t>
      </w:r>
      <w:r>
        <w:t>：驱动电机无动作，无故障代码。成因：电机动力线缺相（接触器触点烧蚀）、编码器信号断线（线缆弯折疲劳）、驱动器故障（IGBT模块损坏）。</w:t>
      </w:r>
    </w:p>
    <w:p w14:paraId="01B6B642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电磁阀不动作</w:t>
      </w:r>
      <w:r>
        <w:t>：气缸无响应，故障代码E30。成因：电磁线圈烧毁（电压过高）、阀心卡滞（液压油污染度NAS 8级以上）、气源压力不足（＜0.5MPa）。</w:t>
      </w:r>
    </w:p>
    <w:p w14:paraId="5C33D95E">
      <w:pPr>
        <w:pStyle w:val="3"/>
      </w:pPr>
      <w:r>
        <w:t>六、故障诊断方法与维护对策</w:t>
      </w:r>
    </w:p>
    <w:p w14:paraId="470D5627">
      <w:pPr>
        <w:pStyle w:val="4"/>
      </w:pPr>
      <w:r>
        <w:t>6.1 故障诊断技术与工具应用</w:t>
      </w:r>
    </w:p>
    <w:p w14:paraId="6BAAE2E2">
      <w:pPr>
        <w:pStyle w:val="5"/>
      </w:pPr>
      <w:r>
        <w:t>视觉检查（初步诊断）</w:t>
      </w:r>
    </w:p>
    <w:p w14:paraId="0479ABB0">
      <w:r>
        <w:t>重点检查：</w:t>
      </w:r>
    </w:p>
    <w:p w14:paraId="75BB7B7E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机械部件</w:t>
      </w:r>
      <w:r>
        <w:t>：驱动轮轮胎磨损量（游标卡尺测量）、齿轮啮合面（有无点蚀、胶合）、同步带表面（裂纹、齿面磨损）。</w:t>
      </w:r>
    </w:p>
    <w:p w14:paraId="3E6DD31B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电气部件</w:t>
      </w:r>
      <w:r>
        <w:t>：电缆有无破损（绝缘层开裂）、连接器有无氧化（针脚发黑）、指示灯状态（是否与手册描述一致）。</w:t>
      </w:r>
    </w:p>
    <w:p w14:paraId="757FCE63">
      <w:pPr>
        <w:pStyle w:val="5"/>
      </w:pPr>
      <w:r>
        <w:t>仪器检测（精准定位）</w:t>
      </w:r>
    </w:p>
    <w:p w14:paraId="06D0AF6B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万用表</w:t>
      </w:r>
      <w:r>
        <w:t>：测量电机三相绕组电阻（不平衡度应＜5%）、传感器供电电压（如激光传感器应得DC24V±5%）。</w:t>
      </w:r>
    </w:p>
    <w:p w14:paraId="74DA16FC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示波器</w:t>
      </w:r>
      <w:r>
        <w:t>：抓取编码器信号波形（A/B相正交方波，占空比45-55%）、PLC输出脉冲（频率与设定速度匹配）。</w:t>
      </w:r>
    </w:p>
    <w:p w14:paraId="7CEB3E8F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振动分析仪</w:t>
      </w:r>
      <w:r>
        <w:t>：检测轴承振动加速度（正常≤4.5m/s²），判断轴承磨损状态（异常时＞10m/s²）。</w:t>
      </w:r>
    </w:p>
    <w:p w14:paraId="5CE9D8E1">
      <w:pPr>
        <w:pStyle w:val="5"/>
      </w:pPr>
      <w:r>
        <w:t>数据分析（深层原因）</w:t>
      </w:r>
    </w:p>
    <w:p w14:paraId="7CC5D1A2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DTC代码解读</w:t>
      </w:r>
      <w:r>
        <w:t>：通过PLC编程软件（如TIA Portal）读取故障代码，例如E01（过载）需检查重量传感器；E10（通讯故障）检查CAN总线电压（显性状态2.5-3.5V，隐性状态1.5-2.5V）。</w:t>
      </w:r>
    </w:p>
    <w:p w14:paraId="57BB5AE1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趋势分析</w:t>
      </w:r>
      <w:r>
        <w:t>：对比历史运行数据（如电机电流曲线），正常运行时电流波动≤10%额定值，异常波动可能预示轴承或齿轮早期故障。</w:t>
      </w:r>
    </w:p>
    <w:p w14:paraId="7A95947E">
      <w:pPr>
        <w:pStyle w:val="4"/>
      </w:pPr>
      <w:r>
        <w:t>6.2 预防性维护策略与保养计划</w:t>
      </w:r>
    </w:p>
    <w:p w14:paraId="4DFF6EF5">
      <w:pPr>
        <w:pStyle w:val="5"/>
      </w:pPr>
      <w:r>
        <w:t>日常检查（班前/班后）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12DC84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2643FAB">
            <w:pPr>
              <w:jc w:val="center"/>
              <w:rPr>
                <w:b/>
              </w:rPr>
            </w:pPr>
            <w:r>
              <w:rPr>
                <w:b/>
              </w:rPr>
              <w:t>检查项目</w:t>
            </w:r>
          </w:p>
        </w:tc>
        <w:tc>
          <w:tcPr>
            <w:tcW w:w="0" w:type="auto"/>
            <w:vAlign w:val="center"/>
          </w:tcPr>
          <w:p w14:paraId="2427481D">
            <w:pPr>
              <w:jc w:val="center"/>
              <w:rPr>
                <w:b/>
              </w:rPr>
            </w:pPr>
            <w:r>
              <w:rPr>
                <w:b/>
              </w:rPr>
              <w:t>检查内容</w:t>
            </w:r>
          </w:p>
        </w:tc>
        <w:tc>
          <w:tcPr>
            <w:tcW w:w="0" w:type="auto"/>
            <w:vAlign w:val="center"/>
          </w:tcPr>
          <w:p w14:paraId="7879F22E">
            <w:pPr>
              <w:jc w:val="center"/>
              <w:rPr>
                <w:b/>
              </w:rPr>
            </w:pPr>
            <w:r>
              <w:rPr>
                <w:b/>
              </w:rPr>
              <w:t>标准要求</w:t>
            </w:r>
          </w:p>
        </w:tc>
      </w:tr>
      <w:tr w14:paraId="77B9CD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D11FEA3">
            <w:r>
              <w:t>班前检查</w:t>
            </w:r>
          </w:p>
        </w:tc>
        <w:tc>
          <w:tcPr>
            <w:tcW w:w="0" w:type="auto"/>
            <w:vAlign w:val="center"/>
          </w:tcPr>
          <w:p w14:paraId="3AAD0FE7">
            <w:r>
              <w:t>轮胎气压（充气轮）、急停按钮功能、电池电量</w:t>
            </w:r>
          </w:p>
        </w:tc>
        <w:tc>
          <w:tcPr>
            <w:tcW w:w="0" w:type="auto"/>
            <w:vAlign w:val="center"/>
          </w:tcPr>
          <w:p w14:paraId="04CB172E">
            <w:r>
              <w:t>气压0.6-0.8MPa；急停触发后电机断电；电量≥20%</w:t>
            </w:r>
          </w:p>
        </w:tc>
      </w:tr>
      <w:tr w14:paraId="7EC98C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D5F16D4">
            <w:r>
              <w:t>班后检查</w:t>
            </w:r>
          </w:p>
        </w:tc>
        <w:tc>
          <w:tcPr>
            <w:tcW w:w="0" w:type="auto"/>
            <w:vAlign w:val="center"/>
          </w:tcPr>
          <w:p w14:paraId="5711621D">
            <w:r>
              <w:t>轨道清洁度、电缆拖链状态、润滑点油污</w:t>
            </w:r>
          </w:p>
        </w:tc>
        <w:tc>
          <w:tcPr>
            <w:tcW w:w="0" w:type="auto"/>
            <w:vAlign w:val="center"/>
          </w:tcPr>
          <w:p w14:paraId="1554042F">
            <w:r>
              <w:t>轨道无铁屑油污；拖链无开裂；润滑点无积尘</w:t>
            </w:r>
          </w:p>
        </w:tc>
      </w:tr>
    </w:tbl>
    <w:p w14:paraId="063D2042">
      <w:pPr>
        <w:pStyle w:val="5"/>
      </w:pPr>
      <w:r>
        <w:t>定期维护</w:t>
      </w:r>
    </w:p>
    <w:p w14:paraId="132A2064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每周</w:t>
      </w:r>
      <w:r>
        <w:t>：1. 驱动轮轴承加注锂基脂（NLGI 2级，用量每点5g）；2. 检查同步带张紧度（按压挠度5-10mm）；3. 清洁激光传感器镜头（异丙醇擦拭）。</w:t>
      </w:r>
    </w:p>
    <w:p w14:paraId="5567D068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每月</w:t>
      </w:r>
      <w:r>
        <w:t>：1. 校准重量传感器（使用标准砝码500kg、1000kg）；2. 检查导向轮间隙（调整至2-3mm）；3. 测试急停响应时间（≤0.5秒）。</w:t>
      </w:r>
    </w:p>
    <w:p w14:paraId="0E5B3DBF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每季度</w:t>
      </w:r>
      <w:r>
        <w:t>：1. 更换减速机润滑油（型号ISO VG460，油量至油窗1/2-2/3）；2. 检测电机绝缘电阻（≥500MΩ）；3. 检查车架焊接部位有无裂纹（渗透检测）。</w:t>
      </w:r>
    </w:p>
    <w:p w14:paraId="2533BC43">
      <w:pPr>
        <w:pStyle w:val="5"/>
      </w:pPr>
      <w:r>
        <w:t>大修周期（10000小时或2年）</w:t>
      </w:r>
    </w:p>
    <w:p w14:paraId="4F5CCA18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机械部分</w:t>
      </w:r>
      <w:r>
        <w:t>：更换驱动轮轴承（型号6205）、同步带、所有密封件（O型圈材质丁腈橡胶）；调整齿轮啮合间隙（0.1-0.2mm）。</w:t>
      </w:r>
    </w:p>
    <w:p w14:paraId="24E70303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电气部分</w:t>
      </w:r>
      <w:r>
        <w:t>：更换老化电缆（使用年限超3年）、升级PLC程序至最新版本；重新标定编码器零点（回零误差≤0.1mm）。</w:t>
      </w:r>
    </w:p>
    <w:p w14:paraId="3999E1EC">
      <w:pPr>
        <w:pStyle w:val="4"/>
      </w:pPr>
      <w:r>
        <w:t>6.3 常见故障应急处理与解决措施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3DB7FC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50ADB73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40E19ABE">
            <w:pPr>
              <w:jc w:val="center"/>
              <w:rPr>
                <w:b/>
              </w:rPr>
            </w:pPr>
            <w:r>
              <w:rPr>
                <w:b/>
              </w:rPr>
              <w:t>应急处理步骤</w:t>
            </w:r>
          </w:p>
        </w:tc>
        <w:tc>
          <w:tcPr>
            <w:tcW w:w="0" w:type="auto"/>
            <w:vAlign w:val="center"/>
          </w:tcPr>
          <w:p w14:paraId="0F651E1D">
            <w:pPr>
              <w:jc w:val="center"/>
              <w:rPr>
                <w:b/>
              </w:rPr>
            </w:pPr>
            <w:r>
              <w:rPr>
                <w:b/>
              </w:rPr>
              <w:t>长期解决措施</w:t>
            </w:r>
          </w:p>
        </w:tc>
      </w:tr>
      <w:tr w14:paraId="1DED29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67DD46B">
            <w:r>
              <w:t>行走跑偏（偏差＞10mm）</w:t>
            </w:r>
          </w:p>
        </w:tc>
        <w:tc>
          <w:tcPr>
            <w:tcW w:w="0" w:type="auto"/>
            <w:vAlign w:val="center"/>
          </w:tcPr>
          <w:p w14:paraId="39F934D2">
            <w:r>
              <w:t>1. 切换至手动模式，调整导向轮间隙至2-3mm；2. 临时降低运行速度至0.5m/s</w:t>
            </w:r>
          </w:p>
        </w:tc>
        <w:tc>
          <w:tcPr>
            <w:tcW w:w="0" w:type="auto"/>
            <w:vAlign w:val="center"/>
          </w:tcPr>
          <w:p w14:paraId="1FC83E57">
            <w:r>
              <w:t>1. 更换磨损轴承；2. 重新校准驱动轮平行度（偏差≤0.1mm/m）</w:t>
            </w:r>
          </w:p>
        </w:tc>
      </w:tr>
      <w:tr w14:paraId="16D86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BA34F0B">
            <w:r>
              <w:t>升降机构不动作</w:t>
            </w:r>
          </w:p>
        </w:tc>
        <w:tc>
          <w:tcPr>
            <w:tcW w:w="0" w:type="auto"/>
            <w:vAlign w:val="center"/>
          </w:tcPr>
          <w:p w14:paraId="41F141DF">
            <w:r>
              <w:t>1. 检查限位开关，手动触发（按压传感器触头）；2. 检查齿杆润滑，加注锂基脂</w:t>
            </w:r>
          </w:p>
        </w:tc>
        <w:tc>
          <w:tcPr>
            <w:tcW w:w="0" w:type="auto"/>
            <w:vAlign w:val="center"/>
          </w:tcPr>
          <w:p w14:paraId="45CED852">
            <w:r>
              <w:t>1. 调整限位开关位置（感应距离5mm）；2. 定期（每周）润滑齿杆</w:t>
            </w:r>
          </w:p>
        </w:tc>
      </w:tr>
      <w:tr w14:paraId="36216019">
        <w:tc>
          <w:tcPr>
            <w:tcW w:w="0" w:type="auto"/>
            <w:vAlign w:val="center"/>
          </w:tcPr>
          <w:p w14:paraId="51157C74">
            <w:r>
              <w:t>控制器通讯中断（E10代码）</w:t>
            </w:r>
          </w:p>
        </w:tc>
        <w:tc>
          <w:tcPr>
            <w:tcW w:w="0" w:type="auto"/>
            <w:vAlign w:val="center"/>
          </w:tcPr>
          <w:p w14:paraId="43D289D2">
            <w:r>
              <w:t>1. 检查Wi-Fi天线连接；2. 重启移载车控制器</w:t>
            </w:r>
          </w:p>
        </w:tc>
        <w:tc>
          <w:tcPr>
            <w:tcW w:w="0" w:type="auto"/>
            <w:vAlign w:val="center"/>
          </w:tcPr>
          <w:p w14:paraId="3FCB27F9">
            <w:r>
              <w:t>1. 更换老化网线（屏蔽双绞线）；2. 增加AP覆盖（确保信号强度＞-65dBm）</w:t>
            </w:r>
          </w:p>
        </w:tc>
      </w:tr>
    </w:tbl>
    <w:p w14:paraId="748907B4">
      <w:pPr>
        <w:pStyle w:val="5"/>
      </w:pPr>
      <w:r>
        <w:t>安全注意事项</w:t>
      </w:r>
    </w:p>
    <w:p w14:paraId="48C02E33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故障处理前必须按下急停按钮，断开主电源（挂牌上锁）；</w:t>
      </w:r>
    </w:p>
    <w:p w14:paraId="029868B1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手动操作移载车时，必须有专人监护，确保周围无人员及障碍物；</w:t>
      </w:r>
    </w:p>
    <w:p w14:paraId="6ACBC642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电气维修需使用绝缘工具（耐压≥1000V），避免带电作业。</w:t>
      </w:r>
    </w:p>
    <w:p w14:paraId="5D594297">
      <w:r>
        <w:t>（注：本手册未尽事宜，需结合设备制造商提供的维修手册及现场实际情况综合处理。）</w:t>
      </w:r>
    </w:p>
    <w:p w14:paraId="2AB323BC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8CE362"/>
    <w:multiLevelType w:val="singleLevel"/>
    <w:tmpl w:val="8B8CE3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FFAD6CD"/>
    <w:multiLevelType w:val="singleLevel"/>
    <w:tmpl w:val="8FFAD6C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>
    <w:nsid w:val="ABDB4EA6"/>
    <w:multiLevelType w:val="singleLevel"/>
    <w:tmpl w:val="ABDB4EA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AFFFAF07"/>
    <w:multiLevelType w:val="singleLevel"/>
    <w:tmpl w:val="AFFFAF0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7">
    <w:nsid w:val="BFF6BBF5"/>
    <w:multiLevelType w:val="singleLevel"/>
    <w:tmpl w:val="BFF6BBF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CBFF818B"/>
    <w:multiLevelType w:val="singleLevel"/>
    <w:tmpl w:val="CBFF818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CE660CE9"/>
    <w:multiLevelType w:val="singleLevel"/>
    <w:tmpl w:val="CE660CE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CFECB94F"/>
    <w:multiLevelType w:val="singleLevel"/>
    <w:tmpl w:val="CFECB94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D7AE233A"/>
    <w:multiLevelType w:val="singleLevel"/>
    <w:tmpl w:val="D7AE23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DF7EEDE6"/>
    <w:multiLevelType w:val="singleLevel"/>
    <w:tmpl w:val="DF7EED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E4FF596E"/>
    <w:multiLevelType w:val="singleLevel"/>
    <w:tmpl w:val="E4FF596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ECFA72D0"/>
    <w:multiLevelType w:val="singleLevel"/>
    <w:tmpl w:val="ECFA72D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F1F1BC93"/>
    <w:multiLevelType w:val="singleLevel"/>
    <w:tmpl w:val="F1F1BC9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F3DE6461"/>
    <w:multiLevelType w:val="singleLevel"/>
    <w:tmpl w:val="F3DE646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8">
    <w:nsid w:val="F7BA4E48"/>
    <w:multiLevelType w:val="singleLevel"/>
    <w:tmpl w:val="F7BA4E4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FDFE119C"/>
    <w:multiLevelType w:val="singleLevel"/>
    <w:tmpl w:val="FDFE119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FDFE6FA7"/>
    <w:multiLevelType w:val="singleLevel"/>
    <w:tmpl w:val="FDFE6FA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1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2">
    <w:nsid w:val="FF4DFD90"/>
    <w:multiLevelType w:val="singleLevel"/>
    <w:tmpl w:val="FF4DFD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24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25">
    <w:nsid w:val="FFCAC509"/>
    <w:multiLevelType w:val="singleLevel"/>
    <w:tmpl w:val="FFCAC5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FFEF687C"/>
    <w:multiLevelType w:val="singleLevel"/>
    <w:tmpl w:val="FFEF68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8">
    <w:nsid w:val="0DAAF662"/>
    <w:multiLevelType w:val="singleLevel"/>
    <w:tmpl w:val="0DAAF6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0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1">
    <w:nsid w:val="2FF3948F"/>
    <w:multiLevelType w:val="singleLevel"/>
    <w:tmpl w:val="2FF394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4EDDB439"/>
    <w:multiLevelType w:val="singleLevel"/>
    <w:tmpl w:val="4EDDB43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575FDA5A"/>
    <w:multiLevelType w:val="singleLevel"/>
    <w:tmpl w:val="575FDA5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6FF85D9C"/>
    <w:multiLevelType w:val="singleLevel"/>
    <w:tmpl w:val="6FF85D9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5">
    <w:nsid w:val="6FFE1750"/>
    <w:multiLevelType w:val="singleLevel"/>
    <w:tmpl w:val="6FFE175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6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37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38">
    <w:nsid w:val="7FF48231"/>
    <w:multiLevelType w:val="singleLevel"/>
    <w:tmpl w:val="7FF4823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30"/>
  </w:num>
  <w:num w:numId="2">
    <w:abstractNumId w:val="37"/>
  </w:num>
  <w:num w:numId="3">
    <w:abstractNumId w:val="5"/>
  </w:num>
  <w:num w:numId="4">
    <w:abstractNumId w:val="27"/>
  </w:num>
  <w:num w:numId="5">
    <w:abstractNumId w:val="21"/>
  </w:num>
  <w:num w:numId="6">
    <w:abstractNumId w:val="36"/>
  </w:num>
  <w:num w:numId="7">
    <w:abstractNumId w:val="17"/>
  </w:num>
  <w:num w:numId="8">
    <w:abstractNumId w:val="29"/>
  </w:num>
  <w:num w:numId="9">
    <w:abstractNumId w:val="23"/>
  </w:num>
  <w:num w:numId="10">
    <w:abstractNumId w:val="24"/>
  </w:num>
  <w:num w:numId="11">
    <w:abstractNumId w:val="6"/>
  </w:num>
  <w:num w:numId="12">
    <w:abstractNumId w:val="2"/>
  </w:num>
  <w:num w:numId="13">
    <w:abstractNumId w:val="33"/>
  </w:num>
  <w:num w:numId="14">
    <w:abstractNumId w:val="28"/>
  </w:num>
  <w:num w:numId="15">
    <w:abstractNumId w:val="38"/>
  </w:num>
  <w:num w:numId="16">
    <w:abstractNumId w:val="0"/>
  </w:num>
  <w:num w:numId="17">
    <w:abstractNumId w:val="34"/>
  </w:num>
  <w:num w:numId="18">
    <w:abstractNumId w:val="20"/>
  </w:num>
  <w:num w:numId="19">
    <w:abstractNumId w:val="15"/>
  </w:num>
  <w:num w:numId="20">
    <w:abstractNumId w:val="18"/>
  </w:num>
  <w:num w:numId="21">
    <w:abstractNumId w:val="3"/>
  </w:num>
  <w:num w:numId="22">
    <w:abstractNumId w:val="13"/>
  </w:num>
  <w:num w:numId="23">
    <w:abstractNumId w:val="7"/>
  </w:num>
  <w:num w:numId="24">
    <w:abstractNumId w:val="31"/>
  </w:num>
  <w:num w:numId="25">
    <w:abstractNumId w:val="35"/>
  </w:num>
  <w:num w:numId="26">
    <w:abstractNumId w:val="26"/>
  </w:num>
  <w:num w:numId="27">
    <w:abstractNumId w:val="1"/>
  </w:num>
  <w:num w:numId="28">
    <w:abstractNumId w:val="32"/>
  </w:num>
  <w:num w:numId="29">
    <w:abstractNumId w:val="4"/>
  </w:num>
  <w:num w:numId="30">
    <w:abstractNumId w:val="8"/>
  </w:num>
  <w:num w:numId="31">
    <w:abstractNumId w:val="22"/>
  </w:num>
  <w:num w:numId="32">
    <w:abstractNumId w:val="25"/>
  </w:num>
  <w:num w:numId="33">
    <w:abstractNumId w:val="19"/>
  </w:num>
  <w:num w:numId="34">
    <w:abstractNumId w:val="9"/>
  </w:num>
  <w:num w:numId="35">
    <w:abstractNumId w:val="11"/>
  </w:num>
  <w:num w:numId="36">
    <w:abstractNumId w:val="10"/>
  </w:num>
  <w:num w:numId="37">
    <w:abstractNumId w:val="16"/>
  </w:num>
  <w:num w:numId="38">
    <w:abstractNumId w:val="12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1C1754"/>
    <w:rsid w:val="7FF6C12C"/>
    <w:rsid w:val="BCB98261"/>
    <w:rsid w:val="BFFF758C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2025-10-06T22:25:40Z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27C83EEC7C4D46B264D1E368F45AC8E0_43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