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48B0FC">
      <w:pPr>
        <w:pStyle w:val="2"/>
      </w:pPr>
    </w:p>
    <w:p w14:paraId="69346966">
      <w:pPr>
        <w:pStyle w:val="2"/>
      </w:pPr>
      <w:r>
        <w:t>变压器装配线轭铁AGV技术分析报告</w:t>
      </w:r>
    </w:p>
    <w:p w14:paraId="44DF1C85">
      <w:pPr>
        <w:pStyle w:val="3"/>
      </w:pPr>
      <w:r>
        <w:t>一、轭铁AGV结构组成与功能特点</w:t>
      </w:r>
    </w:p>
    <w:p w14:paraId="0CF49C35">
      <w:pPr>
        <w:pStyle w:val="4"/>
      </w:pPr>
      <w:r>
        <w:t>1.1 车体框架设计与结构特性</w:t>
      </w:r>
    </w:p>
    <w:p w14:paraId="2790612E">
      <w:r>
        <w:t>变压器装配线轭铁AGV的车体框架作为承载核心部件，其设计需同时满足结构刚性、负载能力与空间适配性要求。基于变压器轭铁（如S7-100/10型号轭铁宽度100mm，叠厚需匹配心柱截面积）的尺寸特点，框架普遍采用四轮布置的矩形钢结构，长度范围为500-800mm，宽度300-500mm，整体高度控制在71cm以上以确保车间地面通过性。材料选型以Q235或45钢为主，通过焊接或高强度螺栓连接形成整体刚性结构，部分重载型号在底部增设5-8mm厚加强筋，经有限元分析验证，其弯曲变形量可控制在0.5mm/m以内，满足额定负载35-50kg的承重需求。</w:t>
      </w:r>
    </w:p>
    <w:p w14:paraId="4545954B">
      <w:r>
        <w:t>框架结构设计需兼顾多系统集成需求：上部平面预留移载装置安装接口，采用T型槽或定位销孔结构，方便真空吸盘组或机械夹爪的快速更换；中部区域集成电池仓，通常配置24V或48V锂电池组（容量根据续航需求选择50-100Ah），通过绝缘隔板与电气元件隔离；下部空间则为驱动轮、转向轮及传感器安装提供布局空间，车轮轴距与轮距设计需确保整车质心位于驱动轮轴线中点上方，静态稳定性系数≥1.2，避免重载时发生侧翻。某变压器厂实际应用中，通过在框架关键部位设置应力监测点，长期运行数据显示最大应力值为120MPa，远低于Q235钢的屈服强度235MPa，结构安全性裕度充足。</w:t>
      </w:r>
    </w:p>
    <w:p w14:paraId="1E54547A">
      <w:pPr>
        <w:pStyle w:val="4"/>
      </w:pPr>
      <w:r>
        <w:t>1.2 驱动系统核心部件组成</w:t>
      </w:r>
    </w:p>
    <w:p w14:paraId="01700324">
      <w:r>
        <w:t>轭铁AGV的驱动系统是实现精准运动的核心，其设计需平衡驱动力矩、传动效率与控制精度。主流配置采用双轮差速驱动方案，核心部件包括驱动轮组、伺服电机、减速器及传动连接机构。驱动轮组直径根据运行速度（100mm/s）与电机输出转速计算确定，通常选用直径120-150mm的聚氨酯轮胎，胎面硬度60±5 Shore A，兼具耐磨性与减震效果。</w:t>
      </w:r>
    </w:p>
    <w:p w14:paraId="12780C4B">
      <w:r>
        <w:t>电机选型以直流伺服电机为主，典型如MAXON F2260系列，额定功率80W，额定转速3000rpm，通过蜗轮蜗杆减速器（减速比i=62）减速后，输出转速降至约48rpm，对应轮周速度为100mm/s，满足轭铁搬运的低速平稳运行要求。部分重载型号采用行星齿轮减速器，传动效率提升至0.7（蜗轮蜗杆减速器效率约0.5-0.6），但成本增加约30%。动力传递路径为：电机输出轴通过安全销式联轴器（销钉直径5mm，45钢材质，剪切强度353MPa）连接蜗杆，蜗杆驱动蜗轮旋转，蜗轮通过键连接带动轮轴与驱动轮同步转动。</w:t>
      </w:r>
    </w:p>
    <w:p w14:paraId="7A690A71">
      <w:r>
        <w:t>传动系统设计需重点考虑过载保护，安全销联轴器在遭遇超过额定扭矩1.5倍的冲击时，销钉会剪切断裂，避免电机或减速器内部齿轮损坏。根据牵引力计算公式F=μ(G+P)（其中μ为滚动摩擦系数，取0.02；G为轭铁负载35kg；P为车架自重约40kg），可计算得所需牵引力F=0.02×(35+40)×9.8≈14.7N，结合驱动轮半径75mm，电机输出扭矩需≥14.7×0.075/0.6≈1.84N·m，MAXON F2260电机经减速后输出扭矩可达2.5N·m，满足设计需求并留有安全余量。</w:t>
      </w:r>
    </w:p>
    <w:p w14:paraId="0EDC4FAB">
      <w:pPr>
        <w:pStyle w:val="4"/>
      </w:pPr>
      <w:r>
        <w:t>1.3 转向机构类型与适配性设计</w:t>
      </w:r>
    </w:p>
    <w:p w14:paraId="1F67F8FD">
      <w:r>
        <w:t>轭铁AGV的转向机构需根据车间布局复杂度与运动灵活性要求选择，目前主流方案包括万向轮转向与麦克纳姆轮全向转向两种类型。万向轮转向机构结构简单，前轮采用带双轮缘的万向轮组件，通过垂直轴与车架连接，转向角度范围±30°，可适应地面±5mm的不平整误差。轮轴处配置弹簧减震装置，压缩行程10-15mm，当AGV通过地面接缝或轻微凸起时，减震弹簧可吸收冲击能量，减少轭铁搬运过程中的振动，保护硅钢片涂层不受损伤。</w:t>
      </w:r>
    </w:p>
    <w:p w14:paraId="7A0DE155">
      <w:r>
        <w:t>麦克纳姆轮转向机构则通过四组轮系的转速与转向组合实现全向移动，每个轮系由轮毂与若干斜向辊子组成，辊子轴线与轮毂轴线呈45°夹角。当控制相邻轮子反向转动时，可实现横向移动；控制同侧轮子差速转动时，可实现原地旋转，最小转弯半径为0，特别适用于变压器装配车间狭窄通道（宽度≤2米）的灵活转运。但该结构对地面平整度要求更高（误差需≤3mm），且辊子轴承易因粉尘进入而磨损，维护周期较万向轮缩短约50%。</w:t>
      </w:r>
    </w:p>
    <w:p w14:paraId="3480E9BC">
      <w:r>
        <w:t>转向精度控制通过编码器实时反馈实现，驱动轮轴端安装1024线增量编码器，每转产生1024个脉冲信号，经控制器计算可实现0.1mm的位移分辨率。结合PID闭环控制算法，转向定位误差可控制在≤±10mm，重复定位精度达±5mm，满足轭铁与铁芯柱装配时的对接对准要求。双轮缘设计可有效防止轮子在转向过程中脱轨，轮缘高度通常为轮胎直径的1/10（12-15mm），确保运行安全性。</w:t>
      </w:r>
    </w:p>
    <w:p w14:paraId="1A5948BB">
      <w:pPr>
        <w:pStyle w:val="4"/>
      </w:pPr>
      <w:r>
        <w:t>1.4 移载装置功能实现与结构设计</w:t>
      </w:r>
    </w:p>
    <w:p w14:paraId="11907F56">
      <w:r>
        <w:t>移载装置是轭铁AGV实现物料装卸的关键功能部件，其设计需匹配轭铁的物理特性（矩形或U型截面、表面平整、易损伤）与装配工序要求。针对S7系列变压器的矩形轭铁（表面平整，宽度统一为100mm），主流方案采用气动升降平台配合真空吸盘组的组合结构。升降平台由双作用气缸驱动，缸径50mm，行程150-300mm，通过节流阀可调节升降速度（50-100mm/s），平台底部安装直线导轨导向，确保升降过程无偏摆。</w:t>
      </w:r>
    </w:p>
    <w:p w14:paraId="65E9FB53">
      <w:r>
        <w:t>真空吸盘组配置4-6个直径50mm的丁腈橡胶吸盘，按轭铁重心对称布局（间距根据轭铁长度调整，通常为200-300mm），通过真空发生器产生-0.06MPa的真空度，单个吸盘理论吸附力约118N（F=P×S=0.06×10⁶Pa×π×(0.025m)²≈118N），4个吸盘总吸附力达472N，远超轭铁最大重量50kg（对应重力490N），安全系数≥1.2。吸盘与轭铁接触部位贴覆2mm厚耐磨橡胶垫，既增加摩擦力防止滑动，又避免硬质接触损伤硅钢片涂层。</w:t>
      </w:r>
    </w:p>
    <w:p w14:paraId="64D0F008">
      <w:r>
        <w:t>对于圆形截面或U型轭铁，部分AGV采用机械夹爪式移载装置。夹爪由铝合金型材加工而成，内侧设计与轭铁轮廓匹配的弧形接触面，通过伺服电机驱动滚珠丝杠实现开合动作，夹持力通过压力传感器闭环控制，典型值300-500N，可根据轭铁重量自动调节（重量35kg时夹持力设为300N，50kg时设为500N）。夹爪行程范围100-300mm，适应不同叠厚的轭铁，且配置限位传感器防止过夹持。</w:t>
      </w:r>
    </w:p>
    <w:p w14:paraId="0084A4D6">
      <w:r>
        <w:t>移载装置的定位基准与AGV导航系统联动，通过安装在升降平台上的激光定位传感器或视觉相机，对轭铁进行二次定位校准，确保放置到铁芯柱上时的对接误差≤±2mm。某变压器厂实际应用数据显示，采用视觉定位的移载装置，装配工序的返工率从传统人工搬运的8%降至1.5%，显著提升生产效率。</w:t>
      </w:r>
    </w:p>
    <w:p w14:paraId="202276CA">
      <w:pPr>
        <w:pStyle w:val="3"/>
      </w:pPr>
      <w:r>
        <w:t>二、机械原理与驱动系统分析</w:t>
      </w:r>
    </w:p>
    <w:p w14:paraId="4863017E">
      <w:pPr>
        <w:pStyle w:val="4"/>
      </w:pPr>
      <w:r>
        <w:t>2.1 运动学原理与动力学特性</w:t>
      </w:r>
    </w:p>
    <w:p w14:paraId="515656A5">
      <w:r>
        <w:t>轭铁AGV的运动学特性基于差速驱动原理实现，其转向运动可简化为两轮独立控制的平面运动模型。设AGV车体长度为L，宽度为W，左右驱动轮半径为r，轮间距为B（驱动轮轴线距离）。当左右轮转速分别为n₁和n₂（单位rps）时，AGV的前进速度v=(r(n₁+n₂))/2，转向角速度ω=(r(n₁-n₂))/B，转弯半径R=(B(n₁+n₂))/(2(n₁-n₂))。当n₁=n₂时，ω=0，AGV作直线运动；当n₁=-n₂时，R=0，AGV实现原地旋转，最小转弯半径为0，这一特性使其在变压器装配车间的狭窄空间内具有良好的机动性。</w:t>
      </w:r>
    </w:p>
    <w:p w14:paraId="23F3467F">
      <w:r>
        <w:t>动力学分析需考虑加速过程对运行平稳性的影响。AGV启动时，驱动力需克服静摩擦力与惯性力，根据牛顿第二定律F=ma，其中m为AGV总质量（约75kg，含35kg负载），加速度a通常设为0.1m/s²，所需驱动力F=75×0.1=7.5N，小于驱动系统额定牵引力14.7N，确保启动平稳无打滑。减速过程采用梯形速度曲线，减速度同样控制在0.1m/s²以内，避免轭铁因惯性力产生位移或倾斜。</w:t>
      </w:r>
    </w:p>
    <w:p w14:paraId="05055981">
      <w:r>
        <w:t>运行过程中的动态稳定性通过质心位置控制实现，AGV空载质心位于驱动轮轴线上方，负载轭铁后质心前移量需≤100mm，确保前后轮载荷分配合理（驱动轮载荷≥总重的60%），防止制动时前轮翘起。某仿真分析显示，当AGV以0.1m/s²加速度启动时，质心处惯性力产生的倾覆力矩为75×0.1×0.3=2.25N·m（质心高度0.3m），远小于车体稳定力矩（约20N·m），动态稳定性满足要求。</w:t>
      </w:r>
    </w:p>
    <w:p w14:paraId="3935A24F">
      <w:pPr>
        <w:pStyle w:val="4"/>
      </w:pPr>
      <w:r>
        <w:t>2.2 驱动方式与传动机制</w:t>
      </w:r>
    </w:p>
    <w:p w14:paraId="3875E04E">
      <w:r>
        <w:t>轭铁AGV的驱动方式主要分为差速驱动与全向驱动两类，其传动机制直接影响运动性能与适用场景。差速驱动系统由两个独立控制的驱动轮与两个随动万向轮组成，动力传递路径为：伺服电机输出扭矩→安全销联轴器→蜗轮蜗杆减速器→轮轴→驱动轮。该结构的核心是通过控制两侧驱动轮的转速差实现转向，优点是结构简单（零部件数量较全向驱动少30%）、成本低、维护方便，缺点是运动轨迹为圆弧，无法实现横向平移，在复杂路径规划时灵活性受限。</w:t>
      </w:r>
    </w:p>
    <w:p w14:paraId="559E7145">
      <w:r>
        <w:t>全向驱动系统采用麦克纳姆轮结构，每个轮子内部包含多个自由转动的斜向辊子，通过控制四个轮子的转速与转向组合，可实现前进、后退、横向移动、斜向移动及原地旋转等全方位运动。其传动机制为：电机→行星齿轮减速器→轮轴→麦克纳姆轮，行星齿轮减速器传动效率（0.85-0.9）高于蜗轮蜗杆减速器（0.5-0.6），但辊子轴承数量多（每个轮子含8-12个辊子轴承），对装配精度要求更高（辊子轴线角度误差需≤0.5°），否则易产生“卡滞”现象。</w:t>
      </w:r>
    </w:p>
    <w:p w14:paraId="75C065C2">
      <w:r>
        <w:t>两种驱动方式的受力特性存在显著差异：差速驱动时，转向过程中内侧轮受向心摩擦力，外侧轮受离心摩擦力，地面需提供足够附着力防止打滑，因此对地面摩擦系数要求较高（≥0.3）；全向驱动时，轮子所受摩擦力方向与辊子轴线垂直，通过多方向力的合成实现运动，对地面平整度要求更高（误差需≤3mm），否则辊子与地面接触不均会导致运动轨迹偏移。</w:t>
      </w:r>
    </w:p>
    <w:p w14:paraId="2DC8F98C">
      <w:r>
        <w:t>传动间隙是影响运动精度的关键因素，差速驱动系统中，蜗轮蜗杆啮合间隙通常控制在0.1-0.2mm，通过预紧装置可减小至0.05mm以内；全向驱动系统的行星齿轮间隙较小（0.05-0.1mm），但辊子与轮架之间的间隙会导致反向运动时产生“死区”（约0.5-1mm位移滞后）。某测试数据显示，在1m直线运动中，差速驱动AGV的位置误差为±0.8mm，全向驱动为±1.2mm，而在1m横向移动中，全向驱动误差降至±0.5mm，体现了不同驱动方式的性能特点。</w:t>
      </w:r>
    </w:p>
    <w:p w14:paraId="2469B301">
      <w:pPr>
        <w:pStyle w:val="4"/>
      </w:pPr>
      <w:r>
        <w:t>2.3 驱动系统性能参数与选型依据</w:t>
      </w:r>
    </w:p>
    <w:p w14:paraId="0C3841BC">
      <w:r>
        <w:t>驱动系统的性能参数选型需基于轭铁搬运的实际工况，通过多目标优化确定电机功率、减速器减速比、轮胎直径等核心参数。额定负载是首要考虑因素，轭铁AGV的额定负载通常设定为35-50kg，考虑1.5倍安全系数，驱动系统需满足75kg负载能力。运行速度根据装配线节拍确定，变压器装配工序要求AGV在工位间转运时间≤30s，车间工位间距通常为5-10m，因此运行速度需达到0.1-0.3m/s，综合平稳性要求，主流设计取100mm/s（0.1m/s）。</w:t>
      </w:r>
    </w:p>
    <w:p w14:paraId="72B51EAB">
      <w:r>
        <w:t>电机功率计算需考虑克服滚动摩擦、坡度阻力与加速阻力。滚动摩擦力Ff=μmg=0.02×75×9.8=14.7N；假设车间地面最大坡度为3°，坡度阻力Fp=mgsinθ=75×9.8×sin3°≈38.5N；加速阻力Fa=ma=75×0.1=7.5N；总阻力F=Ff+Fp+Fa=14.7+38.5+7.5=60.7N。驱动轮半径r=0.075m，所需驱动扭矩T=F×r=60.7×0.075≈4.55N·m，考虑传动效率η=0.6（蜗轮蜗杆减速器），电机输出扭矩需≥4.55/0.6≈7.58N·m。</w:t>
      </w:r>
    </w:p>
    <w:p w14:paraId="32CA5A1E">
      <w:r>
        <w:t>伺服电机额定转速通常为3000rpm，减速器输出转速n=v/(2πr)=0.1/(2×3.14×0.075)≈0.212rps=12.7rpm，减速比i=电机转速/输出转速=3000/12.7≈236。但实际选型中，标准减速器减速比为62、100、200等系列值，因此需调整参数。若选用i=200的减速器，则输出转速n=3000/200=15rpm，运行速度v=2πr×n=2×3.14×0.075×15/60≈0.118m/s（118mm/s），略高于目标值，可通过电机调速解决。此时电机输出扭矩T=4.55/(0.6×200/3000)=4.55×25=113.75N·cm=1.1375N·m，选用额定扭矩1.2N·m的电机即可满足需求，如MAXON RE35系列（额定功率80W，额定扭矩1.2N·m）。</w:t>
      </w:r>
    </w:p>
    <w:p w14:paraId="578F59E0">
      <w:r>
        <w:t>轮胎选型需平衡承载能力、耐磨性与减震性。聚氨酯轮胎（硬度60 Shore A）的承载能力为50kg/cm²，直径150mm的轮胎接地面积约20cm²，单轮承载可达1000kg，满足AGV需求。其滚动摩擦系数（0.02）低于橡胶轮胎（0.03），可降低驱动能耗；耐磨性是橡胶轮胎的3-5倍，使用寿命可达1000km以上。胎面花纹采用细纹设计，减少在光滑地面的打滑，同时避免积聚金属碎屑。</w:t>
      </w:r>
    </w:p>
    <w:p w14:paraId="0917201C">
      <w:r>
        <w:t>综合选型结果：驱动轮直径150mm，电机选用80W直流伺服电机（额定扭矩1.2N·m，3000rpm），减速器减速比200，传动效率0.6，轮胎材质聚氨酯（60 Shore A），可满足负载50kg、速度100mm/s、爬坡3°的工况要求，且成本控制在目标范围内（单套驱动系统硬件成本约4500元）。</w:t>
      </w:r>
    </w:p>
    <w:p w14:paraId="36DBEE64">
      <w:pPr>
        <w:pStyle w:val="3"/>
      </w:pPr>
      <w:r>
        <w:t>三、控制系统原理与导航技术</w:t>
      </w:r>
    </w:p>
    <w:p w14:paraId="56EEF923">
      <w:pPr>
        <w:pStyle w:val="4"/>
      </w:pPr>
      <w:r>
        <w:t>3.1 控制系统架构与核心组件</w:t>
      </w:r>
    </w:p>
    <w:p w14:paraId="17668211">
      <w:r>
        <w:t>轭铁AGV的控制系统采用“三层架构”设计，由车载控制系统、中央调度系统与通信系统构成有机整体，实现任务接收、自主导航、运动控制与状态反馈的全流程自动化。车载控制系统作为AGV的“大脑”，负责实时运动控制与传感器数据处理，核心组件包括主控制器、运动控制模块、I/O模块与传感器接口模块。主控制器根据功能需求可选用PLC（如西门子S7-1215C DC/DC/DC）、专用AGV控制器（如美国NDC CVC600）或工业PC，其中PLC方案成本较低（约5000元），但编程灵活性受限；专用控制器集成导航与运动算法，开发效率高，但成本较高（约15000元）。</w:t>
      </w:r>
    </w:p>
    <w:p w14:paraId="1B2DF597">
      <w:r>
        <w:t>运动控制模块采用基于DSP的伺服驱动器（如雷赛DMC5480），接收主控制器的速度指令（模拟量0-10V或脉冲信号），驱动直流伺服电机运行，同时通过编码器实现速度闭环控制（控制精度±0.1rpm）。I/O模块负责连接电磁阀（控制真空吸盘）、限位开关、急停按钮等外围设备，通常配置16路数字量输入（DI）与16路数字量输出（DO），8路模拟量输入（AI）用于压力、真空度等模拟信号采集。传感器接口模块集成激光雷达、视觉相机、超声波传感器等导航与避障设备的通信接口（RS485、Ethernet、CAN），实现多传感器数据融合。</w:t>
      </w:r>
    </w:p>
    <w:p w14:paraId="79F6D513">
      <w:r>
        <w:t>中央调度系统部署在车间管理服务器，采用C/S架构，由调度软件、数据库服务器与监控终端组成。调度软件核心功能包括：任务管理（接收MES系统订单、分解为AGV可执行任务）、路径规划（基于A*算法计算最优路径）、交通管理（避免多AGV冲突）、状态监控（实时显示AGV位置、电量、任务进度）。数据库服务器存储AGV运行数据（位置、速度、故障记录）与任务数据，采用MySQL或SQL Server，数据采样周期100ms，历史数据保存3个月以上。监控终端通过Web界面或客户端软件实现人机交互，支持任务下发、参数配置与故障报警。</w:t>
      </w:r>
    </w:p>
    <w:p w14:paraId="7F0DC076">
      <w:r>
        <w:t>通信系统采用“无线为主、有线为辅”的方案，车载控制器通过工业级无线网卡（支持802.11g/n，传输速率54Mbps）接入车间WLAN网络，与中央调度系统进行数据交互。无线AP采用ESS拓扑结构，沿AGV运行路径间隔15-20m布置，支持无缝漫游（切换时间≤50ms），确保通信连续性。通信协议采用TCP/IP，其中TCP用于任务指令与状态数据的可靠传输（数据丢包率&lt;0.1%），UDP用于导航数据等实时性要求高的传输（延迟&lt;100ms）。为保障通信稳定，系统采用“心跳包”机制，AGV每200ms向调度系统发送一次心跳信号（包含设备ID、位置、状态码），超时3次（600ms）则判定为通信中断，触发报警并执行安全停机。</w:t>
      </w:r>
    </w:p>
    <w:p w14:paraId="4D5F2A8A">
      <w:r>
        <w:t>系统集成时，车载控制器通过PROFINET总线与伺服驱动器、I/O模块通信，通信周期1ms；通过Modbus RTU协议与传感器通信，周期10ms。中央调度系统与MES系统通过OPC UA接口对接，实现生产数据共享。某变压器厂的应用案例显示，该控制系统架构可实现9台AGV的协同工作，任务响应时间≤1s，系统综合利用率达95%以上。</w:t>
      </w:r>
    </w:p>
    <w:p w14:paraId="6E29BA51">
      <w:pPr>
        <w:pStyle w:val="4"/>
      </w:pPr>
      <w:r>
        <w:t>3.2 导航定位技术原理与对比分析</w:t>
      </w:r>
    </w:p>
    <w:p w14:paraId="3CAC950E">
      <w:r>
        <w:t>轭铁AGV的导航定位技术直接影响运行精度与环境适应性，目前变压器装配车间主流应用的导航方式包括磁导航、激光导航与视觉导航，各技术原理与性能特点存在显著差异。磁导航技术基于电磁感应原理，在地面铺设永磁磁条（厚度1.5mm，宽度10mm）或粘贴磁钉（直径5mm，埋深3-5mm），AGV底部安装磁传感器（如霍尔传感器阵列），通过检测磁场强度变化识别路径。其定位原理是：磁条产生的磁场在中心线上最强，传感器阵列输出的差分信号经放大、滤波后，送入控制器计算偏离量，再通过PID算法控制驱动轮差速，实现路径跟踪。</w:t>
      </w:r>
    </w:p>
    <w:p w14:paraId="1A5C4E24">
      <w:r>
        <w:t>磁导航的优势在于成本低廉（单台AGV导航硬件成本约3000元）、技术成熟、抗干扰能力强（不受光照、粉尘影响），缺点是路径固定（修改需重新铺设磁条）、定位精度较低（±10-20mm）、易受金属碎屑干扰（铁磁物质覆盖磁条会导致信号衰减）。某调研数据显示，磁导航AGV因磁条磨损、断裂导致的故障率占总故障的35%，平均每月需更换2-3段磁条（每段1米），维护工作量较大。</w:t>
      </w:r>
    </w:p>
    <w:p w14:paraId="77CC6907">
      <w:r>
        <w:t>激光导航技术通过激光雷达扫描环境中的反光板实现定位，AGV顶部安装激光扫描器（如SICK LMS111），在车间固定位置布置若干反光板（直径100mm，反射率≥90%），扫描器发射激光束并接收反射信号，通过测量与反光板的距离及角度，结合三角定位原理计算AGV的绝对坐标。其定位精度可达±1cm，重复定位精度±5mm，满足轭铁装配的高精度要求。激光导航无需地面标记，路径修改仅需软件配置，灵活性高，支持动态路径规划。</w:t>
      </w:r>
    </w:p>
    <w:p w14:paraId="55BACC54">
      <w:r>
        <w:t>但激光导航对环境要求较高：车间内不能有大量金属反光物（如未处理的变压器外壳），否则会产生虚假反射信号；空旷区域（无反光板）的定位误差会随时间漂移（30秒内可达±5cm）；激光雷达成本较高（单台约1.5-3万元），且维护需专业人员（年度校准费用约设备总价的8%）。某变压器厂案例中，因车间起重机轨道反光干扰，激光导航AGV出现间歇性定位漂移，通过在反光区域加装防反射涂层（哑光黑色），漂移量控制在±3mm以内。</w:t>
      </w:r>
    </w:p>
    <w:p w14:paraId="282458C4">
      <w:r>
        <w:t>视觉导航技术通过工业相机采集地面图像，识别二维码、色带或自然环境特征实现定位。二维码导航（如ARUCO码）在地面按一定间隔（500-1000mm）张贴二维码标签，相机拍摄后通过图像处理算法解析标签ID与姿态角，结合里程计数据实现定位，精度±5-10mm，成本介于磁导航与激光导航之间（单台设备约8000-12000元）。自然特征导航（视觉SLAM）则无需人工标记，通过提取环境中的墙角、柱子等特征点构建地图，实时匹配定位，灵活性最高，但计算复杂度大，需配置GPU加速（如NVIDIA Jetson TX2）。</w:t>
      </w:r>
    </w:p>
    <w:p w14:paraId="69DD382B">
      <w:r>
        <w:t>视觉导航的主要挑战是环境适应性：光照变化（如阳光直射、阴影）会导致二维码识别率下降（从99.9%降至85%以下）；地面油污、划痕会干扰特征提取；图像处理延迟可能影响实时性（算法处理时间需≤50ms）。某企业实践中，通过在工位上方安装恒光照LED灯（照度500-800lux）、定期清洁地面二维码，使视觉导航的故障率从12%降至3%。</w:t>
      </w:r>
    </w:p>
    <w:p w14:paraId="232E5A30">
      <w:r>
        <w:t>三种导航技术的综合对比显示：磁导航适合路径固定、预算有限的单一品种变压器生产线；激光导航适合多品种小批量生产，需频繁调整路径的场景；视觉导航在对成本与灵活性均有要求的场景中具有竞争力。混合导航方案（如激光+惯性导航）可进一步提升可靠性，当激光信号丢失时，惯性导航（IMU）可维持30秒高精度定位，已在部分高端变压器装配线应用。</w:t>
      </w:r>
    </w:p>
    <w:p w14:paraId="04DAF540">
      <w:pPr>
        <w:pStyle w:val="4"/>
      </w:pPr>
      <w:r>
        <w:t>3.3 路径规划与避障策略实现</w:t>
      </w:r>
    </w:p>
    <w:p w14:paraId="5939F86C">
      <w:r>
        <w:t>轭铁AGV的路径规划与避障策略是确保复杂装配环境中高效、安全运行的核心技术，系统需实现从任务接收至目标到达的全流程自主决策。路径规划采用“全局-局部”二级架构：全局路径规划在任务开始前，基于已知的静态环境地图（包含装配工位、传送带、安全通道等区域），通过A</w:t>
      </w:r>
      <w:r>
        <w:rPr>
          <w:rStyle w:val="54"/>
        </w:rPr>
        <w:t>算法计算从起点到终点的最优路径。A</w:t>
      </w:r>
      <w:r>
        <w:t>算法的核心是引入启发式函数h(n)=|x₁-x₂|+|y₁-y₂|（曼哈顿距离），评估节点代价f(n)=g(n)+h(n)（g(n)为起点到当前节点的实际代价，h(n)为当前节点到终点的估计代价），通过优先队列快速搜索代价最小的路径。</w:t>
      </w:r>
    </w:p>
    <w:p w14:paraId="773BE946">
      <w:r>
        <w:t>全局路径以路径点序列形式存储，每个路径点包含坐标（x,y）、方向角θ、速度限制v等信息，路径点间距根据曲率变化动态调整：直线段间距1m，曲线段间距0.5m，确保运动平滑。为适应动态环境（如临时堆放的物料），系统采用分段路径下发机制：中央调度系统仅下发当前路径段（通常包含5-10个路径点），AGV到达该段终点后，再请求下一段路径，避免因环境变化导致整条路径失效。</w:t>
      </w:r>
    </w:p>
    <w:p w14:paraId="5116BD73">
      <w:r>
        <w:t>局部路径规划在AGV运行过程中实时执行，通过动态窗口法（DWA）处理突发障碍物。DWA的原理是：在速度空间（v,ω）中采样多组候选速度（考虑电机最大转速、加速度限制），针对每组速度模拟未来1-2秒的运动轨迹，然后通过评价函数（包含安全性、路径跟随性、速度一致性指标）选择最优轨迹。评价函数如：G(v,ω)=α×heading(v,ω)+β×dist(v,ω)+γ×velocity(v,ω)，其中heading为轨迹方向与目标方向的偏差，dist为轨迹与障碍物的最小距离，velocity为当前速度与期望速度的比值，α,β,γ为权重系数（通常β&gt;α&gt;γ，优先保证安全）。</w:t>
      </w:r>
    </w:p>
    <w:p w14:paraId="720CD40F">
      <w:r>
        <w:t>避障策略的实现依赖多传感器融合感知环境，AGV配置的避障传感器包括：激光雷达（扫描角度270°，检测距离0.1-30m，分辨率0.5°）用于远距离障碍物检测；超声波传感器（检测距离0.1-3m）用于近距离盲区补偿；光电传感器（检测距离0.1-2m）用于地面凹陷或凸起检测。传感器数据经坐标变换（将激光雷达点云转换到车体坐标系）、滤波（卡尔曼滤波去除噪声）、聚类（区分单个或多个障碍物）后，构建局部障碍地图，再输入DWA算法进行轨迹规划。</w:t>
      </w:r>
    </w:p>
    <w:p w14:paraId="54EC8301">
      <w:r>
        <w:t>多AGV协同的交通管理采用“路径资源预分配”机制，中央调度系统将车间地图划分为若干路径段（如通道、交叉路口、工位区域），每个路径段视为一种资源。当AGV申请路径时，调度系统检查路径段的占用情况，若空闲则分配使用权并锁定，AGV通过后释放资源；若冲突则采用优先级调度：按任务紧急度（如铁芯装配任务优先级高于物料转运）、AGV到达时间（先到先得）或设备负载（重载AGV优先）确定通行权。</w:t>
      </w:r>
    </w:p>
    <w:p w14:paraId="687C9E07">
      <w:r>
        <w:t>冲突检测采用冲突树算法（CBS），当检测到两台AGV的路径在同一时间片重叠时，通过添加约束（如要求AGV A在AGV B通过冲突点后10秒再进入）或重新规划路径解决。某案例显示，采用CBS算法后，多AGV系统的路径冲突率降低42%，平均任务完成时间缩短18%。</w:t>
      </w:r>
    </w:p>
    <w:p w14:paraId="4BEFD25E">
      <w:r>
        <w:t>路径规划的性能指标包括：规划时间（全局路径≤100ms，局部路径≤50ms）、路径长度（与最短路径偏差≤5%）、平滑度（曲率连续变化）。在变压器装配车间的实际测试中，A*算法的全局路径规划时间为65ms，DWA局部规划时间为30ms，避障响应时间≤200ms，可有效避开突然出现的工人或工具车（直径≥300mm的障碍物），确保运行安全。</w:t>
      </w:r>
    </w:p>
    <w:p w14:paraId="611E398E">
      <w:pPr>
        <w:pStyle w:val="3"/>
      </w:pPr>
      <w:r>
        <w:t>四、常见故障类型与成因分析</w:t>
      </w:r>
    </w:p>
    <w:p w14:paraId="2ACC821E">
      <w:pPr>
        <w:pStyle w:val="4"/>
      </w:pPr>
      <w:r>
        <w:t>4.1 导航系统故障及成因</w:t>
      </w:r>
    </w:p>
    <w:p w14:paraId="60EFF8E8">
      <w:r>
        <w:t>轭铁AGV的导航系统故障直接导致定位偏差或路径丢失，不同导航技术的故障类型与成因存在显著差异。磁导航系统的典型故障包括路径识别异常、定位漂移与信号丢失。路径识别异常表现为AGV频繁偏离磁条，主要成因是磁条磨损（表面磁性减弱至初始值的60%以下）、磁条边缘翘起（与地面间隙&gt;1mm导致磁场分布畸变）或磁场干扰（周围50mm内存在强磁性物质，如电焊机电缆）。某车间统计显示，磁条磨损是磁导航故障的首要原因（占比58%），尤其在叉车频繁碾压区域（每天≥10次），磁条寿命从6个月缩短至2个月。</w:t>
      </w:r>
    </w:p>
    <w:p w14:paraId="75C3FFBA">
      <w:r>
        <w:t>定位漂移（偏差超过±20mm）通常由传感器阵列故障引起，如霍尔元件老化（灵敏度下降30%）、信号调理电路增益漂移（偏离校准值±10%）或安装位置松动（传感器与磁条间距从15mm增至25mm，磁场强度衰减50%）。信号丢失则表现为控制器报“路径丢失”故障码，多因磁条断裂（焊接接头脱落）、磁钉脱落（胶粘剂失效）或传感器线缆接触不良（连接器氧化导致接触电阻&gt;10Ω）。</w:t>
      </w:r>
    </w:p>
    <w:p w14:paraId="38DE038D">
      <w:r>
        <w:t>激光导航系统的故障集中在定位精度下降、激光信号中断与反光板异常。定位精度下降（从±10mm恶化至±30mm）的常见成因包括：激光雷达镜头脏污（表面附着油污导致扫描精度下降）、内部电机转速不稳（编码器输出脉冲抖动±2%）、温度漂移（环境温度变化超过10℃/h，导致激光波长偏移）。某案例中，车间夏季高温（38℃）时，激光导航AGV的定位误差增大至±25mm，加装空调降温（控制环境温度25±5℃）后恢复正常。</w:t>
      </w:r>
    </w:p>
    <w:p w14:paraId="3993357B">
      <w:r>
        <w:t>激光信号中断多由障碍物遮挡引起，如起重机吊臂、高大物料堆等遮挡激光束（遮挡角度&gt;15°，持续时间&gt;500ms），或反光板被移动（位置偏差超过±5mm）、表面污染（反射率从90%降至60%以下）。部分情况下，金属工件的强反射会产生虚假回波，导致控制器误判位置，如变压器外壳的不锈钢表面反射率达95%，需在反光区域粘贴防反射胶带（反射率&lt;30%）。</w:t>
      </w:r>
    </w:p>
    <w:p w14:paraId="7E361D9C">
      <w:r>
        <w:t>视觉导航系统受环境因素影响显著，故障类型包括二维码识别失效、特征匹配错误与算法延迟。二维码识别失效表现为“无法读取二维码”或“读取错误ID”，主要成因是光照变化（强光导致图像过曝，对比度&lt;30；阴影导致图像欠曝，灰度值&lt;50）、二维码污损（油污覆盖面积&gt;20%）或相机焦距偏移（镜头松动导致图像模糊，清晰度&lt;0.5）。某企业实践中，通过在工位上方安装环形LED补光灯（照度稳定在500lux±50lux），二维码识别成功率从85%提升至99.5%。</w:t>
      </w:r>
    </w:p>
    <w:p w14:paraId="7BED8E55">
      <w:r>
        <w:t>特征匹配错误（自然特征导航）是因环境特征变化引起，如车间设备移动导致特征点消失（如移除货架后，原依赖的墙角特征丢失）、相似区域误匹配（如多排相同的装配台导致“重影”）。算法延迟则因计算资源不足，当同时处理图像识别、路径规划与传感器数据时，CPU占用率&gt;90%，导致定位周期从50ms延长至200ms，AGV出现“卡顿”现象，需优化算法或升级处理器。</w:t>
      </w:r>
    </w:p>
    <w:p w14:paraId="4026418E">
      <w:pPr>
        <w:pStyle w:val="4"/>
      </w:pPr>
      <w:r>
        <w:t>4.2 驱动系统故障及成因</w:t>
      </w:r>
    </w:p>
    <w:p w14:paraId="273426B8">
      <w:r>
        <w:t>驱动系统是AGV的动力核心，其故障直接影响运动能力，主要包括电机故障、传动系统故障与轮胎故障三大类。电机故障表现为无法启动、转速不稳或过热保护，常见成因包括：过载运行（负载超过额定值1.5倍，如轭铁超重至75kg）导致电流超过额定值2倍（从3A升至6A），绕组温度超过155℃触发热保护；碳刷磨损（厚度从10mm降至3mm以下）导致换向火花增大（火花等级超过2级），接触电阻增加；轴承缺油（润滑脂量少于轴承腔容积的1/3）导致摩擦 torque增大，电机效率下降10%以上。</w:t>
      </w:r>
    </w:p>
    <w:p w14:paraId="31C9C47F">
      <w:r>
        <w:t>某电机故障统计显示，过热保护占电机故障的42%，其中60%是因散热风扇堵塞（棉絮、粉尘堆积导致风量减少50%），30%是因过载（多发生在爬坡或地面不平整区域）。电机编码器故障（如信号丢失、脉冲错误）会导致速度闭环失控，表现为AGV忽快忽慢，主要成因是编码器线缆屏蔽层断裂（电磁干扰导致信号噪声）、码盘污染（油污覆盖导致透光率下降）或安装松动（轴同心度偏差&gt;0.1mm）。</w:t>
      </w:r>
    </w:p>
    <w:p w14:paraId="4AC1719B">
      <w:r>
        <w:t>传动系统故障以减速器漏油、联轴器损坏与轴承异响为主要表现。减速器漏油多因密封件老化（丁腈橡胶密封圈使用超过1年，硬度从70 Shore A降至55 Shore A）、加油量过多（超过油位线5mm导致压力增大）或通气孔堵塞（内部压力&gt;0.1MPa，迫使润滑油从密封间隙渗出）。某检修数据显示，减速器漏油占传动故障的38%，更换氟橡胶密封圈（耐温-20-200℃）后，漏油间隔从3个月延长至12个月。</w:t>
      </w:r>
    </w:p>
    <w:p w14:paraId="27439097">
      <w:r>
        <w:t>联轴器损坏包括安全销断裂与弹性体老化，安全销断裂是因瞬时过载（如AGV撞击障碍物，冲击力达额定扭矩3倍），此时销钉剪切断裂（45钢剪切强度353MPa，直径5mm的销钉剪切力约6800N），保护电机与减速器。弹性体老化（聚氨酯材质使用超过2年）会导致传动间隙增大（从0.1mm增至0.5mm），AGV运行时产生冲击噪音（&gt;85dB）。</w:t>
      </w:r>
    </w:p>
    <w:p w14:paraId="29D26FEA">
      <w:r>
        <w:t>轴承异响是早期故障征兆，表现为运行时出现“沙沙”声或周期性“咯噔”声，成因包括：润滑不良（润滑脂干涸、乳化）、滚珠磨损（表面出现凹坑，深度&gt;0.05mm）、内外圈配合松动（过盈量从0.01mm变为间隙0.02mm）。通过振动分析可早期识别轴承故障，如正常轴承的振动速度有效值&lt;4.5mm/s，当出现故障时超过7.1mm/s，且在频谱图上出现轴承特征频率（如内圈故障频率fi=0.6×n×Z，n为转速，Z为滚珠数）。</w:t>
      </w:r>
    </w:p>
    <w:p w14:paraId="529B2EB8">
      <w:r>
        <w:t>轮胎故障影响运行平稳性与定位精度，包括磨损、打滑与脱轨。轮胎磨损表现为胎面花纹深度&lt;1.5mm，抓地力下降（摩擦系数从0.3降至0.2），导致启动或制动时打滑（滑移率&gt;10%）。主要成因是地面粗糙度过高（Ra&gt;6.3μm）、转向频繁（每周转向次数&gt;500次）或胎压异常（标准0.8MPa，低于0.6MPa或高于1.0MPa均会加速磨损）。</w:t>
      </w:r>
    </w:p>
    <w:p w14:paraId="003518D7">
      <w:r>
        <w:t>轮胎脱轨多发生在万向轮转向机构，因双轮缘磨损（高度从15mm降至8mm）、轴套松动（径向间隙&gt;0.5mm）或地面障碍物卡滞（如轨道接缝处凸起&gt;3mm），导致轮子偏离轨道，AGV出现“蛇形”运动。某车间通过定期（每月）检查轮胎磨损量、胎压与轮缘高度，将驱动系统故障率从15%/月降至5%/月。</w:t>
      </w:r>
    </w:p>
    <w:p w14:paraId="1AA78ED1">
      <w:pPr>
        <w:pStyle w:val="4"/>
      </w:pPr>
      <w:r>
        <w:t>4.3 控制系统与通信故障及成因</w:t>
      </w:r>
    </w:p>
    <w:p w14:paraId="30997383">
      <w:r>
        <w:t>控制系统与通信故障影响AGV的指令接收与状态反馈，主要包括控制器故障、程序错误、通信中断与电源故障。控制器故障表现为无法启动、死机或I/O模块无响应，硬件层面的成因包括：主板电容鼓包（电解液泄漏，容量下降20%以上）、CPU散热器堵塞（温度超过85℃触发保护）、内存接触不良（金手指氧化导致读写错误）。软件层面，操作系统崩溃（文件系统损坏）、驱动程序不兼容（如更换传感器后未更新驱动）也会导致控制器异常。</w:t>
      </w:r>
    </w:p>
    <w:p w14:paraId="35C4372C">
      <w:r>
        <w:t>PLC控制器的常见故障是程序错误，包括逻辑错误（如互锁条件缺失导致气缸误动作）、参数配置错误（如PID参数设置不当导致速度震荡）、数据溢出（计数器超过最大值未复位）。某案例中，AGV真空吸盘无法释放的故障，经排查是PLC程序中“真空破坏阀”的控制逻辑错误——误将“吸盘到位信号”作为释放条件，而非“放置完成信号”，修改逻辑后恢复正常。</w:t>
      </w:r>
    </w:p>
    <w:p w14:paraId="135FE3FB">
      <w:r>
        <w:t>通信故障是影响系统协同的关键，分为无线通信故障与有线通信故障。无线通信故障表现为数据传输延迟（&gt;500ms）、丢包率高（&gt;5%）或连接中断，主要成因包括：无线信号干扰（车间电焊机、变频器产生的电磁噪声，频段与WLAN重叠）、AP覆盖不足（信号强度&lt;-75dBm，信噪比&lt;15dB）、IP地址冲突（多台AGV被分配同一IP）或信道拥堵（同一信道内设备数量&gt;20台，信道利用率&gt;80%）。</w:t>
      </w:r>
    </w:p>
    <w:p w14:paraId="239B07E9">
      <w:r>
        <w:t>有线通信故障多发生在总线系统，如PROFINET通信中断表现为驱动器无响应，成因是网线接头松动（接触电阻&gt;50mΩ）、电缆破损（屏蔽层断裂导致电磁干扰）或交换机故障（端口速率不匹配，如设置为10Mbps而非100Mbps）。Modbus通信错误（如CRC校验失败）则因传感器地址冲突、波特率不一致（如控制器设为9600bps，传感器设为4800bps）或线缆过长（超过100m未加中继器）。</w:t>
      </w:r>
    </w:p>
    <w:p w14:paraId="023AB9BC">
      <w:r>
        <w:t>电源系统故障直接导致设备掉电或工作异常，包括电池故障、充电器故障与电源模块故障。电池故障表现为续航时间缩短（从8小时降至4小时以下）、充不满电（电量显示100%但实际仅80%）或突然断电，成因是电芯老化（循环次数超过1000次，容量衰减至初始值的70%以下）、BMS故障（均衡电路失效导致单体电压差&gt;0.2V）、充电接口氧化（接触电阻&gt;50mΩ，充电电流从15A降至5A）。</w:t>
      </w:r>
    </w:p>
    <w:p w14:paraId="644653B2">
      <w:r>
        <w:t>充电器故障包括无输出电压（开关电源损坏）、充电电流不稳（波纹系数&gt;5%）或过充保护（电压检测电路漂移导致提前截止）。电源模块故障（如DC/DC转换器）会导致控制器供电电压波动（12V输出变为10-14V），引发逻辑错误或传感器误报。通过在线监测电池电压（单体电压、总电压）、充电电流与温度，可提前预警电源故障，某系统的BMS数据显示，电池故障前200个循环，单体电压差会逐渐增大至0.15V以上。</w:t>
      </w:r>
    </w:p>
    <w:p w14:paraId="0164FA47">
      <w:pPr>
        <w:pStyle w:val="4"/>
      </w:pPr>
      <w:r>
        <w:t>4.4 机械结构与传感器故障及成因</w:t>
      </w:r>
    </w:p>
    <w:p w14:paraId="637275BF">
      <w:r>
        <w:t>机械结构与传感器故障影响AGV的结构安全性与环境感知能力，主要包括车体框架变形、移载装置故障、传感器误报与安全系统故障。车体框架变形表现为结构扭曲（对角线偏差&gt;2mm）、焊接点开裂（出现长度&gt;5mm的裂纹）或安装孔位偏移（定位销孔配合间隙&gt;0.3mm），主要成因是重载长期作用（超过额定负载1.2倍）、地面不平导致的应力集中（地面坡度&gt;3°）或碰撞冲击（与设备撞击力&gt;500N）。某检测数据显示，框架焊接点在额定负载下的应力为120MPa，当超载至75kg时，应力增至180MPa，接近Q235钢的屈服强度（235MPa），长期运行易产生疲劳裂纹。</w:t>
      </w:r>
    </w:p>
    <w:p w14:paraId="64AFFA0E">
      <w:r>
        <w:t>移载装置故障直接影响轭铁装卸，真空吸盘系统常见故障包括吸力不足（真空度&lt;-0.04MPa，低于标准-0.06MPa）、吸盘漏气与升降卡滞。吸力不足成因是真空发生器滤芯堵塞（粉尘堆积导致流量减少30%）、吸盘破损（出现直径&gt;1mm的孔洞）或气管泄漏（接头松动导致压力损失&gt;0.02MPa）。某测试显示，当真空度从-0.06MPa降至-0.04MPa时，单个吸盘的吸附力从118N降至79N，4个吸盘的总吸附力不足以承载50kg轭铁，存在坠落风险。</w:t>
      </w:r>
    </w:p>
    <w:p w14:paraId="46DC1CF0">
      <w:r>
        <w:t>机械夹爪故障表现为夹持力不足（低于300N）、定位偏差（超过±2mm）或动作卡顿，成因包括：伺服电机扭矩不足（驱动器参数设置错误，扭矩限制设为80%额定值）、滚珠丝杠磨损（导程误差&gt;0.1mm/300mm）、导轨润滑不良（摩擦阻力增大至20N以上）或限位传感器位置偏移（检测点偏差&gt;1mm导致提前停止）。</w:t>
      </w:r>
    </w:p>
    <w:p w14:paraId="7BCFFF19">
      <w:r>
        <w:t>传感器故障导致环境感知失效，光电传感器误报表现为无障碍物时触发避障停机，成因是镜头积尘（透光率&lt;80%）、安装角度偏差（光束被自身结构遮挡）或背景光干扰（强光直射导致接收管饱和）。超声波传感器检测距离异常（实际3m显示1m）多因探头表面有油污（声波衰减）、温度变化（声速随温度变化，未补偿）或电路增益失调。</w:t>
      </w:r>
    </w:p>
    <w:p w14:paraId="44476571">
      <w:r>
        <w:t>编码器数据丢失表现为AGV里程计累计误差增大（100m行程误差&gt;50mm），成因是码盘污染（透光孔堵塞）、信号线屏蔽不良（电磁干扰导致脉冲丢失）或联轴器打滑（键连接松动，相对位移&gt;0.5mm）。激光雷达点云异常（出现大量噪声点）则因电机转速不稳（扫描频率波动±2Hz）、镜头起雾（环境湿度&gt;85%RH）或内部固件版本过低（存在算法漏洞）。</w:t>
      </w:r>
    </w:p>
    <w:p w14:paraId="2AF61CD7">
      <w:r>
        <w:t>安全系统故障危及人员与设备安全，急停按钮故障表现为按下后无法切断电源，成因是触点氧化（接触电阻&gt;1kΩ）、线路断路或安全继电器失效（触点粘连）。安全光幕故障（无法检测遮挡）多因光幕被灰尘覆盖（发射管或接收管脏污）、线缆折断（内部芯线断裂）或电源电压不足（低于10V，标准12-24V）。某安全审计显示，未定期测试的急停按钮，1年后的失效概率达15%，而每月测试可将失效概率控制在1%以下。</w:t>
      </w:r>
    </w:p>
    <w:p w14:paraId="587A268B">
      <w:r>
        <w:t>环境因素对机械结构与传感器的影响显著，高温（&gt;40℃）导致塑料部件老化（如吸盘硬度增加10 Shore A）、电子元件参数漂移；高湿（&gt;85%RH）引发金属部件锈蚀（如轴承生锈导致转动阻力增大）、电路板短路；粉尘（浓度&gt;5mg/m³）堵塞传感器镜头与散热孔，加速磨损。通过控制车间环境（温度20-30℃，湿度40-60%RH，粉尘&lt;1mg/m³），可使机械结构故障率降低40%，传感器寿命延长50%。</w:t>
      </w:r>
    </w:p>
    <w:p w14:paraId="7917907C">
      <w:pPr>
        <w:pStyle w:val="3"/>
      </w:pPr>
      <w:r>
        <w:t>五、故障诊断方法与维护管理对策</w:t>
      </w:r>
    </w:p>
    <w:p w14:paraId="1B8289D4">
      <w:pPr>
        <w:pStyle w:val="4"/>
      </w:pPr>
      <w:r>
        <w:t>5.1 专业故障诊断技术应用</w:t>
      </w:r>
    </w:p>
    <w:p w14:paraId="4BC591BE">
      <w:r>
        <w:t>设备工程师需掌握专业的故障诊断技术，通过系统性分析定位AGV故障根源，常用技术包括振动分析、信号处理与数据监测。振动分析技术适用于驱动系统与机械结构故障诊断，其核心是通过加速度传感器采集振动信号，经分析识别故障特征。在电机轴承故障诊断中，将压电加速度传感器（灵敏度100mV/g）安装在电机端盖（刚性部位），采集频率范围10-1000Hz的振动信号，采样频率设为2000Hz（满足Nyquist定理）。</w:t>
      </w:r>
    </w:p>
    <w:p w14:paraId="7E58303F">
      <w:r>
        <w:t>时域分析通过提取信号的峰值、有效值（RMS）、峭度等特征参数判断故障：正常轴承的RMS值&lt;4.5mm/s，峭度值≈3；早期故障时，峰值增大至正常的2-3倍，峭度值&gt;5；严重故障时，RMS值&gt;7.1mm/s，峭度值因信号饱和降至3左右。频域分析通过傅里叶变换（FFT）将时域信号转换为频谱图，识别故障特征频率，如轴承内圈故障频率fi=0.6×n×Z（n为转速，Z为滚珠数），外圈故障频率fo=0.4×n×Z，当频谱图中对应频率出现明显峰值（&gt;10dB）时，可判定轴承存在故障。</w:t>
      </w:r>
    </w:p>
    <w:p w14:paraId="0B3F53CF">
      <w:r>
        <w:t>信号处理技术用于提升诊断精度，包括滤波、特征提取与模式识别。针对振动信号中的噪声（如电机电磁噪声、地面振动干扰），采用小波阈值去噪法，选择db4小波基，分解至5层，对高频系数进行软阈值处理，信噪比可提升15-20dB。特征提取采用主成分分析（PCA），从多个时域、频域参数中提取主成分（累计贡献率&gt;90%），减少数据维度，提高诊断效率。模式识别通过支持向量机（SVM）或神经网络构建故障分类模型，输入特征参数，输出故障类型（如轴承内圈故障、外圈故障、滚珠故障），某案例中模型准确率达92%。</w:t>
      </w:r>
    </w:p>
    <w:p w14:paraId="60DAF78B">
      <w:r>
        <w:t>数据监测技术通过实时采集AGV运行数据，实现故障早期预警。监测参数包括：驱动系统（电机电流、温度、转速；减速器温度、振动）、导航系统（定位误差、传感器信号强度）、控制系统（CPU负载、内存使用率；I/O信号状态）、电源系统（电池电压、电流、SOC；充电次数）。数据采集频率根据参数特性设置：电流、转速等动态参数100ms/次，温度、电压等静态参数1s/次，振动信号10kHz/次（短时采集）。</w:t>
      </w:r>
    </w:p>
    <w:p w14:paraId="6EFA17CE">
      <w:r>
        <w:t>监测系统采用“边缘计算+云端平台”架构，边缘端（车载控制器）实时筛选异常数据（如电流超过额定值1.2倍、温度超过阈值），通过4G/5G上传至云端；云端平台进行趋势分析（如电机温度周环比上升5℃）、阈值报警（如电池SOC&lt;20%）与寿命预测（基于振动数据的轴承剩余寿命RUL估算）。某企业应用该系统后，驱动系统故障发现时间从平均2小时缩短至10分钟，非计划停机时间减少30%。</w:t>
      </w:r>
    </w:p>
    <w:p w14:paraId="6A588FF6">
      <w:r>
        <w:t>在实际诊断中，需结合多种技术综合判断。例如，AGV出现“行驶异响”症状，首先通过振动分析采集驱动轮轴承振动信号，频谱图显示外圈故障频率fo处有明显峰值；再检查电机电流，发现空载电流增大20%（正常3A，现为3.6A）；最后拆解轴承，确认外圈存在点蚀缺陷。通过“症状-数据-拆解”的三步诊断法，可精准定位故障根源。</w:t>
      </w:r>
    </w:p>
    <w:p w14:paraId="6DE23C85">
      <w:pPr>
        <w:pStyle w:val="4"/>
      </w:pPr>
      <w:r>
        <w:t>5.2 预防性维护策略与实施</w:t>
      </w:r>
    </w:p>
    <w:p w14:paraId="6936DE5B">
      <w:r>
        <w:t>预防性维护是降低AGV故障率的关键，需制定科学的维护计划，包括日常检查、定期保养与预测性维护。日常检查（每班开工前30分钟）聚焦关键功能，内容包括：导航系统（磁条/反光板清洁度、传感器镜头无遮挡）、驱动系统（轮胎气压0.8±0.05MPa，胎面无异物；电机与减速器无漏油、异响）、移载装置（真空吸盘无破损，夹爪动作顺畅；气动系统压力0.6-0.8MPa）、安全系统（急停按钮功能正常，安全光幕无遮挡）。检查方法以目视与简单工具为主，如用胎压计测量轮胎压力，用真空表检测吸盘真空度（≥-0.06MPa），用手晃动部件检查松动。</w:t>
      </w:r>
    </w:p>
    <w:p w14:paraId="07554653">
      <w:r>
        <w:t>定期保养按周期分为周度、月度、季度与年度维护。周度保养重点是清洁与润滑：清洁激光雷达镜头（用无尘布蘸异丙醇擦拭）、导航传感器表面；润滑转向轴（涂抹锂基润滑脂，用量为轴承腔容积的1/3）、夹爪导轨（加注机油，每米行程10滴）。月度保养增加精度检查与参数校准：校准导航定位精度（激光导航AGV停靠至基准点，误差应≤±5mm，超差则重新标定反光板）、调整真空发生器压力（通过减压阀设置至-0.06MPa）、检查电池单体电压（压差应≤0.05V，超差则均衡充电）。</w:t>
      </w:r>
    </w:p>
    <w:p w14:paraId="6BA16EA6">
      <w:r>
        <w:t>季度保养深入检查机械部件与电气系统：检查驱动轮轴承游隙（应≤0.05mm，超差则更换轴承）、减速器油位（低于油位线则补充齿轮油，型号ISO VG220）；测试电机绝缘电阻（应≥100MΩ，用500V兆欧表测量）、检查线缆接头紧固 torque（端子排 torque 0.5-0.8N·m）。年度保养进行全面检测与性能评估：检测车体框架变形（对角线偏差应≤1mm，超差则校正）、评估电池容量（放电测试，容量应≥额定值的80%，否则更换电池）、升级控制器固件与调度系统软件（修复已知漏洞）。</w:t>
      </w:r>
    </w:p>
    <w:p w14:paraId="428C807B">
      <w:r>
        <w:t>预测性维护基于状态监测数据，通过趋势分析与寿命预测确定维护时机。例如，轴承剩余寿命预测：基于振动信号的RMS值趋势，当RMS从4.5mm/s增至6mm/s时，预测剩余寿命约30天，提前安排更换；电池健康状态（SOH）评估：通过BMS记录的充放电循环次数、容量衰减率，当SOH&lt;80%时，制定更换计划。预测性维护可避免过度维护（如未到寿命更换部件）或维护不足（如突发故障），某案例显示，采用预测性维护后，AGV维护成本降低25%，备件库存减少30%。</w:t>
      </w:r>
    </w:p>
    <w:p w14:paraId="0073EF0D">
      <w:r>
        <w:t>维护实施需遵循标准化流程，包括维护工单生成（基于计划或预警）、任务分配（指定工程师与时间）、操作执行（按SOP操作，记录数据）、验收确认（三级验收：操作员自检、工程师复检、主管审核）。维护记录需详细记录维护内容（如更换轴承型号、校准参数值）、测试数据（如振动值、电压）、异常情况（如发现的潜在问题），形成维护档案，为故障分析与维护优化提供数据支持。</w:t>
      </w:r>
    </w:p>
    <w:p w14:paraId="6DD57007">
      <w:r>
        <w:t>某变压器厂实施预防性维护策略后，AGV平均无故障时间（MTBF）从300小时提升至500小时，年度维护成本从设备总价的10%降至7%，验证了预防性维护的有效性。</w:t>
      </w:r>
    </w:p>
    <w:p w14:paraId="2A77BD7A">
      <w:pPr>
        <w:pStyle w:val="4"/>
      </w:pPr>
      <w:r>
        <w:t>5.3 故障应急处理流程与措施</w:t>
      </w:r>
    </w:p>
    <w:p w14:paraId="48887C4B">
      <w:r>
        <w:t>故障应急处理需快速响应，最大限度减少生产中断，应建立分级响应机制与标准化处理流程。故障分级根据影响程度分为三级：一级故障（严重故障，AGV完全无法运行，如驱动电机烧毁、导航完全失效）需立即处理，响应时间≤15分钟，恢复时间≤2小时；二级故障（部分功能失效，AGV可低速运行或手动操作，如单个传感器故障、通信间歇性中断）响应时间≤30分钟，恢复时间≤4小时；三级故障（轻微故障，不影响主要功能，如指示灯损坏、数据记录异常）响应时间≤2小时，恢复时间≤8小时。</w:t>
      </w:r>
    </w:p>
    <w:p w14:paraId="4A044A9E">
      <w:r>
        <w:t>应急处理流程包括故障上报、诊断定位、临时处置、彻底修复与事后分析。故障上报可通过控制系统自动报警（如HMI显示故障代码“E102”）或操作员手动上报，信息应包含AGV编号、故障现象、发生时间、所在位置。诊断定位采用“故障代码-症状-数据”三步法：根据故障代码初步判断故障类型（如“E203”对应电机过热）；观察症状（如异响、报警灯状态）；检查相关数据（如电机温度、电流、振动值）。例如，AGV报“E102导航故障”，检查激光雷达信号强度&lt;-80dBm，判断为反光板被遮挡，现场确认发现反光板被物料挡住。</w:t>
      </w:r>
    </w:p>
    <w:p w14:paraId="6098BAC9">
      <w:r>
        <w:t>临时处置旨在快速恢复生产，优先采用替代方案：导航故障时，切换至手动模式（通过手持控制器操作AGV）；驱动故障时，人工推动AGV至安全区域（需释放制动）；移载装置故障时，用行车辅助装卸轭铁。临时措施需确保安全，如手动操作速度≤0.1m/s，人工推动时需两人配合，一人操作急停，一人推动。某案例中，一级故障（驱动电机卡死）通过手动移车将AGV调离装配工位，仅中断生产30分钟，远低于直接等待维修的2小时。</w:t>
      </w:r>
    </w:p>
    <w:p w14:paraId="67B10205">
      <w:r>
        <w:t>彻底修复根据故障类型采取针对性措施：机械故障（如轴承损坏）需更换备件（使用同型号轴承，确保游隙与精度等级匹配）；电气故障（如传感器失效）需更换传感器并校准参数；软件故障（如程序错误）需重新下载程序或修改逻辑。修复后需进行功能测试（如导航精度测试、负载测试）与试运行（空载运行1小时，无异常再加载）。</w:t>
      </w:r>
    </w:p>
    <w:p w14:paraId="08688681">
      <w:r>
        <w:t>事后分析形成闭环管理，在故障恢复后24小时内，组织技术人员分析故障原因（直接原因、根本原因）、评估影响（生产损失、安全风险）、制定纠正措施（如改进维护方法、更新备件型号）。例如，某AGV连续发生电池过充故障，根本原因是充电器电压检测电路漂移，纠正措施是更换高精度电压传感器，并将充电器校准周期从季度改为月度。事后分析记录需纳入知识库，用于工程师培训与维护规程优化。</w:t>
      </w:r>
    </w:p>
    <w:p w14:paraId="5B10F485">
      <w:r>
        <w:t>应急处理的保障措施包括：备件库存（关键备件如电机、轴承、真空吸盘的库存周转率≥2，确保随时可用）、工具配置（便携式诊断仪、万用表、振动计等）、人员培训（每季度进行应急演练，考核故障处理速度与准确性）、外部支援（与供应商签订维保协议，紧急故障4小时到场）。通过完善的应急处理体系，某企业将AGV故障平均恢复时间（MTTR）从120分钟缩短至45分钟。</w:t>
      </w:r>
    </w:p>
    <w:p w14:paraId="5D9572AC">
      <w:pPr>
        <w:pStyle w:val="4"/>
      </w:pPr>
      <w:r>
        <w:t>5.4 维护管理制度与保障体系</w:t>
      </w:r>
    </w:p>
    <w:p w14:paraId="3C32250E">
      <w:r>
        <w:t>维护管理制度是确保维护工作规范、高效执行的基础，需构建“人员-流程-系统”三位一体的保障体系。人员管理明确职责与资质，设立三级维护团队：操作员负责日常检查与简单故障处理（如清洁、紧固），需通过基础维护培训（考核合格后方可上岗）；设备工程师负责定期保养与复杂故障诊断，需具备电气、机械、控制专业知识（3年以上AGV维护经验）；维护主管负责计划制定、资源协调与效果评估，需熟悉AGV系统架构与生产工艺。建立技能矩阵，明确各岗位需掌握的技能（如故障诊断、参数校准、程序调试），定期（半年）评估并安排培训，确保技能达标。</w:t>
      </w:r>
    </w:p>
    <w:p w14:paraId="3853D060">
      <w:r>
        <w:t>流程规范包括维护标准、记录管理与考核机制。维护标准需细化操作步骤与质量要求，如《激光雷达校准规程》应规定：准备工作（清洁镜头、检查反光板）、校准步骤（进入校准模式、依次触发反光板、保存参数）、验收标准（定位误差≤±5mm）、注意事项（避免激光直射眼睛）。记录管理采用电子化系统（如CMMS计算机化维护管理系统），记录维护任务（计划任务、故障工单）、执行过程（操作人、时间、所用备件）、测试数据（如振动值、温度），数据需可追溯（保存3年以上），支持统计分析（故障率、维护成本、备件寿命）。</w:t>
      </w:r>
    </w:p>
    <w:p w14:paraId="2948A658">
      <w:r>
        <w:t>考核机制将维护效果与绩效挂钩，关键指标包括：预防性维护完成率（应≥95%）、故障平均恢复时间（MTTR≤45分钟）、设备综合效率（OEE≥90%）。对超额完成指标的团队给予奖励，对未达标的分析原因并整改。例如，某车间将预防性维护完成率纳入工程师月度考核，完成率从80%提升至98%。</w:t>
      </w:r>
    </w:p>
    <w:p w14:paraId="4764E1DE">
      <w:r>
        <w:t>系统支持包括技术文档、诊断工具与信息系统。技术文档需完整准确，包括设备手册（含结构图纸、电气原理图）、维护手册（含维护周期、步骤、参数）、故障代码手册（含代码含义、排查流程）。诊断工具配置便携式设备，如振动分析仪（可现场分析频谱图）、激光定位仪（校准导航精度）、电池测试仪（检测容量与内阻）。信息系统集成CMMS、设备监控系统与MES，实现维护计划与生产计划协同（如在生产间隙安排维护）、设备状态与生产进度联动（如AGV故障时自动调整生产订单）。</w:t>
      </w:r>
    </w:p>
    <w:p w14:paraId="788A6881">
      <w:r>
        <w:t>环境保障通过控制车间环境参数，减少环境因素对AGV的影响：温度控制在20-30℃（夏季通过空调降温，冬季加热），湿度40-60%RH（雨季启用除湿机），地面平整度误差≤±3mm（定期打磨地面凸起），粉尘浓度≤5mg/m³（安装除尘系统）。某车间通过环境改造，将AGV因环境因素导致的故障占比从25%降至10%。</w:t>
      </w:r>
    </w:p>
    <w:p w14:paraId="0B93A808">
      <w:r>
        <w:t>持续改进机制定期评估维护体系有效性，通过月度维护例会分析故障数据（如故障类型分布、高发部位）、维护成本（人均维护工时、备件消耗）、设备性能（MTBF、OEE），识别改进机会（如优化维护周期、升级易损件）。例如，分析发现驱动轮轴承故障占比高，原维护周期为季度检查，改为月度检查并增加振动监测后，轴承故障减少60%。持续改进需遵循PDCA循环（计划-执行-检查-处理），不断优化维护策略与管理制度。</w:t>
      </w:r>
    </w:p>
    <w:p w14:paraId="38007A2A">
      <w:r>
        <w:t>通过构建完善的维护管理制度与保障体系，某变压器厂实现AGV年平均故障率≤3%，设备综合效率≥92%，为变压器装配线的稳定运行提供了有力保障。</w:t>
      </w:r>
    </w:p>
    <w:p w14:paraId="43482DF8">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AFF5CEA0"/>
    <w:rsid w:val="BB290BC3"/>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2025-10-06T22:27:19Z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7D8B1C515B584531C7D1E36859C5022A_43</vt:lpwstr>
  </property>
  <property fmtid="{D5CDD505-2E9C-101B-9397-08002B2CF9AE}" pid="4" name="KSOTemplateDocerSaveRecord">
    <vt:lpwstr>eyJoZGlkIjoiNzI4YmNmYThhZjA0NTVhODllNDhjMGZiNmFkMDJjN2YiLCJ1c2VySWQiOiIxNjA5OTI0MDI0In0=</vt:lpwstr>
  </property>
</Properties>
</file>