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C82AF">
      <w:pPr>
        <w:pStyle w:val="2"/>
      </w:pPr>
    </w:p>
    <w:p w14:paraId="07CE1038">
      <w:pPr>
        <w:pStyle w:val="2"/>
      </w:pPr>
      <w:r>
        <w:t>干变装配车间站驾式电动堆垛车技术手册</w:t>
      </w:r>
    </w:p>
    <w:p w14:paraId="00B52246">
      <w:pPr>
        <w:pStyle w:val="3"/>
      </w:pPr>
      <w:r>
        <w:t>一、前言</w:t>
      </w:r>
    </w:p>
    <w:p w14:paraId="5DA778E1">
      <w:pPr>
        <w:pStyle w:val="4"/>
      </w:pPr>
      <w:r>
        <w:t>1.1 手册目的与适用范围</w:t>
      </w:r>
    </w:p>
    <w:p w14:paraId="608F3184">
      <w:r>
        <w:t>本手册旨在为设备工程师、操作维护人员及技术管理人员提供站驾式电动堆垛车的系统性技术指导，内容涵盖设备结构组成、工作原理、操作流程、维护保养及故障诊断等核心环节，确保设备在干变装配车间安全稳定运行。手册适用于载重1-3吨、提升高度3-5.5米的站驾式电动堆垛车，重点面向干式变压器装配车间的设备管理与维护人员，可作为操作培训、日常检修及故障处理的标准化参考资料。</w:t>
      </w:r>
    </w:p>
    <w:p w14:paraId="55D54374">
      <w:r>
        <w:t>站驾式电动堆垛车作为干变装配车间的关键物料搬运设备，主要承担铁芯、线圈等变压器半成品的转运及堆垛任务，其运行稳定性直接影响生产节拍与产品质量。通过本手册，技术人员可系统掌握设备的结构特性、工作原理及维护要点，提升故障处理效率，降低设备故障率至0.5次/千小时以下，保障干式变压器装配线的连续高效运行。</w:t>
      </w:r>
    </w:p>
    <w:p w14:paraId="46813FAD">
      <w:pPr>
        <w:pStyle w:val="4"/>
      </w:pPr>
      <w:r>
        <w:t>1.2 安全注意事项</w:t>
      </w:r>
    </w:p>
    <w:p w14:paraId="7A28A1F9">
      <w:r>
        <w:t>站驾式电动堆垛车运行涉及电气、机械及液压系统，必须严格遵守以下安全规范，防止人身伤害或设备损坏：</w:t>
      </w:r>
    </w:p>
    <w:p w14:paraId="0F21E7C5">
      <w:r>
        <w:rPr>
          <w:b/>
        </w:rPr>
        <w:t>电气安全</w:t>
      </w:r>
      <w:r>
        <w:t>：设备需可靠接地（接地电阻≤4Ω），控制柜防护等级不低于IP54；维修电气部件前必须切断主电源并悬挂“禁止合闸”警示牌，使用绝缘工具（绝缘等级≥1000V）；电池充电区域需设置防火防爆设施（如ABC干粉灭火器），充电过程中禁止无人值守，充电接口温度超过45℃时应立即停止充电。</w:t>
      </w:r>
    </w:p>
    <w:p w14:paraId="63E00C07">
      <w:r>
        <w:rPr>
          <w:b/>
        </w:rPr>
        <w:t>机械安全</w:t>
      </w:r>
      <w:r>
        <w:t>：严禁超载运行，负载不得超过额定载荷的110%（如1.5吨车型禁止搬运超过1650kg的物料）；货叉升降过程中，严禁人员站在货叉下方或在门架之间穿行；转向时需确认周围无障碍物，最小转弯半径内禁止站人；货叉起升高度超过1.5米时，严禁快速行驶（速度应≤3km/h），防止物料晃动导致车辆倾翻。</w:t>
      </w:r>
    </w:p>
    <w:p w14:paraId="26CA35AC">
      <w:r>
        <w:rPr>
          <w:b/>
        </w:rPr>
        <w:t>操作安全</w:t>
      </w:r>
      <w:r>
        <w:t>：操作人员必须经过专项培训并考核合格，严禁无证操作；站驾时需站稳并紧握扶手，避免单手操作或身体探出车体；作业前需检查制动系统（制动踏板行程10-15mm，制动距离≤1.5米@满载5km/h）、限位开关及急停按钮功能，确认正常后方可启动；遇突发情况（如轮胎爆胎、液压泄漏），应立即按下急停按钮，将货叉降至最低位置后撤离至安全区域。</w:t>
      </w:r>
    </w:p>
    <w:p w14:paraId="4A2BAB45">
      <w:r>
        <w:rPr>
          <w:b/>
        </w:rPr>
        <w:t>环境安全</w:t>
      </w:r>
      <w:r>
        <w:t>：设备运行环境温度需控制在0-40℃，湿度≤85%RH且无冷凝；地面平整度误差≤3mm/m，避免坑洼、油污（摩擦系数≥0.3）影响行驶稳定性；作业通道宽度应≥堆垛车宽度+0.5米（如车体宽度1090mm时，通道宽度需≥1590mm）；光线不足区域需增设照明（照度≥300lux），确保操作人员清晰观察周围环境。</w:t>
      </w:r>
    </w:p>
    <w:p w14:paraId="77511AB9">
      <w:pPr>
        <w:pStyle w:val="3"/>
      </w:pPr>
      <w:r>
        <w:t>二、设备概述</w:t>
      </w:r>
    </w:p>
    <w:p w14:paraId="0F90F15F">
      <w:pPr>
        <w:pStyle w:val="4"/>
      </w:pPr>
      <w:r>
        <w:t>2.1 设备定义与应用领域</w:t>
      </w:r>
    </w:p>
    <w:p w14:paraId="43168621">
      <w:r>
        <w:t>站驾式电动堆垛车是一种集成电动行驶、液压举升、站驾操作于一体的自动化物料搬运设备，主要由车体框架、驱动系统、液压系统、控制系统及安全防护装置组成。其核心功能是通过蓄电池提供动力，实现货物的水平搬运（行驶）和垂直堆垛（举升），操作人员站立于车体后部的操作平台进行控制，适用于狭窄空间（通道宽度≤2.5米）的物料转运与多层存储作业。</w:t>
      </w:r>
    </w:p>
    <w:p w14:paraId="7F140C61">
      <w:r>
        <w:t>在干变装配车间，站驾式电动堆垛车的典型应用场景包括：</w:t>
      </w:r>
    </w:p>
    <w:p w14:paraId="1C14D173">
      <w:pPr>
        <w:numPr>
          <w:ilvl w:val="0"/>
          <w:numId w:val="13"/>
        </w:numPr>
        <w:spacing w:before="0" w:beforeAutospacing="1" w:after="0" w:afterAutospacing="1"/>
        <w:ind w:left="720" w:hanging="360"/>
      </w:pPr>
      <w:r>
        <w:rPr>
          <w:b/>
        </w:rPr>
        <w:t>工序间转运</w:t>
      </w:r>
      <w:r>
        <w:t>：将铁芯、线圈等半成品从预装区转运至绕线工位、浸渍工位，转运距离通常为50-200米，行驶速度控制在3-5km/h，确保物料平稳无磕碰（废品率降低2%以上）。</w:t>
      </w:r>
    </w:p>
    <w:p w14:paraId="7608D6B8">
      <w:pPr>
        <w:numPr>
          <w:ilvl w:val="0"/>
          <w:numId w:val="13"/>
        </w:numPr>
        <w:spacing w:before="0" w:beforeAutospacing="1" w:after="0" w:afterAutospacing="1"/>
        <w:ind w:left="720" w:hanging="360"/>
      </w:pPr>
      <w:r>
        <w:rPr>
          <w:b/>
        </w:rPr>
        <w:t>半成品堆垛</w:t>
      </w:r>
      <w:r>
        <w:t>：在临时存储区实现多层堆垛（堆高2-4.8米），利用可调节货叉（间距200-760mm）适配不同规格托盘，提升车间空间利用率30%以上。</w:t>
      </w:r>
    </w:p>
    <w:p w14:paraId="3081E66B">
      <w:pPr>
        <w:numPr>
          <w:ilvl w:val="0"/>
          <w:numId w:val="13"/>
        </w:numPr>
        <w:spacing w:before="0" w:beforeAutospacing="1" w:after="0" w:afterAutospacing="1"/>
        <w:ind w:left="720" w:hanging="360"/>
      </w:pPr>
      <w:r>
        <w:rPr>
          <w:b/>
        </w:rPr>
        <w:t>成品下线对接</w:t>
      </w:r>
      <w:r>
        <w:t>：将装配完成的干式变压器成品从生产线转运至立体仓库入口，通过与仓储管理系统（WMS）对接，实现自动入库，提升转运效率40%。</w:t>
      </w:r>
    </w:p>
    <w:p w14:paraId="0936D8DE">
      <w:r>
        <w:t>相较于传统内燃叉车，站驾式电动堆垛车具有零排放（适合车间封闭环境）、低噪音（≤70dB）、窄通道适应性强（最小转弯半径1.85米）等优势，是干变装配车间实现自动化、智能化物料管理的关键设备。</w:t>
      </w:r>
    </w:p>
    <w:p w14:paraId="13507757">
      <w:pPr>
        <w:pStyle w:val="4"/>
      </w:pPr>
      <w:r>
        <w:t>2.2 设备分类与型号说明</w:t>
      </w:r>
    </w:p>
    <w:p w14:paraId="2E15DF3E">
      <w:r>
        <w:t>站驾式电动堆垛车可按载重能力、提升高度及控制方式进行分类，不同类型适配不同车间场景：</w:t>
      </w:r>
    </w:p>
    <w:p w14:paraId="0EF74923">
      <w:r>
        <w:rPr>
          <w:b/>
        </w:rPr>
        <w:t>按载重能力分类</w:t>
      </w:r>
      <w:r>
        <w:t>：</w:t>
      </w:r>
    </w:p>
    <w:p w14:paraId="3E711F6E">
      <w:pPr>
        <w:numPr>
          <w:ilvl w:val="0"/>
          <w:numId w:val="14"/>
        </w:numPr>
        <w:spacing w:before="0" w:beforeAutospacing="1" w:after="0" w:afterAutospacing="1"/>
        <w:ind w:left="720" w:hanging="360"/>
      </w:pPr>
      <w:r>
        <w:rPr>
          <w:b/>
        </w:rPr>
        <w:t>轻型</w:t>
      </w:r>
      <w:r>
        <w:t>：额定载重1-1.5吨，适用于绝缘件、小型线圈等轻型物料，代表型号如杭叉CDD10-AC，自重约1800kg，最小转弯半径1.7米，适合极窄通道（宽度≤2.3米）作业。</w:t>
      </w:r>
    </w:p>
    <w:p w14:paraId="658370E5">
      <w:pPr>
        <w:numPr>
          <w:ilvl w:val="0"/>
          <w:numId w:val="14"/>
        </w:numPr>
        <w:spacing w:before="0" w:beforeAutospacing="1" w:after="0" w:afterAutospacing="1"/>
        <w:ind w:left="720" w:hanging="360"/>
      </w:pPr>
      <w:r>
        <w:rPr>
          <w:b/>
        </w:rPr>
        <w:t>中型</w:t>
      </w:r>
      <w:r>
        <w:t>：额定载重2吨，适用于中型铁芯、散热器等部件，代表型号如比亚迪20TPS，门架采用加强型设计，提升高度可达4.5米，适应多层存储需求。</w:t>
      </w:r>
    </w:p>
    <w:p w14:paraId="190946DA">
      <w:pPr>
        <w:numPr>
          <w:ilvl w:val="0"/>
          <w:numId w:val="14"/>
        </w:numPr>
        <w:spacing w:before="0" w:beforeAutospacing="1" w:after="0" w:afterAutospacing="1"/>
        <w:ind w:left="720" w:hanging="360"/>
      </w:pPr>
      <w:r>
        <w:rPr>
          <w:b/>
        </w:rPr>
        <w:t>重型</w:t>
      </w:r>
      <w:r>
        <w:t>：额定载重3吨，适用于大型油箱、变压器成品，代表型号如林德L16AP，配置侧移货叉（行程±100mm），补偿对位偏差，提升堆垛精度至±5mm。</w:t>
      </w:r>
    </w:p>
    <w:p w14:paraId="222BCAAE">
      <w:r>
        <w:rPr>
          <w:b/>
        </w:rPr>
        <w:t>按提升高度分类</w:t>
      </w:r>
      <w:r>
        <w:t>：</w:t>
      </w:r>
    </w:p>
    <w:p w14:paraId="7ABAA62C">
      <w:pPr>
        <w:numPr>
          <w:ilvl w:val="0"/>
          <w:numId w:val="15"/>
        </w:numPr>
        <w:spacing w:before="0" w:beforeAutospacing="1" w:after="0" w:afterAutospacing="1"/>
        <w:ind w:left="720" w:hanging="360"/>
      </w:pPr>
      <w:r>
        <w:rPr>
          <w:b/>
        </w:rPr>
        <w:t>低提升型</w:t>
      </w:r>
      <w:r>
        <w:t>：最大提升高度3米，适用于2-3层货架存储，如合力CPD15H，门架为二级伸缩结构，作业视野开阔。</w:t>
      </w:r>
    </w:p>
    <w:p w14:paraId="46A44847">
      <w:pPr>
        <w:numPr>
          <w:ilvl w:val="0"/>
          <w:numId w:val="15"/>
        </w:numPr>
        <w:spacing w:before="0" w:beforeAutospacing="1" w:after="0" w:afterAutospacing="1"/>
        <w:ind w:left="720" w:hanging="360"/>
      </w:pPr>
      <w:r>
        <w:rPr>
          <w:b/>
        </w:rPr>
        <w:t>中提升型</w:t>
      </w:r>
      <w:r>
        <w:t>：最大提升高度4.5米，适用于4-5层货架，如永恒力Jungheinrich EJD 220，配置高度限位传感器，防止超程提升。</w:t>
      </w:r>
    </w:p>
    <w:p w14:paraId="440ACFF9">
      <w:pPr>
        <w:numPr>
          <w:ilvl w:val="0"/>
          <w:numId w:val="15"/>
        </w:numPr>
        <w:spacing w:before="0" w:beforeAutospacing="1" w:after="0" w:afterAutospacing="1"/>
        <w:ind w:left="720" w:hanging="360"/>
      </w:pPr>
      <w:r>
        <w:rPr>
          <w:b/>
        </w:rPr>
        <w:t>高提升型</w:t>
      </w:r>
      <w:r>
        <w:t>：最大提升高度5.5米，适用于高层货架（6-7层），如丰田8FBRE16，采用三级门架，内门架前倾角度3°，提升稳定性。</w:t>
      </w:r>
    </w:p>
    <w:p w14:paraId="10A583AF">
      <w:r>
        <w:rPr>
          <w:b/>
        </w:rPr>
        <w:t>型号命名规则</w:t>
      </w:r>
      <w:r>
        <w:t>：以“BYD 15TPS”为例，“BYD”为品牌代号，“15”表示额定载重1.5吨，“T”表示站驾式，“P”表示堆垛车，“S”表示智能型（带侧移/定位功能）；“Linde L16AP”中“L16”表示载重1.6吨，“A”表示交流驱动，“P”表示堆垛车。国内主流品牌及技术特点如下：比亚迪（高压锂电技术，续航长）、杭叉（性价比高，维护成本低）、林德（德国技术，精度高）、永恒力（门架稳定性好）。</w:t>
      </w:r>
    </w:p>
    <w:p w14:paraId="66684700">
      <w:pPr>
        <w:pStyle w:val="4"/>
      </w:pPr>
      <w:r>
        <w:t>2.3 主要技术参数与性能指标</w:t>
      </w:r>
    </w:p>
    <w:p w14:paraId="6B571F78">
      <w:r>
        <w:t>站驾式电动堆垛车的关键技术参数需匹配干变装配车间的工艺需求，核心指标如下：</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758A925">
        <w:tc>
          <w:tcPr>
            <w:tcW w:w="0" w:type="auto"/>
            <w:vAlign w:val="center"/>
          </w:tcPr>
          <w:p w14:paraId="7A8E67E9">
            <w:pPr>
              <w:jc w:val="center"/>
              <w:rPr>
                <w:b/>
              </w:rPr>
            </w:pPr>
            <w:r>
              <w:rPr>
                <w:b/>
              </w:rPr>
              <w:t>参数类别</w:t>
            </w:r>
          </w:p>
        </w:tc>
        <w:tc>
          <w:tcPr>
            <w:tcW w:w="0" w:type="auto"/>
            <w:vAlign w:val="center"/>
          </w:tcPr>
          <w:p w14:paraId="599B47B3">
            <w:pPr>
              <w:jc w:val="center"/>
              <w:rPr>
                <w:b/>
              </w:rPr>
            </w:pPr>
            <w:r>
              <w:rPr>
                <w:b/>
              </w:rPr>
              <w:t>轻型（1-1.5吨）</w:t>
            </w:r>
          </w:p>
        </w:tc>
        <w:tc>
          <w:tcPr>
            <w:tcW w:w="0" w:type="auto"/>
            <w:vAlign w:val="center"/>
          </w:tcPr>
          <w:p w14:paraId="56E0F0E2">
            <w:pPr>
              <w:jc w:val="center"/>
              <w:rPr>
                <w:b/>
              </w:rPr>
            </w:pPr>
            <w:r>
              <w:rPr>
                <w:b/>
              </w:rPr>
              <w:t>中型（2吨）</w:t>
            </w:r>
          </w:p>
        </w:tc>
        <w:tc>
          <w:tcPr>
            <w:tcW w:w="0" w:type="auto"/>
            <w:vAlign w:val="center"/>
          </w:tcPr>
          <w:p w14:paraId="215DB352">
            <w:pPr>
              <w:jc w:val="center"/>
              <w:rPr>
                <w:b/>
              </w:rPr>
            </w:pPr>
            <w:r>
              <w:rPr>
                <w:b/>
              </w:rPr>
              <w:t>重型（3吨）</w:t>
            </w:r>
          </w:p>
        </w:tc>
      </w:tr>
      <w:tr w14:paraId="57296CB7">
        <w:tc>
          <w:tcPr>
            <w:tcW w:w="0" w:type="auto"/>
            <w:vAlign w:val="center"/>
          </w:tcPr>
          <w:p w14:paraId="18603FA0">
            <w:r>
              <w:rPr>
                <w:b/>
              </w:rPr>
              <w:t>额定载重</w:t>
            </w:r>
          </w:p>
        </w:tc>
        <w:tc>
          <w:tcPr>
            <w:tcW w:w="0" w:type="auto"/>
            <w:vAlign w:val="center"/>
          </w:tcPr>
          <w:p w14:paraId="12F4C06C">
            <w:r>
              <w:t>1000-1500kg</w:t>
            </w:r>
          </w:p>
        </w:tc>
        <w:tc>
          <w:tcPr>
            <w:tcW w:w="0" w:type="auto"/>
            <w:vAlign w:val="center"/>
          </w:tcPr>
          <w:p w14:paraId="65D341B6">
            <w:r>
              <w:t>2000kg</w:t>
            </w:r>
          </w:p>
        </w:tc>
        <w:tc>
          <w:tcPr>
            <w:tcW w:w="0" w:type="auto"/>
            <w:vAlign w:val="center"/>
          </w:tcPr>
          <w:p w14:paraId="04E974E6">
            <w:r>
              <w:t>3000kg</w:t>
            </w:r>
          </w:p>
        </w:tc>
      </w:tr>
      <w:tr w14:paraId="6EB2C4FE">
        <w:tc>
          <w:tcPr>
            <w:tcW w:w="0" w:type="auto"/>
            <w:vAlign w:val="center"/>
          </w:tcPr>
          <w:p w14:paraId="2D5123FA">
            <w:r>
              <w:rPr>
                <w:b/>
              </w:rPr>
              <w:t>载荷中心距</w:t>
            </w:r>
          </w:p>
        </w:tc>
        <w:tc>
          <w:tcPr>
            <w:tcW w:w="0" w:type="auto"/>
            <w:vAlign w:val="center"/>
          </w:tcPr>
          <w:p w14:paraId="06D5F4B0">
            <w:r>
              <w:t>500mm</w:t>
            </w:r>
          </w:p>
        </w:tc>
        <w:tc>
          <w:tcPr>
            <w:tcW w:w="0" w:type="auto"/>
            <w:vAlign w:val="center"/>
          </w:tcPr>
          <w:p w14:paraId="6941FDA3">
            <w:r>
              <w:t>500mm</w:t>
            </w:r>
          </w:p>
        </w:tc>
        <w:tc>
          <w:tcPr>
            <w:tcW w:w="0" w:type="auto"/>
            <w:vAlign w:val="center"/>
          </w:tcPr>
          <w:p w14:paraId="7065FFDA">
            <w:r>
              <w:t>600mm</w:t>
            </w:r>
          </w:p>
        </w:tc>
      </w:tr>
      <w:tr w14:paraId="4687D530">
        <w:tc>
          <w:tcPr>
            <w:tcW w:w="0" w:type="auto"/>
            <w:vAlign w:val="center"/>
          </w:tcPr>
          <w:p w14:paraId="1386459F">
            <w:r>
              <w:rPr>
                <w:b/>
              </w:rPr>
              <w:t>提升高度</w:t>
            </w:r>
          </w:p>
        </w:tc>
        <w:tc>
          <w:tcPr>
            <w:tcW w:w="0" w:type="auto"/>
            <w:vAlign w:val="center"/>
          </w:tcPr>
          <w:p w14:paraId="09A9A6E7">
            <w:r>
              <w:t>3000-4000mm</w:t>
            </w:r>
          </w:p>
        </w:tc>
        <w:tc>
          <w:tcPr>
            <w:tcW w:w="0" w:type="auto"/>
            <w:vAlign w:val="center"/>
          </w:tcPr>
          <w:p w14:paraId="2C9730D4">
            <w:r>
              <w:t>3000-4500mm</w:t>
            </w:r>
          </w:p>
        </w:tc>
        <w:tc>
          <w:tcPr>
            <w:tcW w:w="0" w:type="auto"/>
            <w:vAlign w:val="center"/>
          </w:tcPr>
          <w:p w14:paraId="39FC574D">
            <w:r>
              <w:t>3000-5500mm</w:t>
            </w:r>
          </w:p>
        </w:tc>
      </w:tr>
      <w:tr w14:paraId="6433B863">
        <w:tc>
          <w:tcPr>
            <w:tcW w:w="0" w:type="auto"/>
            <w:vAlign w:val="center"/>
          </w:tcPr>
          <w:p w14:paraId="2EFFC2F9">
            <w:r>
              <w:rPr>
                <w:b/>
              </w:rPr>
              <w:t>行驶速度</w:t>
            </w:r>
          </w:p>
        </w:tc>
        <w:tc>
          <w:tcPr>
            <w:tcW w:w="0" w:type="auto"/>
            <w:vAlign w:val="center"/>
          </w:tcPr>
          <w:p w14:paraId="01619742">
            <w:r>
              <w:t>满载5km/h，空载5.5km/h</w:t>
            </w:r>
          </w:p>
        </w:tc>
        <w:tc>
          <w:tcPr>
            <w:tcW w:w="0" w:type="auto"/>
            <w:vAlign w:val="center"/>
          </w:tcPr>
          <w:p w14:paraId="007ADFD0">
            <w:r>
              <w:t>满载4.5km/h，空载5km/h</w:t>
            </w:r>
          </w:p>
        </w:tc>
        <w:tc>
          <w:tcPr>
            <w:tcW w:w="0" w:type="auto"/>
            <w:vAlign w:val="center"/>
          </w:tcPr>
          <w:p w14:paraId="2022D6B5">
            <w:r>
              <w:t>满载4km/h，空载4.5km/h</w:t>
            </w:r>
          </w:p>
        </w:tc>
      </w:tr>
      <w:tr w14:paraId="669FA51B">
        <w:tc>
          <w:tcPr>
            <w:tcW w:w="0" w:type="auto"/>
            <w:vAlign w:val="center"/>
          </w:tcPr>
          <w:p w14:paraId="109ED60E">
            <w:r>
              <w:rPr>
                <w:b/>
              </w:rPr>
              <w:t>转弯半径</w:t>
            </w:r>
          </w:p>
        </w:tc>
        <w:tc>
          <w:tcPr>
            <w:tcW w:w="0" w:type="auto"/>
            <w:vAlign w:val="center"/>
          </w:tcPr>
          <w:p w14:paraId="07A599D2">
            <w:r>
              <w:t>1700-1850mm</w:t>
            </w:r>
          </w:p>
        </w:tc>
        <w:tc>
          <w:tcPr>
            <w:tcW w:w="0" w:type="auto"/>
            <w:vAlign w:val="center"/>
          </w:tcPr>
          <w:p w14:paraId="26CDC356">
            <w:r>
              <w:t>1850-2000mm</w:t>
            </w:r>
          </w:p>
        </w:tc>
        <w:tc>
          <w:tcPr>
            <w:tcW w:w="0" w:type="auto"/>
            <w:vAlign w:val="center"/>
          </w:tcPr>
          <w:p w14:paraId="6358FB1F">
            <w:r>
              <w:t>2000-2500mm</w:t>
            </w:r>
          </w:p>
        </w:tc>
      </w:tr>
      <w:tr w14:paraId="7A7A6707">
        <w:tc>
          <w:tcPr>
            <w:tcW w:w="0" w:type="auto"/>
            <w:vAlign w:val="center"/>
          </w:tcPr>
          <w:p w14:paraId="4A73AFD8">
            <w:r>
              <w:rPr>
                <w:b/>
              </w:rPr>
              <w:t>电池参数</w:t>
            </w:r>
          </w:p>
        </w:tc>
        <w:tc>
          <w:tcPr>
            <w:tcW w:w="0" w:type="auto"/>
            <w:vAlign w:val="center"/>
          </w:tcPr>
          <w:p w14:paraId="6DC6D238">
            <w:r>
              <w:t>24V/200Ah（铅酸）</w:t>
            </w:r>
          </w:p>
        </w:tc>
        <w:tc>
          <w:tcPr>
            <w:tcW w:w="0" w:type="auto"/>
            <w:vAlign w:val="center"/>
          </w:tcPr>
          <w:p w14:paraId="2E11CDCF">
            <w:r>
              <w:t>48V/250Ah（锂电）</w:t>
            </w:r>
          </w:p>
        </w:tc>
        <w:tc>
          <w:tcPr>
            <w:tcW w:w="0" w:type="auto"/>
            <w:vAlign w:val="center"/>
          </w:tcPr>
          <w:p w14:paraId="1BAE3A0F">
            <w:r>
              <w:t>48V/300Ah（锂电）</w:t>
            </w:r>
          </w:p>
        </w:tc>
      </w:tr>
      <w:tr w14:paraId="756CAED9">
        <w:tc>
          <w:tcPr>
            <w:tcW w:w="0" w:type="auto"/>
            <w:vAlign w:val="center"/>
          </w:tcPr>
          <w:p w14:paraId="15C557BA">
            <w:r>
              <w:rPr>
                <w:b/>
              </w:rPr>
              <w:t>续航时间</w:t>
            </w:r>
          </w:p>
        </w:tc>
        <w:tc>
          <w:tcPr>
            <w:tcW w:w="0" w:type="auto"/>
            <w:vAlign w:val="center"/>
          </w:tcPr>
          <w:p w14:paraId="4DA2323A">
            <w:r>
              <w:t>6-8小时</w:t>
            </w:r>
          </w:p>
        </w:tc>
        <w:tc>
          <w:tcPr>
            <w:tcW w:w="0" w:type="auto"/>
            <w:vAlign w:val="center"/>
          </w:tcPr>
          <w:p w14:paraId="2ECD91FD">
            <w:r>
              <w:t>8-10小时</w:t>
            </w:r>
          </w:p>
        </w:tc>
        <w:tc>
          <w:tcPr>
            <w:tcW w:w="0" w:type="auto"/>
            <w:vAlign w:val="center"/>
          </w:tcPr>
          <w:p w14:paraId="46F82E36">
            <w:r>
              <w:t>10-12小时</w:t>
            </w:r>
          </w:p>
        </w:tc>
      </w:tr>
      <w:tr w14:paraId="1FEB5417">
        <w:tc>
          <w:tcPr>
            <w:tcW w:w="0" w:type="auto"/>
            <w:vAlign w:val="center"/>
          </w:tcPr>
          <w:p w14:paraId="25A93206">
            <w:r>
              <w:rPr>
                <w:b/>
              </w:rPr>
              <w:t>定位精度</w:t>
            </w:r>
          </w:p>
        </w:tc>
        <w:tc>
          <w:tcPr>
            <w:tcW w:w="0" w:type="auto"/>
            <w:vAlign w:val="center"/>
          </w:tcPr>
          <w:p w14:paraId="71783ED7">
            <w:r>
              <w:t>±10mm</w:t>
            </w:r>
          </w:p>
        </w:tc>
        <w:tc>
          <w:tcPr>
            <w:tcW w:w="0" w:type="auto"/>
            <w:vAlign w:val="center"/>
          </w:tcPr>
          <w:p w14:paraId="0F0FECB2">
            <w:r>
              <w:t>±8mm</w:t>
            </w:r>
          </w:p>
        </w:tc>
        <w:tc>
          <w:tcPr>
            <w:tcW w:w="0" w:type="auto"/>
            <w:vAlign w:val="center"/>
          </w:tcPr>
          <w:p w14:paraId="03D0BE17">
            <w:r>
              <w:t>±5mm（带侧移）</w:t>
            </w:r>
          </w:p>
        </w:tc>
      </w:tr>
      <w:tr w14:paraId="2827D56C">
        <w:tc>
          <w:tcPr>
            <w:tcW w:w="0" w:type="auto"/>
            <w:vAlign w:val="center"/>
          </w:tcPr>
          <w:p w14:paraId="0BF84BCD">
            <w:r>
              <w:rPr>
                <w:b/>
              </w:rPr>
              <w:t>自重</w:t>
            </w:r>
          </w:p>
        </w:tc>
        <w:tc>
          <w:tcPr>
            <w:tcW w:w="0" w:type="auto"/>
            <w:vAlign w:val="center"/>
          </w:tcPr>
          <w:p w14:paraId="16E5D454">
            <w:r>
              <w:t>1800-2250kg</w:t>
            </w:r>
          </w:p>
        </w:tc>
        <w:tc>
          <w:tcPr>
            <w:tcW w:w="0" w:type="auto"/>
            <w:vAlign w:val="center"/>
          </w:tcPr>
          <w:p w14:paraId="41269FDD">
            <w:r>
              <w:t>2250-2800kg</w:t>
            </w:r>
          </w:p>
        </w:tc>
        <w:tc>
          <w:tcPr>
            <w:tcW w:w="0" w:type="auto"/>
            <w:vAlign w:val="center"/>
          </w:tcPr>
          <w:p w14:paraId="6095E850">
            <w:r>
              <w:t>2800-3500kg</w:t>
            </w:r>
          </w:p>
        </w:tc>
      </w:tr>
    </w:tbl>
    <w:p w14:paraId="17D1A4EF">
      <w:r>
        <w:rPr>
          <w:b/>
        </w:rPr>
        <w:t>其他关键指标</w:t>
      </w:r>
      <w:r>
        <w:t>：门架前倾角度3°、后仰角度6°；货叉尺寸35×100×1150mm（可调节外宽540-760mm）；驱动轮直径250-300mm（聚氨酯材质）；制动方式为电磁液压制动（响应时间≤0.3秒）；噪声≤70dB（距设备1米处）。</w:t>
      </w:r>
    </w:p>
    <w:p w14:paraId="18BE1DF3">
      <w:pPr>
        <w:pStyle w:val="3"/>
      </w:pPr>
      <w:r>
        <w:t>三、结构组成与功能</w:t>
      </w:r>
    </w:p>
    <w:p w14:paraId="51A8CFA0">
      <w:pPr>
        <w:pStyle w:val="4"/>
      </w:pPr>
      <w:r>
        <w:t>3.1 机械系统</w:t>
      </w:r>
    </w:p>
    <w:p w14:paraId="7C7678E6">
      <w:r>
        <w:t>机械系统是站驾式电动堆垛车的物理执行载体，由车体框架、驱动系统、液压举升系统及转向系统组成，确保物料的稳定搬运与精准堆垛。</w:t>
      </w:r>
    </w:p>
    <w:p w14:paraId="39D2BED6">
      <w:pPr>
        <w:pStyle w:val="5"/>
      </w:pPr>
      <w:r>
        <w:t>3.1.1 车体框架与支撑结构</w:t>
      </w:r>
    </w:p>
    <w:p w14:paraId="44972FF4">
      <w:r>
        <w:t>车体框架采用Q345B高强度钢材焊接而成，呈低重心设计（离地间隙100-150mm），兼顾轻量化与承重能力。以1.5吨车型为例，框架关键部位（如门架轨道安装座、驱动轮支撑梁）通过有限元分析优化，增设8-10mm厚加强筋，应力集中系数≤1.2，确保满载时框架挠度≤1mm/m。</w:t>
      </w:r>
    </w:p>
    <w:p w14:paraId="64E5AB40">
      <w:r>
        <w:t>支撑结构包括驱动轮、转向轮及平衡轮：驱动轮直径250-300mm，采用聚氨酯轮胎（硬度85 Shore A），胎面花纹深度≥3mm，地面摩擦系数≥0.8（环氧地坪）；转向轮直径150-200mm，万向轮结构，偏心距≤2mm，转向阻力矩≤5N·m；平衡轮（辅助支撑）直径100mm，安装于车体后部，承载能力≥500kg/个，防止车辆空载时后倾。</w:t>
      </w:r>
    </w:p>
    <w:p w14:paraId="3149E46C">
      <w:r>
        <w:t>框架表面采用静电喷涂处理（膜厚60-80μm），耐盐雾性能≥500小时，适应干变车间环氧粉尘环境；操作平台设置防滑花纹踏板（凸起高度2mm），两侧配备防护栏杆（高度≥150mm），确保操作人员站立安全。</w:t>
      </w:r>
    </w:p>
    <w:p w14:paraId="230698F1">
      <w:pPr>
        <w:pStyle w:val="5"/>
      </w:pPr>
      <w:r>
        <w:t>3.1.2 驱动系统</w:t>
      </w:r>
    </w:p>
    <w:p w14:paraId="5E6D45F6">
      <w:r>
        <w:t>驱动系统为车辆提供行驶动力，采用交流驱动技术，由永磁同步电机、行星齿轮减速器、驱动轮及制动装置组成：</w:t>
      </w:r>
    </w:p>
    <w:p w14:paraId="2FE13D23">
      <w:pPr>
        <w:numPr>
          <w:ilvl w:val="0"/>
          <w:numId w:val="16"/>
        </w:numPr>
        <w:spacing w:before="0" w:beforeAutospacing="1" w:after="0" w:afterAutospacing="1"/>
        <w:ind w:left="720" w:hanging="360"/>
      </w:pPr>
      <w:r>
        <w:rPr>
          <w:b/>
        </w:rPr>
        <w:t>永磁同步电机</w:t>
      </w:r>
      <w:r>
        <w:t>：功率1.5-5kW（根据载重匹配），额定转速3000r/min，效率≥95%，采用F级绝缘（耐温155℃），防护等级IP54，适应粉尘环境。电机集成编码器（分辨率1024线），实时反馈转速，实现速度闭环控制。</w:t>
      </w:r>
    </w:p>
    <w:p w14:paraId="45A08D09">
      <w:pPr>
        <w:numPr>
          <w:ilvl w:val="0"/>
          <w:numId w:val="16"/>
        </w:numPr>
        <w:spacing w:before="0" w:beforeAutospacing="1" w:after="0" w:afterAutospacing="1"/>
        <w:ind w:left="720" w:hanging="360"/>
      </w:pPr>
      <w:r>
        <w:rPr>
          <w:b/>
        </w:rPr>
        <w:t>行星齿轮减速器</w:t>
      </w:r>
      <w:r>
        <w:t>：速比15-25:1（载重越大速比越大），如3吨车型速比25:1，将电机高速低扭矩转化为驱动轮低速高扭矩，输出扭矩500-1500N·m。减速器采用飞溅润滑，齿轮油型号为API GL-4 80W-90，换油周期2000小时。</w:t>
      </w:r>
    </w:p>
    <w:p w14:paraId="40537801">
      <w:pPr>
        <w:numPr>
          <w:ilvl w:val="0"/>
          <w:numId w:val="16"/>
        </w:numPr>
        <w:spacing w:before="0" w:beforeAutospacing="1" w:after="0" w:afterAutospacing="1"/>
        <w:ind w:left="720" w:hanging="360"/>
      </w:pPr>
      <w:r>
        <w:rPr>
          <w:b/>
        </w:rPr>
        <w:t>制动装置</w:t>
      </w:r>
      <w:r>
        <w:t>：电磁液压制动，当松开加速踏板或按下制动踏板时，控制器切断电机电源，电磁线圈通电推动制动钳夹紧制动盘，制动响应时间≤0.3秒，满载5km/h时制动距离≤1.5米。驻车制动为机械棘爪结构，拉起驻车手柄时，棘爪与驱动轮轴棘轮啮合，防止溜坡。</w:t>
      </w:r>
    </w:p>
    <w:p w14:paraId="6210D92A">
      <w:r>
        <w:t>驱动轮通过花键与减速器输出轴连接，轮毂轴承采用P5级角接触球轴承（如7310C），轴向窜动量≤0.03mm，径向游隙0.01-0.02mm，确保高速运行稳定性（振动振幅≤0.1mm）。</w:t>
      </w:r>
    </w:p>
    <w:p w14:paraId="2F04D04B">
      <w:pPr>
        <w:pStyle w:val="5"/>
      </w:pPr>
      <w:r>
        <w:t>3.1.3 液压举升系统</w:t>
      </w:r>
    </w:p>
    <w:p w14:paraId="112A2BE9">
      <w:r>
        <w:t>液压举升系统实现货叉的升降动作，由液压泵、多路阀、举升油缸、限速阀及液压油箱组成，核心参数如下：</w:t>
      </w:r>
    </w:p>
    <w:p w14:paraId="07EA0E59">
      <w:pPr>
        <w:numPr>
          <w:ilvl w:val="0"/>
          <w:numId w:val="17"/>
        </w:numPr>
        <w:spacing w:before="0" w:beforeAutospacing="1" w:after="0" w:afterAutospacing="1"/>
        <w:ind w:left="720" w:hanging="360"/>
      </w:pPr>
      <w:r>
        <w:rPr>
          <w:b/>
        </w:rPr>
        <w:t>液压泵</w:t>
      </w:r>
      <w:r>
        <w:t>：齿轮泵，排量2-5mL/r，工作压力10-16MPa，由2.2kW电机驱动，转速1500r/min，容积效率≥90%。泵进口设吸油滤芯（精度80μm），出口设高压滤芯（精度10μm），保护液压元件免受污染。</w:t>
      </w:r>
    </w:p>
    <w:p w14:paraId="6A64B59D">
      <w:pPr>
        <w:numPr>
          <w:ilvl w:val="0"/>
          <w:numId w:val="17"/>
        </w:numPr>
        <w:spacing w:before="0" w:beforeAutospacing="1" w:after="0" w:afterAutospacing="1"/>
        <w:ind w:left="720" w:hanging="360"/>
      </w:pPr>
      <w:r>
        <w:rPr>
          <w:b/>
        </w:rPr>
        <w:t>多路阀</w:t>
      </w:r>
      <w:r>
        <w:t>：手动/电液比例控制，集成溢流阀（设定压力16MPa，防止系统超压）、换向阀（控制油缸升降）及补油阀（防止负压）。电液比例阀型号如力士乐4WREE6，通过电流信号（4-20mA）调节开度，实现升降速度无级可调（0.1-0.3m/s）。</w:t>
      </w:r>
    </w:p>
    <w:p w14:paraId="518E8BBC">
      <w:pPr>
        <w:numPr>
          <w:ilvl w:val="0"/>
          <w:numId w:val="17"/>
        </w:numPr>
        <w:spacing w:before="0" w:beforeAutospacing="1" w:after="0" w:afterAutospacing="1"/>
        <w:ind w:left="720" w:hanging="360"/>
      </w:pPr>
      <w:r>
        <w:rPr>
          <w:b/>
        </w:rPr>
        <w:t>举升油缸</w:t>
      </w:r>
      <w:r>
        <w:t>：双作用活塞式油缸，内径50-100mm，活塞杆直径30-60mm，行程根据提升高度设计（如3米提升高度对应油缸行程2.8米）。油缸采用镀铬活塞杆（硬度≥HRC60），表面粗糙度Ra≤0.8μm，防止划伤密封件；密封件为氟橡胶材质（耐温-20-120℃），确保无渗漏（滴漏量＜1滴/分钟）。</w:t>
      </w:r>
    </w:p>
    <w:p w14:paraId="0E724908">
      <w:pPr>
        <w:numPr>
          <w:ilvl w:val="0"/>
          <w:numId w:val="17"/>
        </w:numPr>
        <w:spacing w:before="0" w:beforeAutospacing="1" w:after="0" w:afterAutospacing="1"/>
        <w:ind w:left="720" w:hanging="360"/>
      </w:pPr>
      <w:r>
        <w:rPr>
          <w:b/>
        </w:rPr>
        <w:t>限速阀</w:t>
      </w:r>
      <w:r>
        <w:t>：安装于油缸下降油路，通过节流孔控制回油流量，实现下降速度限制（空载95mm/s，满载100mm/s），防止货物超速坠落。</w:t>
      </w:r>
    </w:p>
    <w:p w14:paraId="26A48AFA">
      <w:r>
        <w:t>门架为多级伸缩结构（二级或三级），内门架与外门架通过滚轮组导向，滚轮采用尼龙材质（摩擦系数≤0.02），每侧门架配置2-3组滚轮（上、中、下），确保门架升降平稳无卡顿。门架轨道宽度根据载重设计，3吨车型轨道间距加宽至600mm，提升横向稳定性。</w:t>
      </w:r>
    </w:p>
    <w:p w14:paraId="44323370">
      <w:pPr>
        <w:pStyle w:val="5"/>
      </w:pPr>
      <w:r>
        <w:t>3.1.4 转向系统</w:t>
      </w:r>
    </w:p>
    <w:p w14:paraId="2D41649A">
      <w:r>
        <w:t>转向系统控制车辆行驶方向，采用后轮转向设计，由转向电机、蜗轮蜗杆减速器、转向拉杆及限位装置组成：</w:t>
      </w:r>
    </w:p>
    <w:p w14:paraId="2C5FC229">
      <w:pPr>
        <w:numPr>
          <w:ilvl w:val="0"/>
          <w:numId w:val="18"/>
        </w:numPr>
        <w:spacing w:before="0" w:beforeAutospacing="1" w:after="0" w:afterAutospacing="1"/>
        <w:ind w:left="720" w:hanging="360"/>
      </w:pPr>
      <w:r>
        <w:rPr>
          <w:b/>
        </w:rPr>
        <w:t>转向电机</w:t>
      </w:r>
      <w:r>
        <w:t>：直流伺服电机，功率0.5kW，额定转速1500r/min，通过蜗轮蜗杆减速器（速比30:1）驱动转向拉杆，实现转向角±90°调节，转向角速度0.5rad/s。</w:t>
      </w:r>
    </w:p>
    <w:p w14:paraId="7C424914">
      <w:pPr>
        <w:numPr>
          <w:ilvl w:val="0"/>
          <w:numId w:val="18"/>
        </w:numPr>
        <w:spacing w:before="0" w:beforeAutospacing="1" w:after="0" w:afterAutospacing="1"/>
        <w:ind w:left="720" w:hanging="360"/>
      </w:pPr>
      <w:r>
        <w:rPr>
          <w:b/>
        </w:rPr>
        <w:t>转向拉杆</w:t>
      </w:r>
      <w:r>
        <w:t>：球头结构，两端通过螺纹与转向节连接，长度可调（调节范围±5mm），确保左右轮转向角一致（偏差≤±1°）。球头密封采用双唇口防尘罩，防止粉尘进入，润滑周期500小时（加注锂基润滑脂NLGI 2级）。</w:t>
      </w:r>
    </w:p>
    <w:p w14:paraId="324627B2">
      <w:pPr>
        <w:numPr>
          <w:ilvl w:val="0"/>
          <w:numId w:val="18"/>
        </w:numPr>
        <w:spacing w:before="0" w:beforeAutospacing="1" w:after="0" w:afterAutospacing="1"/>
        <w:ind w:left="720" w:hanging="360"/>
      </w:pPr>
      <w:r>
        <w:rPr>
          <w:b/>
        </w:rPr>
        <w:t>限位装置</w:t>
      </w:r>
      <w:r>
        <w:t>：机械限位块（最大转向角±90°）与光电传感器（接近开关）双重控制，当转向角接近极限位置（±85°）时，传感器发送信号至控制器，减速转向速度（从0.5rad/s降至0.2rad/s），避免机械冲击。</w:t>
      </w:r>
    </w:p>
    <w:p w14:paraId="7F6BF58C">
      <w:r>
        <w:t>转向轮轴距1970-2500mm（根据车型），转弯半径（货叉收回时）1.85-2.5米，最小通道宽度=转弯半径+车体宽度，如1.5吨车型（转弯半径1.85米，车体宽度1.09米），最小通道宽度2.94米，适应干变车间狭窄通道作业。</w:t>
      </w:r>
    </w:p>
    <w:p w14:paraId="363EA21E">
      <w:pPr>
        <w:pStyle w:val="4"/>
      </w:pPr>
      <w:r>
        <w:t>3.2 电气控制系统</w:t>
      </w:r>
    </w:p>
    <w:p w14:paraId="23977B8A">
      <w:r>
        <w:t>电气控制系统是堆垛车的“大脑”，由主控模块、电机控制器、传感器系统及电池管理系统组成，实现车辆的动力控制、动作协调及安全监控。</w:t>
      </w:r>
    </w:p>
    <w:p w14:paraId="4BDF48C2">
      <w:pPr>
        <w:pStyle w:val="5"/>
      </w:pPr>
      <w:r>
        <w:t>3.2.1 主控模块与电机控制器</w:t>
      </w:r>
    </w:p>
    <w:p w14:paraId="0D05D5CF">
      <w:r>
        <w:t>主控模块采用PLC或嵌入式控制器，如西门子S7-1200 PLC或STM32嵌入式系统，主频≥100MHz，内存≥128MB，负责接收操作指令、处理传感器信号并输出控制逻辑。其核心功能包括：路径规划（简单前进后退逻辑）、速度限制（根据提升高度自动降速）、安全联锁（急停、限位信号处理）。</w:t>
      </w:r>
    </w:p>
    <w:p w14:paraId="27FC613F">
      <w:r>
        <w:t>电机控制器分为行走电机控制器和起升电机控制器：</w:t>
      </w:r>
    </w:p>
    <w:p w14:paraId="24E0872C">
      <w:pPr>
        <w:numPr>
          <w:ilvl w:val="0"/>
          <w:numId w:val="19"/>
        </w:numPr>
        <w:spacing w:before="0" w:beforeAutospacing="1" w:after="0" w:afterAutospacing="1"/>
        <w:ind w:left="720" w:hanging="360"/>
      </w:pPr>
      <w:r>
        <w:rPr>
          <w:b/>
        </w:rPr>
        <w:t>行走电机控制器</w:t>
      </w:r>
      <w:r>
        <w:t>：采用矢量控制算法，输入DC24V/48V直流电，输出三相交流电（0-50Hz），实现行走电机无级调速（0-6km/h）。具备过载保护（电流＞150%额定值时停机）、过压保护（电压＞110%额定值）、欠压保护（电压＜90%额定值）及再生制动功能（减速时将动能转化为电能回充电池，回收效率≥15%）。</w:t>
      </w:r>
    </w:p>
    <w:p w14:paraId="280B7BB5">
      <w:pPr>
        <w:numPr>
          <w:ilvl w:val="0"/>
          <w:numId w:val="19"/>
        </w:numPr>
        <w:spacing w:before="0" w:beforeAutospacing="1" w:after="0" w:afterAutospacing="1"/>
        <w:ind w:left="720" w:hanging="360"/>
      </w:pPr>
      <w:r>
        <w:rPr>
          <w:b/>
        </w:rPr>
        <w:t>起升电机控制器</w:t>
      </w:r>
      <w:r>
        <w:t>：控制液压泵电机运转，通过PWM信号调节电机转速（0-1500r/min），进而控制液压油流量，实现货叉升降速度调节（0.1-0.3m/s）。智能型控制器支持位置闭环控制（通过编码器反馈货叉高度，定位精度±5mm），可预设3组常用提升高度（如1.2m、2.4m、3.6m），一键到位。</w:t>
      </w:r>
    </w:p>
    <w:p w14:paraId="0F4CDF10">
      <w:r>
        <w:t>主控模块与电机控制器通过CAN总线通信（速率250kbps），遵循CANopen协议，数据传输延迟≤10ms，确保实时控制。</w:t>
      </w:r>
    </w:p>
    <w:p w14:paraId="6C048CBC">
      <w:pPr>
        <w:pStyle w:val="5"/>
      </w:pPr>
      <w:r>
        <w:t>3.2.2 传感器系统</w:t>
      </w:r>
    </w:p>
    <w:p w14:paraId="5E8F870B">
      <w:r>
        <w:t>传感器系统实时监测车辆状态，为控制决策提供依据，主要包括：</w:t>
      </w:r>
    </w:p>
    <w:p w14:paraId="317F1FBA">
      <w:pPr>
        <w:numPr>
          <w:ilvl w:val="0"/>
          <w:numId w:val="20"/>
        </w:numPr>
        <w:spacing w:before="0" w:beforeAutospacing="1" w:after="0" w:afterAutospacing="1"/>
        <w:ind w:left="720" w:hanging="360"/>
      </w:pPr>
      <w:r>
        <w:rPr>
          <w:b/>
        </w:rPr>
        <w:t>位置传感器</w:t>
      </w:r>
      <w:r>
        <w:t>：货叉升降编码器（分辨率1024线，安装于油缸活塞杆顶部），实时反馈货叉高度，用于位置闭环控制及高度限位；转向角传感器（霍尔式，精度±0.5°），安装于转向拉杆，反馈转向角度，实现转向闭环控制。</w:t>
      </w:r>
    </w:p>
    <w:p w14:paraId="5B7E0F5E">
      <w:pPr>
        <w:numPr>
          <w:ilvl w:val="0"/>
          <w:numId w:val="20"/>
        </w:numPr>
        <w:spacing w:before="0" w:beforeAutospacing="1" w:after="0" w:afterAutospacing="1"/>
        <w:ind w:left="720" w:hanging="360"/>
      </w:pPr>
      <w:r>
        <w:rPr>
          <w:b/>
        </w:rPr>
        <w:t>安全传感器</w:t>
      </w:r>
      <w:r>
        <w:t>：激光扫描仪（如SICK S300，检测角度270°，距离1-3m可调），安装于车体前部，检测前方障碍物，触发减速或停车；急停按钮（红色蘑菇头，常闭触点），安装于操作手柄及车体前后，按下时切断全车电源；限位开关（货叉起升上限、门架前倾后仰极限），防止机构超程损坏。</w:t>
      </w:r>
    </w:p>
    <w:p w14:paraId="303EE4B5">
      <w:pPr>
        <w:numPr>
          <w:ilvl w:val="0"/>
          <w:numId w:val="20"/>
        </w:numPr>
        <w:spacing w:before="0" w:beforeAutospacing="1" w:after="0" w:afterAutospacing="1"/>
        <w:ind w:left="720" w:hanging="360"/>
      </w:pPr>
      <w:r>
        <w:rPr>
          <w:b/>
        </w:rPr>
        <w:t>状态监测传感器</w:t>
      </w:r>
      <w:r>
        <w:t>：电池温度传感器（NTC热敏电阻，量程-20-85℃，精度±1℃），监测单体电池温度；电机温度传感器（PTC热敏电阻），监测绕组温度，超过120℃时报警；液压油位传感器（浮子式），油位低于1/2时报警，防止泵吸空。</w:t>
      </w:r>
    </w:p>
    <w:p w14:paraId="50B72382">
      <w:r>
        <w:t>传感器信号通过屏蔽电缆传输至主控模块，模拟量信号（如温度、压力）经A/D转换（精度12位）后处理，数字量信号（如限位、急停）直接接入IO模块，响应时间≤100ms。</w:t>
      </w:r>
    </w:p>
    <w:p w14:paraId="77DFF545">
      <w:pPr>
        <w:pStyle w:val="5"/>
      </w:pPr>
      <w:r>
        <w:t>3.2.3 电池管理系统（BMS）</w:t>
      </w:r>
    </w:p>
    <w:p w14:paraId="3278058F">
      <w:r>
        <w:t>电池管理系统（BMS）监控24V/48V蓄电池组状态，确保安全高效充放电，核心功能包括：</w:t>
      </w:r>
    </w:p>
    <w:p w14:paraId="4EA545A1">
      <w:pPr>
        <w:numPr>
          <w:ilvl w:val="0"/>
          <w:numId w:val="21"/>
        </w:numPr>
        <w:spacing w:before="0" w:beforeAutospacing="1" w:after="0" w:afterAutospacing="1"/>
        <w:ind w:left="720" w:hanging="360"/>
      </w:pPr>
      <w:r>
        <w:rPr>
          <w:b/>
        </w:rPr>
        <w:t>状态监测</w:t>
      </w:r>
      <w:r>
        <w:t>：通过电压采集模块（采样精度±5mV）监测单体电池电压（如48V电池组由40节12V单体组成），电流传感器（霍尔式，精度±1%）测量充放电电流，结合温度数据估算荷电状态（SOC，精度±5%）和健康状态（SOH）。</w:t>
      </w:r>
    </w:p>
    <w:p w14:paraId="50A8F968">
      <w:pPr>
        <w:numPr>
          <w:ilvl w:val="0"/>
          <w:numId w:val="21"/>
        </w:numPr>
        <w:spacing w:before="0" w:beforeAutospacing="1" w:after="0" w:afterAutospacing="1"/>
        <w:ind w:left="720" w:hanging="360"/>
      </w:pPr>
      <w:r>
        <w:rPr>
          <w:b/>
        </w:rPr>
        <w:t>均衡控制</w:t>
      </w:r>
      <w:r>
        <w:t>：当单体电池电压差＞50mV时，启动被动均衡电路（通过电阻放电，均衡电流50-100mA），将高电压单体放电至平均水平，延长电池组寿命（循环寿命提升20%）。</w:t>
      </w:r>
    </w:p>
    <w:p w14:paraId="1E568B81">
      <w:pPr>
        <w:numPr>
          <w:ilvl w:val="0"/>
          <w:numId w:val="21"/>
        </w:numPr>
        <w:spacing w:before="0" w:beforeAutospacing="1" w:after="0" w:afterAutospacing="1"/>
        <w:ind w:left="720" w:hanging="360"/>
      </w:pPr>
      <w:r>
        <w:rPr>
          <w:b/>
        </w:rPr>
        <w:t>保护功能</w:t>
      </w:r>
      <w:r>
        <w:t>：过充保护（单体电压＞2.45V时切断充电）、过放保护（单体电压＜2.0V时切断放电）、过流保护（充放电电流＞3C时停机，C为电池容量）、过温保护（单体温度＞55℃时限功率运行）。</w:t>
      </w:r>
    </w:p>
    <w:p w14:paraId="46EC24D9">
      <w:r>
        <w:t>电池组采用铅酸电池或磷酸铁锂电池：铅酸电池容量200-300Ah，循环寿命800次，重量大（能量密度30-40Wh/kg），成本低；磷酸铁锂电池容量200-500Ah，循环寿命2000次，重量轻（能量密度100-150Wh/kg），支持快充（2小时充满80%），干变车间推荐使用锂电池，适配多班制生产。</w:t>
      </w:r>
    </w:p>
    <w:p w14:paraId="57B3AB93">
      <w:pPr>
        <w:pStyle w:val="4"/>
      </w:pPr>
      <w:r>
        <w:t>3.3 安全防护系统</w:t>
      </w:r>
    </w:p>
    <w:p w14:paraId="4C9B6A17">
      <w:r>
        <w:t>安全防护系统通过多重机制保障设备及人员安全，符合ISO 3691-1《工业车辆安全要求》标准：</w:t>
      </w:r>
    </w:p>
    <w:p w14:paraId="6ED97C18">
      <w:pPr>
        <w:pStyle w:val="5"/>
      </w:pPr>
      <w:r>
        <w:t>3.3.1 制动系统</w:t>
      </w:r>
    </w:p>
    <w:p w14:paraId="064ADF2F">
      <w:r>
        <w:t>制动系统包括行车制动、驻车制动及紧急制动：</w:t>
      </w:r>
    </w:p>
    <w:p w14:paraId="3EF68BCF">
      <w:pPr>
        <w:numPr>
          <w:ilvl w:val="0"/>
          <w:numId w:val="22"/>
        </w:numPr>
        <w:spacing w:before="0" w:beforeAutospacing="1" w:after="0" w:afterAutospacing="1"/>
        <w:ind w:left="720" w:hanging="360"/>
      </w:pPr>
      <w:r>
        <w:rPr>
          <w:b/>
        </w:rPr>
        <w:t>行车制动</w:t>
      </w:r>
      <w:r>
        <w:t>：电磁液压制动，制动踏板行程20-30mm，自由行程10mm，制动压力8-10MPa，确保满载5km/h时制动距离≤1.5米。制动盘采用灰铸铁材质（HT250），厚度≥10mm，磨损极限≤8mm。</w:t>
      </w:r>
    </w:p>
    <w:p w14:paraId="20A23D50">
      <w:pPr>
        <w:numPr>
          <w:ilvl w:val="0"/>
          <w:numId w:val="22"/>
        </w:numPr>
        <w:spacing w:before="0" w:beforeAutospacing="1" w:after="0" w:afterAutospacing="1"/>
        <w:ind w:left="720" w:hanging="360"/>
      </w:pPr>
      <w:r>
        <w:rPr>
          <w:b/>
        </w:rPr>
        <w:t>驻车制动</w:t>
      </w:r>
      <w:r>
        <w:t>：机械棘爪式，拉起驻车手柄时，棘爪与驱动轮轴棘轮啮合，制动力矩≥300N·m，防止车辆在5%坡度上溜坡。手柄设有到位开关，未完全驻车时控制器禁止启动车辆。</w:t>
      </w:r>
    </w:p>
    <w:p w14:paraId="572F5F81">
      <w:pPr>
        <w:numPr>
          <w:ilvl w:val="0"/>
          <w:numId w:val="22"/>
        </w:numPr>
        <w:spacing w:before="0" w:beforeAutospacing="1" w:after="0" w:afterAutospacing="1"/>
        <w:ind w:left="720" w:hanging="360"/>
      </w:pPr>
      <w:r>
        <w:rPr>
          <w:b/>
        </w:rPr>
        <w:t>紧急制动</w:t>
      </w:r>
      <w:r>
        <w:t>：当检测到制动系统故障（如压力不足）时，控制器自动激活备用制动（电磁线圈直接通电），确保车辆在2秒内停止；同时触发声光报警（100dB蜂鸣器+红色旋转警示灯）。</w:t>
      </w:r>
    </w:p>
    <w:p w14:paraId="7625700E">
      <w:pPr>
        <w:pStyle w:val="5"/>
      </w:pPr>
      <w:r>
        <w:t>3.3.2 限位与紧急停止装置</w:t>
      </w:r>
    </w:p>
    <w:p w14:paraId="4F78CD2B">
      <w:r>
        <w:t>限位装置防止机构超程运行，紧急停止装置在突发情况下切断动力：</w:t>
      </w:r>
    </w:p>
    <w:p w14:paraId="0C740AC4">
      <w:pPr>
        <w:numPr>
          <w:ilvl w:val="0"/>
          <w:numId w:val="23"/>
        </w:numPr>
        <w:spacing w:before="0" w:beforeAutospacing="1" w:after="0" w:afterAutospacing="1"/>
        <w:ind w:left="720" w:hanging="360"/>
      </w:pPr>
      <w:r>
        <w:rPr>
          <w:b/>
        </w:rPr>
        <w:t>高度限位</w:t>
      </w:r>
      <w:r>
        <w:t>：机械限位块（安装于门架顶部），当货叉上升至最大高度时，机械碰撞触发微动开关，切断起升电机电源；软限位（通过编码器设定），当货叉接近最大高度前100mm时，控制器自动降低起升速度（从0.3m/s降至0.1m/s），实现缓冲。</w:t>
      </w:r>
    </w:p>
    <w:p w14:paraId="77ABC43A">
      <w:pPr>
        <w:numPr>
          <w:ilvl w:val="0"/>
          <w:numId w:val="23"/>
        </w:numPr>
        <w:spacing w:before="0" w:beforeAutospacing="1" w:after="0" w:afterAutospacing="1"/>
        <w:ind w:left="720" w:hanging="360"/>
      </w:pPr>
      <w:r>
        <w:rPr>
          <w:b/>
        </w:rPr>
        <w:t>前倾后仰限位</w:t>
      </w:r>
      <w:r>
        <w:t>：角度传感器（安装于门架与车体连接处），当货叉前倾角度＞3°或后仰角度＞6°时，控制器切断相应动作电源，同时液压锁关闭油路，防止门架继续倾斜。</w:t>
      </w:r>
    </w:p>
    <w:p w14:paraId="3F8BACBF">
      <w:pPr>
        <w:numPr>
          <w:ilvl w:val="0"/>
          <w:numId w:val="23"/>
        </w:numPr>
        <w:spacing w:before="0" w:beforeAutospacing="1" w:after="0" w:afterAutospacing="1"/>
        <w:ind w:left="720" w:hanging="360"/>
      </w:pPr>
      <w:r>
        <w:rPr>
          <w:b/>
        </w:rPr>
        <w:t>紧急停止装置</w:t>
      </w:r>
      <w:r>
        <w:t>：车体前后及操作手柄处设置红色蘑菇头急停按钮（IP65防护），按下时直接切断全车电源（包括驱动、液压、控制回路），所有运动部件立即停止，响应时间≤100ms。按钮需顺时针旋转复位，防止误操作。</w:t>
      </w:r>
    </w:p>
    <w:p w14:paraId="1764397D">
      <w:r>
        <w:t>此外，安全防护系统还包括过载保护（液压系统压力传感器检测，超载时报警并停止起升）、门架前倾自锁（防止行驶中门架前倾）、操作手柄垂直放置停机（手柄直立时自动断电，防止误碰启动）等功能，形成全方位安全防护网。</w:t>
      </w:r>
    </w:p>
    <w:p w14:paraId="109BCA2F">
      <w:pPr>
        <w:pStyle w:val="3"/>
      </w:pPr>
      <w:r>
        <w:t>四、机械工作原理</w:t>
      </w:r>
    </w:p>
    <w:p w14:paraId="29B9898A">
      <w:pPr>
        <w:pStyle w:val="4"/>
      </w:pPr>
      <w:r>
        <w:t>4.1 驱动系统工作原理</w:t>
      </w:r>
    </w:p>
    <w:p w14:paraId="5E9099D3">
      <w:r>
        <w:t>驱动系统通过“电机-减速器-驱动轮”动力传递链实现车辆行驶，其核心是差速转向机制：</w:t>
      </w:r>
    </w:p>
    <w:p w14:paraId="332E1319">
      <w:r>
        <w:rPr>
          <w:b/>
        </w:rPr>
        <w:t>动力传递过程</w:t>
      </w:r>
      <w:r>
        <w:t>：行走电机输出扭矩（T电）经行星齿轮减速器（速比i）放大后，传递至驱动轮（T轮=T电×i×η，η为传动效率，约0.96）。驱动轮与地面之间产生摩擦力（f=μ×N，μ为摩擦系数，N为驱动轮垂直载荷），当f≥车辆行驶阻力（包括滚动阻力、坡度阻力、空气阻力）时，车辆前进。</w:t>
      </w:r>
    </w:p>
    <w:p w14:paraId="6956C9C7">
      <w:r>
        <w:rPr>
          <w:b/>
        </w:rPr>
        <w:t>差速转向原理</w:t>
      </w:r>
      <w:r>
        <w:t>：车辆转向时，控制器通过调节左右驱动轮转速差实现转向。设左右轮转速分别为nL、nR（r/min），驱动轮直径D（m），轮距B（m），则车辆前进速度v=π×D×(nL+nR)/(4×60)（m/s），转向角速度ω=π×D×(nR-nL)/(2×60×B)（rad/s），转弯半径R=B×(nL+nR)/(2×(nR-nL))（m）。</w:t>
      </w:r>
    </w:p>
    <w:p w14:paraId="789AB834">
      <w:r>
        <w:t>例如，1.5吨车型（D=0.25m，B=1.09m）直线行驶时，nL=nR=1000r/min，v=π×0.25×(1000+1000)/(4×60)≈6.54m/s=23.5km/h（实际通过控制器限速至5.5km/h）；转向时，若nL=800r/min，nR=1200r/min，则ω=π×0.25×(1200-800)/(2×60×1.09)≈0.95rad/s，转弯半径R=1.09×(800+1200)/(2×(1200-800))≈2.73m，实现平稳转向。</w:t>
      </w:r>
    </w:p>
    <w:p w14:paraId="2F530172">
      <w:r>
        <w:rPr>
          <w:b/>
        </w:rPr>
        <w:t>制动原理</w:t>
      </w:r>
      <w:r>
        <w:t>：行车制动时，松开加速踏板，控制器检测到踏板信号后，切断行走电机电源，同时向制动线圈通电（电压DC24V），线圈产生电磁力推动制动钳活塞，夹紧制动盘，产生制动力矩，使车辆减速直至停止。制动过程中，再生制动系统将电机动能转化为电能（通过逆变器整流后回充电池），延长续航15%。</w:t>
      </w:r>
    </w:p>
    <w:p w14:paraId="785E4057">
      <w:pPr>
        <w:pStyle w:val="4"/>
      </w:pPr>
      <w:r>
        <w:t>4.2 液压举升系统工作原理</w:t>
      </w:r>
    </w:p>
    <w:p w14:paraId="74E542DA">
      <w:r>
        <w:t>液压举升系统基于帕斯卡定律（密闭液体中压力处处相等），通过液压油传递动力，实现货叉升降：</w:t>
      </w:r>
    </w:p>
    <w:p w14:paraId="759251B8">
      <w:r>
        <w:rPr>
          <w:b/>
        </w:rPr>
        <w:t>举升过程</w:t>
      </w:r>
      <w:r>
        <w:t>：按下起升按钮，起升电机控制器驱动液压泵运转，液压油经吸油滤芯→泵→高压滤芯→多路阀（起升位）→举升油缸无杆腔。由于无杆腔面积（A1=π×D²/4，D为油缸内径）大于有杆腔面积（A2=π×(D²-d²)/4，d为活塞杆直径），在压力P作用下，活塞杆伸出（举升力F=P×A1），推动门架及货叉上升。</w:t>
      </w:r>
    </w:p>
    <w:p w14:paraId="197E4B26">
      <w:r>
        <w:t>举升力计算示例：油缸内径80mm（D=0.08m），系统压力P=16MPa=16×10⁶Pa，A1=π×0.08²/4≈0.005027m²，F=16×10⁶×0.005027≈80432N≈8.2吨，安全系数=8.2吨/1.5吨≈5.5，满足重载需求。</w:t>
      </w:r>
    </w:p>
    <w:p w14:paraId="78474538">
      <w:r>
        <w:rPr>
          <w:b/>
        </w:rPr>
        <w:t>下降过程</w:t>
      </w:r>
      <w:r>
        <w:t>：按下下降按钮，多路阀切换至下降位，举升油缸有杆腔进油，无杆腔油液经限速阀→多路阀→油箱。限速阀通过节流孔（直径1-2mm）控制回油流量，使下降速度稳定（空载95mm/s，满载100mm/s），防止货物因自重超速坠落。</w:t>
      </w:r>
    </w:p>
    <w:p w14:paraId="364678A7">
      <w:r>
        <w:rPr>
          <w:b/>
        </w:rPr>
        <w:t>门架伸缩原理</w:t>
      </w:r>
      <w:r>
        <w:t>：三级门架由外门架、中门架、内门架组成，举升油缸安装于外门架与中门架之间，中门架通过链条与内门架连接（链条一端固定于外门架顶部，另一端连接内门架底部）。当油缸推动中门架上升时，链条带动内门架同步上升，实现三级伸缩，内门架上升高度=油缸行程×2（二级门架）或×3（三级门架），如油缸行程2m，三级门架最大提升高度6m。</w:t>
      </w:r>
    </w:p>
    <w:p w14:paraId="35350970">
      <w:pPr>
        <w:pStyle w:val="4"/>
      </w:pPr>
      <w:r>
        <w:t>4.3 转向系统工作原理</w:t>
      </w:r>
    </w:p>
    <w:p w14:paraId="0052B73A">
      <w:r>
        <w:t>转向系统通过控制转向轮偏转角度实现车辆转向，其工作原理如下：</w:t>
      </w:r>
    </w:p>
    <w:p w14:paraId="289777A7">
      <w:r>
        <w:rPr>
          <w:b/>
        </w:rPr>
        <w:t>转向动力传递</w:t>
      </w:r>
      <w:r>
        <w:t>：转动操作手柄，手柄角度传感器发送信号至主控模块，主控模块根据转向角度指令控制转向电机运转。转向电机输出扭矩经蜗轮蜗杆减速器（速比30:1）放大后，带动转向摇臂摆动，摇臂通过转向拉杆拉动转向节，使转向轮偏转（角度与手柄转角成正比，比例系数1:1.2）。</w:t>
      </w:r>
    </w:p>
    <w:p w14:paraId="04BDECB3">
      <w:r>
        <w:rPr>
          <w:b/>
        </w:rPr>
        <w:t>转向角闭环控制</w:t>
      </w:r>
      <w:r>
        <w:t>：转向角传感器实时检测转向轮实际角度（θ实），与目标角度（θ目）比较，产生偏差Δθ=θ目-θ实。主控模块通过PID算法调节转向电机转速（u=Kp×Δθ+Ki×∫Δθdt+Kd×dΔθ/dt），直至Δθ≤±0.5°，确保转向精度。</w:t>
      </w:r>
    </w:p>
    <w:p w14:paraId="393B8FB6">
      <w:r>
        <w:rPr>
          <w:b/>
        </w:rPr>
        <w:t>阿克曼转向几何</w:t>
      </w:r>
      <w:r>
        <w:t>：为减少转向时轮胎磨损，转向系统设计为阿克曼几何，即内侧转向轮偏转角度（θ内）大于外侧转向轮角度（θ外），满足cotθ外-cotθ内=B/L（B为轮距，L为轴距）。例如，轮距B=1.09m，轴距L=1.97m，当θ外=30°时，cotθ内=cotθ外-B/L≈1.732-1.09/1.97≈1.732-0.553=1.179，θ内≈40°，确保转向时所有车轮滚动轨迹圆心共线，避免轮胎拖滑。</w:t>
      </w:r>
    </w:p>
    <w:p w14:paraId="298D0805">
      <w:pPr>
        <w:pStyle w:val="3"/>
      </w:pPr>
      <w:r>
        <w:t>五、控制原理</w:t>
      </w:r>
    </w:p>
    <w:p w14:paraId="13363148">
      <w:pPr>
        <w:pStyle w:val="4"/>
      </w:pPr>
      <w:r>
        <w:t>5.1 控制系统整体架构</w:t>
      </w:r>
    </w:p>
    <w:p w14:paraId="512EF5D3">
      <w:r>
        <w:t>站驾式电动堆垛车控制系统采用“分层分布式”架构，分为数据采集层、控制决策层和执行层，实现数据采集、逻辑处理与动作执行的闭环控制：</w:t>
      </w:r>
    </w:p>
    <w:p w14:paraId="01BC113D">
      <w:r>
        <w:rPr>
          <w:b/>
        </w:rPr>
        <w:t>数据采集层</w:t>
      </w:r>
      <w:r>
        <w:t>：由各类传感器组成，包括位置传感器（编码器、角度传感器）、状态传感器（温度、压力、电流传感器）、安全传感器（急停按钮、限位开关、激光扫描仪）。传感器信号通过CAN总线或模拟量输入模块传输至控制决策层，采样频率10-100Hz（快速信号如电流100Hz，慢速信号如温度1Hz），数据采用CRC校验，确保传输可靠性（误码率＜10⁻⁶）。</w:t>
      </w:r>
    </w:p>
    <w:p w14:paraId="2D74A742">
      <w:r>
        <w:rPr>
          <w:b/>
        </w:rPr>
        <w:t>控制决策层</w:t>
      </w:r>
      <w:r>
        <w:t>：以主控模块为核心，接收数据采集层的传感器信号，结合操作手柄指令（前进、后退、升降、转向），执行控制逻辑：路径规划（简单前进后退）、速度调节（根据负载和提升高度）、安全联锁（急停、限位、过载保护）。例如，当提升高度＞1.5m时，主控模块自动限制行驶速度（从5km/h降至3km/h）；当激光扫描仪检测到障碍物时，立即输出减速或停车指令。</w:t>
      </w:r>
    </w:p>
    <w:p w14:paraId="6E170BD4">
      <w:r>
        <w:rPr>
          <w:b/>
        </w:rPr>
        <w:t>执行层</w:t>
      </w:r>
      <w:r>
        <w:t>：包括电机控制器（行走、起升）、液压阀（多路阀、比例阀）、制动装置（电磁制动、液压制动）等执行元件，接收控制决策层的指令并转化为物理动作。行走电机控制器根据速度指令调节输出频率，起升电机控制器调节液压泵转速，液压阀调节油路通断及流量，制动装置实现车辆减速或停止。</w:t>
      </w:r>
    </w:p>
    <w:p w14:paraId="14D5FBB4">
      <w:r>
        <w:t>三层架构通过CAN总线（速率250kbps）和硬线连接（安全信号）实现通信，控制周期≤10ms，确保实时性；安全信号（急停、限位）采用双通道设计，接入安全继电器（如西门子3TK系列），符合EN ISO 13849-1 PLd安全等级要求。</w:t>
      </w:r>
    </w:p>
    <w:p w14:paraId="131A4854">
      <w:pPr>
        <w:pStyle w:val="4"/>
      </w:pPr>
      <w:r>
        <w:t>5.2 电机与液压控制</w:t>
      </w:r>
    </w:p>
    <w:p w14:paraId="600ADA72">
      <w:r>
        <w:t>电机与液压控制是堆垛车动作的核心，通过闭环调节实现精准控制：</w:t>
      </w:r>
    </w:p>
    <w:p w14:paraId="3C4CA613">
      <w:r>
        <w:rPr>
          <w:b/>
        </w:rPr>
        <w:t>行走电机速度闭环控制</w:t>
      </w:r>
      <w:r>
        <w:t>：主控模块根据操作手柄行程（0-100%）生成目标速度指令（v目=0-6km/h），行走电机编码器反馈实际速度（v实），计算速度偏差Δv=v目-v实。控制器通过PID算法输出控制量（u=Kp×Δv+Ki×∫Δvdt+Kd×dΔv/dt），调节电机控制器输出频率（0-50Hz），使v实跟踪v目，稳态速度误差≤±0.2km/h。</w:t>
      </w:r>
    </w:p>
    <w:p w14:paraId="783A7704">
      <w:r>
        <w:t>PID参数设置：比例系数Kp=0.5-1.0（速度响应快慢），积分系数Ki=0.1-0.5s⁻¹（消除静态误差），微分系数Kd=0-0.2s（抑制超调）。轻载时增大Kp加快响应，重载时减小Kp防止超调。</w:t>
      </w:r>
    </w:p>
    <w:p w14:paraId="47E6CE1C">
      <w:r>
        <w:rPr>
          <w:b/>
        </w:rPr>
        <w:t>起升电机位置闭环控制</w:t>
      </w:r>
      <w:r>
        <w:t>：智能型堆垛车通过货叉升降编码器反馈实际高度（h实），与目标高度（h目）比较，偏差Δh=h目-h实。控制器输出PWM信号调节起升电机转速（n=Kp×Δh+Ki×∫Δhdt），控制液压泵流量，实现货叉精确定位（精度±5mm）。定位过程分为快速上升（0-80%行程，速度0.3m/s）、慢速接近（80%-100%行程，速度0.1m/s），防止超程冲击。</w:t>
      </w:r>
    </w:p>
    <w:p w14:paraId="1E8536B7">
      <w:r>
        <w:rPr>
          <w:b/>
        </w:rPr>
        <w:t>液压系统压力控制</w:t>
      </w:r>
      <w:r>
        <w:t>：多路阀内置溢流阀，通过调节弹簧预紧力设定系统最高压力（16MPa），当负载超过设定压力时，溢流阀开启卸荷，保护液压元件。起升电机控制器根据压力传感器信号（P实）调节输出功率，当P实接近16MPa时，降低电机转速，避免过载。</w:t>
      </w:r>
    </w:p>
    <w:p w14:paraId="7D2C2389">
      <w:pPr>
        <w:pStyle w:val="4"/>
      </w:pPr>
      <w:r>
        <w:t>5.3 安全联锁逻辑</w:t>
      </w:r>
    </w:p>
    <w:p w14:paraId="2E9096BF">
      <w:r>
        <w:t>安全联锁逻辑是保障设备和人员安全的核心，通过“故障安全”原则设计，确保异常情况下切断危险输出：</w:t>
      </w:r>
    </w:p>
    <w:p w14:paraId="0BB09250">
      <w:r>
        <w:rPr>
          <w:b/>
        </w:rPr>
        <w:t>安全信号采集</w:t>
      </w:r>
      <w:r>
        <w:t>：急停按钮、激光扫描仪、限位开关等安全装置的信号串联接入安全继电器，形成安全电路。安全继电器的输入信号为常闭触点（正常时闭合，异常时断开），如急停按钮按下、激光扫描仪检测到障碍物、限位开关触发，均会导致安全电路断开。</w:t>
      </w:r>
    </w:p>
    <w:p w14:paraId="07EEF6F5">
      <w:r>
        <w:rPr>
          <w:b/>
        </w:rPr>
        <w:t>联锁控制逻辑</w:t>
      </w:r>
      <w:r>
        <w:t>：安全继电器输出控制驱动电机电源、起升电机电源、液压阀电源。当安全电路正常（所有触点闭合）时，安全继电器吸合，输出24V电压，允许执行层动作；当安全电路断开（任一触点断开）时，安全继电器失电，切断执行层电源，所有运动部件立即停止（响应时间≤100ms）。</w:t>
      </w:r>
    </w:p>
    <w:p w14:paraId="354EB952">
      <w:r>
        <w:rPr>
          <w:b/>
        </w:rPr>
        <w:t>故障诊断与报警</w:t>
      </w:r>
      <w:r>
        <w:t>：主控模块实时监测安全电路状态，通过故障代码（如“E01”急停触发、“E02”激光故障、“E03”限位触发）在仪表盘显示故障类型，并触发声光报警（红色LED灯闪烁，蜂鸣器间歇鸣叫，声压级≥90dB@1m），提示操作人员处理。故障排除后，需手动复位安全继电器，方可重新启动设备。</w:t>
      </w:r>
    </w:p>
    <w:p w14:paraId="41326605">
      <w:r>
        <w:t>安全联锁逻辑符合EN ISO 13849-1 PLd等级要求，平均无危险故障间隔时间（MTBF）≥100000小时，确保设备在全生命周期内的安全运行。</w:t>
      </w:r>
    </w:p>
    <w:p w14:paraId="648F335F">
      <w:pPr>
        <w:pStyle w:val="3"/>
      </w:pPr>
      <w:r>
        <w:t>六、操作与维护保养</w:t>
      </w:r>
    </w:p>
    <w:p w14:paraId="4866EE89">
      <w:pPr>
        <w:pStyle w:val="4"/>
      </w:pPr>
      <w:r>
        <w:t>6.1 基本操作流程</w:t>
      </w:r>
    </w:p>
    <w:p w14:paraId="7F69C62A">
      <w:pPr>
        <w:pStyle w:val="4"/>
      </w:pPr>
      <w:r>
        <w:t>6.1.1 开机准备与系统检查</w:t>
      </w:r>
    </w:p>
    <w:p w14:paraId="69CD6A68">
      <w:r>
        <w:t>开机前需进行环境与设备检查，确保堆垛车具备安全运行条件：</w:t>
      </w:r>
    </w:p>
    <w:p w14:paraId="022FB726">
      <w:r>
        <w:rPr>
          <w:b/>
        </w:rPr>
        <w:t>环境检查</w:t>
      </w:r>
      <w:r>
        <w:t>：清理作业通道障碍物（工具、物料），确保通道宽度≥堆垛车最小通道宽度（如1.5吨车型≥2.94米）；检查地面平整度（误差≤3mm/m），无明显坑洼、油污（摩擦系数≥0.3）；确认照明照度≥300lux，视野清晰；冬季环境温度＜0℃时，需提前预热电池（通过充电器低温模式，加热至10℃以上）。</w:t>
      </w:r>
    </w:p>
    <w:p w14:paraId="61339426">
      <w:r>
        <w:rPr>
          <w:b/>
        </w:rPr>
        <w:t>设备检查</w:t>
      </w:r>
      <w:r>
        <w:t>：打开主控电源，仪表盘显示系统自检界面（约30秒），检查电池电量（SOC≥20%，单体电压差≤0.1V）；测试操作手柄（前进/后退、升降、转向）动作是否顺畅，无卡滞；检查制动系统：行车制动（踩下踏板，车辆应能在1.5米内停止）、驻车制动（拉起手柄，车辆在5%坡度不溜坡）；检查货叉：间距调节灵活（540-760mm），无变形（空载挠度≤1mm/m），货叉尖对齐（偏差≤5mm）；检查液压系统：油位在油镜1/2-2/3处，无渗漏（管路接头、油缸密封处无油渍）；检查安全装置：急停按钮（按下后全车断电）、激光扫描仪（遮挡时报警）、限位开关（货叉升降至极限位置时停止）功能正常。</w:t>
      </w:r>
    </w:p>
    <w:p w14:paraId="65B8103F">
      <w:r>
        <w:t>自检完成后，仪表盘显示“就绪”，堆垛车进入待机状态，方可开始作业。</w:t>
      </w:r>
    </w:p>
    <w:p w14:paraId="107B872D">
      <w:pPr>
        <w:pStyle w:val="5"/>
      </w:pPr>
      <w:r>
        <w:t>6.1.2 作业操作与停机流程</w:t>
      </w:r>
    </w:p>
    <w:p w14:paraId="244132C4">
      <w:r>
        <w:t>作业操作需严格按照规程进行，确保安全高效：</w:t>
      </w:r>
    </w:p>
    <w:p w14:paraId="176C412F">
      <w:r>
        <w:rPr>
          <w:b/>
        </w:rPr>
        <w:t>作业操作步骤</w:t>
      </w:r>
      <w:r>
        <w:t>：</w:t>
      </w:r>
    </w:p>
    <w:p w14:paraId="3650489B">
      <w:pPr>
        <w:numPr>
          <w:ilvl w:val="0"/>
          <w:numId w:val="24"/>
        </w:numPr>
        <w:spacing w:before="0" w:beforeAutospacing="1" w:after="0" w:afterAutospacing="1"/>
        <w:ind w:left="720" w:hanging="360"/>
      </w:pPr>
      <w:r>
        <w:rPr>
          <w:b/>
        </w:rPr>
        <w:t>货叉叉取货物</w:t>
      </w:r>
      <w:r>
        <w:t>：行驶至货物前方，调整货叉间距（与托盘孔匹配），降下货叉至最低位置（≤100mm），缓慢前进，使货叉完全进入托盘孔（深度≥托盘长度的2/3），然后拉起货叉至离地300-500mm（避免地面障碍物碰撞），门架后仰（角度6°），防止货物滑落。</w:t>
      </w:r>
    </w:p>
    <w:p w14:paraId="0F4F34F1">
      <w:pPr>
        <w:numPr>
          <w:ilvl w:val="0"/>
          <w:numId w:val="24"/>
        </w:numPr>
        <w:spacing w:before="0" w:beforeAutospacing="1" w:after="0" w:afterAutospacing="1"/>
        <w:ind w:left="720" w:hanging="360"/>
      </w:pPr>
      <w:r>
        <w:rPr>
          <w:b/>
        </w:rPr>
        <w:t>行驶与转向</w:t>
      </w:r>
      <w:r>
        <w:t>：站入操作平台，紧握扶手，通过手柄控制前进/后退方向，缓慢加速至所需速度（空载≤5.5km/h，满载≤5km/h）；转向时观察周围环境，确认安全后转动手柄，转向角≤90°，避免急转；提升高度＞1.5m时，行驶速度≤3km/h，防止车辆晃动。</w:t>
      </w:r>
    </w:p>
    <w:p w14:paraId="03243858">
      <w:pPr>
        <w:numPr>
          <w:ilvl w:val="0"/>
          <w:numId w:val="24"/>
        </w:numPr>
        <w:spacing w:before="0" w:beforeAutospacing="1" w:after="0" w:afterAutospacing="1"/>
        <w:ind w:left="720" w:hanging="360"/>
      </w:pPr>
      <w:r>
        <w:rPr>
          <w:b/>
        </w:rPr>
        <w:t>堆垛作业</w:t>
      </w:r>
      <w:r>
        <w:t>：行驶至货架处，调整货叉高度（与目标货位平齐，误差≤50mm），缓慢前进至货位，门架前倾（角度3°），降下货叉至货物放置稳妥，货叉后退至完全退出托盘孔，降下货叉至最低位置，驶离货架。</w:t>
      </w:r>
    </w:p>
    <w:p w14:paraId="1D6E996D">
      <w:r>
        <w:rPr>
          <w:b/>
        </w:rPr>
        <w:t>停机流程</w:t>
      </w:r>
      <w:r>
        <w:t>：作业完成后，将堆垛车行驶至指定停放区域（平整地面，无坡度）；货叉降至最低位置（≤300mm）；拉起驻车制动手柄；关闭主控电源（钥匙开关旋至“OFF”位）；清理货叉及车体残留物料（如铁芯碎屑、油污）；填写设备运行记录（行驶里程、电池电量、故障情况）。</w:t>
      </w:r>
    </w:p>
    <w:p w14:paraId="2F6A5641">
      <w:r>
        <w:rPr>
          <w:b/>
        </w:rPr>
        <w:t>注意事项</w:t>
      </w:r>
      <w:r>
        <w:t>：严禁超载叉取货物（核对货物重量与额定载重）；严禁单叉作业（防止车辆偏载倾翻）；货叉起升时，操作人员不得将头、手伸出门架之间；行驶中遇紧急情况，立即按下急停按钮。</w:t>
      </w:r>
    </w:p>
    <w:p w14:paraId="309D5C54">
      <w:pPr>
        <w:pStyle w:val="4"/>
      </w:pPr>
      <w:r>
        <w:t>6.2 维护保养规范</w:t>
      </w:r>
    </w:p>
    <w:p w14:paraId="24E51589">
      <w:r>
        <w:t>定期维护保养是确保堆垛车长期稳定运行的关键，需按周期执行以下项目：</w:t>
      </w:r>
    </w:p>
    <w:p w14:paraId="2E7D25A4">
      <w:pPr>
        <w:pStyle w:val="5"/>
      </w:pPr>
      <w:r>
        <w:t>6.2.1 日常与每周维护</w:t>
      </w:r>
    </w:p>
    <w:p w14:paraId="2D9C184D">
      <w:r>
        <w:rPr>
          <w:b/>
        </w:rPr>
        <w:t>日常维护（操作员执行，每班1次）</w:t>
      </w:r>
      <w:r>
        <w:t>：</w:t>
      </w:r>
    </w:p>
    <w:p w14:paraId="68AB357C">
      <w:pPr>
        <w:numPr>
          <w:ilvl w:val="0"/>
          <w:numId w:val="25"/>
        </w:numPr>
        <w:spacing w:before="0" w:beforeAutospacing="1" w:after="0" w:afterAutospacing="1"/>
        <w:ind w:left="720" w:hanging="360"/>
      </w:pPr>
      <w:r>
        <w:rPr>
          <w:b/>
        </w:rPr>
        <w:t>清洁</w:t>
      </w:r>
      <w:r>
        <w:t>：用干布擦拭操作面板、仪表盘及传感器镜头（激光扫描仪、编码器），压缩空气（0.4-0.6MPa）吹扫车体缝隙灰尘，确保传感器无遮挡。</w:t>
      </w:r>
    </w:p>
    <w:p w14:paraId="6BF992E1">
      <w:pPr>
        <w:numPr>
          <w:ilvl w:val="0"/>
          <w:numId w:val="25"/>
        </w:numPr>
        <w:spacing w:before="0" w:beforeAutospacing="1" w:after="0" w:afterAutospacing="1"/>
        <w:ind w:left="720" w:hanging="360"/>
      </w:pPr>
      <w:r>
        <w:rPr>
          <w:b/>
        </w:rPr>
        <w:t>检查</w:t>
      </w:r>
      <w:r>
        <w:t>：电池电压（仪表盘显示SOC，低于20%时及时充电）；液压系统有无渗漏（管路接头、油缸密封处，用纸巾擦拭确认无油渍）；轮胎气压（聚氨酯轮胎0.6-0.8MPa，通过胎压计测量）；制动踏板行程（20-30mm，自由行程10mm）。</w:t>
      </w:r>
    </w:p>
    <w:p w14:paraId="1EBB72D0">
      <w:pPr>
        <w:numPr>
          <w:ilvl w:val="0"/>
          <w:numId w:val="25"/>
        </w:numPr>
        <w:spacing w:before="0" w:beforeAutospacing="1" w:after="0" w:afterAutospacing="1"/>
        <w:ind w:left="720" w:hanging="360"/>
      </w:pPr>
      <w:r>
        <w:rPr>
          <w:b/>
        </w:rPr>
        <w:t>功能测试</w:t>
      </w:r>
      <w:r>
        <w:t>：急停按钮、喇叭、前后灯功能正常；货叉升降、转向动作顺畅，无异响。</w:t>
      </w:r>
    </w:p>
    <w:p w14:paraId="2CD939CC">
      <w:r>
        <w:rPr>
          <w:b/>
        </w:rPr>
        <w:t>每周维护（技术员执行，每周1次）</w:t>
      </w:r>
      <w:r>
        <w:t>：</w:t>
      </w:r>
    </w:p>
    <w:p w14:paraId="165B91E4">
      <w:pPr>
        <w:numPr>
          <w:ilvl w:val="0"/>
          <w:numId w:val="26"/>
        </w:numPr>
        <w:spacing w:before="0" w:beforeAutospacing="1" w:after="0" w:afterAutospacing="1"/>
        <w:ind w:left="720" w:hanging="360"/>
      </w:pPr>
      <w:r>
        <w:rPr>
          <w:b/>
        </w:rPr>
        <w:t>电气系统</w:t>
      </w:r>
      <w:r>
        <w:t>：检查电池连接端子有无腐蚀（涂抹凡士林防氧化），电缆有无破损（绝缘层无裂纹、硬化）；驱动电机碳刷磨损量（剩余长度≥5mm，不足时更换）；控制器散热风扇运转正常（无异响，转速≥2000r/min）。</w:t>
      </w:r>
    </w:p>
    <w:p w14:paraId="2FC153C0">
      <w:pPr>
        <w:numPr>
          <w:ilvl w:val="0"/>
          <w:numId w:val="26"/>
        </w:numPr>
        <w:spacing w:before="0" w:beforeAutospacing="1" w:after="0" w:afterAutospacing="1"/>
        <w:ind w:left="720" w:hanging="360"/>
      </w:pPr>
      <w:r>
        <w:rPr>
          <w:b/>
        </w:rPr>
        <w:t>机械系统</w:t>
      </w:r>
      <w:r>
        <w:t>：驱动轮、转向轮轮毂轴承有无异响（转动时无卡滞、杂音）；门架滚轮润滑（加注锂基润滑脂NLGI 2级，每个滚轮0.5g）；链条张紧度（下垂量20-30mm/1m跨度，通过调节螺杆调整）。</w:t>
      </w:r>
    </w:p>
    <w:p w14:paraId="1F79E213">
      <w:pPr>
        <w:numPr>
          <w:ilvl w:val="0"/>
          <w:numId w:val="26"/>
        </w:numPr>
        <w:spacing w:before="0" w:beforeAutospacing="1" w:after="0" w:afterAutospacing="1"/>
        <w:ind w:left="720" w:hanging="360"/>
      </w:pPr>
      <w:r>
        <w:rPr>
          <w:b/>
        </w:rPr>
        <w:t>液压系统</w:t>
      </w:r>
      <w:r>
        <w:t>：空载升降货叉3次，排放液压系统空气（消除气穴）；检查液压油质（无乳化、发黑，油液透明，无杂质沉淀）。</w:t>
      </w:r>
    </w:p>
    <w:p w14:paraId="3257BB16">
      <w:pPr>
        <w:pStyle w:val="5"/>
      </w:pPr>
      <w:r>
        <w:t>6.2.2 月度与季度维护</w:t>
      </w:r>
    </w:p>
    <w:p w14:paraId="32AB2859">
      <w:r>
        <w:rPr>
          <w:b/>
        </w:rPr>
        <w:t>月度维护（维修员执行，每月1次）</w:t>
      </w:r>
      <w:r>
        <w:t>：</w:t>
      </w:r>
    </w:p>
    <w:p w14:paraId="333CE61C">
      <w:pPr>
        <w:numPr>
          <w:ilvl w:val="0"/>
          <w:numId w:val="27"/>
        </w:numPr>
        <w:spacing w:before="0" w:beforeAutospacing="1" w:after="0" w:afterAutospacing="1"/>
        <w:ind w:left="720" w:hanging="360"/>
      </w:pPr>
      <w:r>
        <w:rPr>
          <w:b/>
        </w:rPr>
        <w:t>电气系统</w:t>
      </w:r>
      <w:r>
        <w:t>：测量电机绝缘电阻（冷态≥1MΩ，热态≥0.5MΩ）；控制器输入输出电压（如行走电机控制器输入DC48V，输出三相AC0-380V）；传感器校准（高度编码器零点校准，激光扫描仪检测距离校准）。</w:t>
      </w:r>
    </w:p>
    <w:p w14:paraId="664AB610">
      <w:pPr>
        <w:numPr>
          <w:ilvl w:val="0"/>
          <w:numId w:val="27"/>
        </w:numPr>
        <w:spacing w:before="0" w:beforeAutospacing="1" w:after="0" w:afterAutospacing="1"/>
        <w:ind w:left="720" w:hanging="360"/>
      </w:pPr>
      <w:r>
        <w:rPr>
          <w:b/>
        </w:rPr>
        <w:t>液压系统</w:t>
      </w:r>
      <w:r>
        <w:t>：更换液压油回油滤芯（精度10μm，压差＞0.15MPa时提前更换）；检查多路阀各阀芯动作是否灵活（无卡滞）；测量系统压力（通过压力表检测，起升时压力应达16MPa）。</w:t>
      </w:r>
    </w:p>
    <w:p w14:paraId="534A53C3">
      <w:pPr>
        <w:numPr>
          <w:ilvl w:val="0"/>
          <w:numId w:val="27"/>
        </w:numPr>
        <w:spacing w:before="0" w:beforeAutospacing="1" w:after="0" w:afterAutospacing="1"/>
        <w:ind w:left="720" w:hanging="360"/>
      </w:pPr>
      <w:r>
        <w:rPr>
          <w:b/>
        </w:rPr>
        <w:t>机械系统</w:t>
      </w:r>
      <w:r>
        <w:t>：转向角校准（调整转向拉杆长度，确保左右转向角偏差≤±1°）；货叉水平度调整（货叉左右高度差≤10mm，通过调整链条长度实现）；制动片厚度测量（≥5mm，磨损至极限时更换）。</w:t>
      </w:r>
    </w:p>
    <w:p w14:paraId="351765DA">
      <w:r>
        <w:rPr>
          <w:b/>
        </w:rPr>
        <w:t>季度维护（工程师执行，每3个月1次）</w:t>
      </w:r>
      <w:r>
        <w:t>：</w:t>
      </w:r>
    </w:p>
    <w:p w14:paraId="1D6B2309">
      <w:pPr>
        <w:numPr>
          <w:ilvl w:val="0"/>
          <w:numId w:val="28"/>
        </w:numPr>
        <w:spacing w:before="0" w:beforeAutospacing="1" w:after="0" w:afterAutospacing="1"/>
        <w:ind w:left="720" w:hanging="360"/>
      </w:pPr>
      <w:r>
        <w:rPr>
          <w:b/>
        </w:rPr>
        <w:t>电气系统</w:t>
      </w:r>
      <w:r>
        <w:t>：BMS参数校准（SOC、SOH估算值，通过专用软件）；电池容量测试（放电至SOC=20%，记录放电时间，容量＜80%额定值时需维护或更换）；CAN总线通信测试（信号强度≥-75dBm，掉线次数24小时≤3次）。</w:t>
      </w:r>
    </w:p>
    <w:p w14:paraId="744612C5">
      <w:pPr>
        <w:numPr>
          <w:ilvl w:val="0"/>
          <w:numId w:val="28"/>
        </w:numPr>
        <w:spacing w:before="0" w:beforeAutospacing="1" w:after="0" w:afterAutospacing="1"/>
        <w:ind w:left="720" w:hanging="360"/>
      </w:pPr>
      <w:r>
        <w:rPr>
          <w:b/>
        </w:rPr>
        <w:t>液压系统</w:t>
      </w:r>
      <w:r>
        <w:t>：检查液压泵容积效率（通过流量测试，效率＜85%时维修或更换）；油缸活塞杆表面检查（无划伤、锈蚀，镀铬层厚度≥0.05mm）；门架导轨平行度校准（偏差≤0.5mm/m，通过垫片调整）。</w:t>
      </w:r>
    </w:p>
    <w:p w14:paraId="71B15C15">
      <w:pPr>
        <w:numPr>
          <w:ilvl w:val="0"/>
          <w:numId w:val="28"/>
        </w:numPr>
        <w:spacing w:before="0" w:beforeAutospacing="1" w:after="0" w:afterAutospacing="1"/>
        <w:ind w:left="720" w:hanging="360"/>
      </w:pPr>
      <w:r>
        <w:rPr>
          <w:b/>
        </w:rPr>
        <w:t>机械系统</w:t>
      </w:r>
      <w:r>
        <w:t>：驱动桥齿轮油更换（API GL-4 80W-90，油量按车型标注，如1.5吨车型2L）；轴承游隙测量（驱动轮轴承径向游隙≤0.1mm，超标时更换）；车体框架焊缝检查（无裂纹，重点检查支撑腿与车架连接处）。</w:t>
      </w:r>
    </w:p>
    <w:p w14:paraId="590F6910">
      <w:pPr>
        <w:pStyle w:val="5"/>
      </w:pPr>
      <w:r>
        <w:t>6.2.3 年度维护与关键部件更换</w:t>
      </w:r>
    </w:p>
    <w:p w14:paraId="145CE1D9">
      <w:r>
        <w:rPr>
          <w:b/>
        </w:rPr>
        <w:t>年度维护（专业维修团队执行，每年1次）</w:t>
      </w:r>
      <w:r>
        <w:t>：</w:t>
      </w:r>
    </w:p>
    <w:p w14:paraId="4E034E42">
      <w:pPr>
        <w:numPr>
          <w:ilvl w:val="0"/>
          <w:numId w:val="29"/>
        </w:numPr>
        <w:spacing w:before="0" w:beforeAutospacing="1" w:after="0" w:afterAutospacing="1"/>
        <w:ind w:left="720" w:hanging="360"/>
      </w:pPr>
      <w:r>
        <w:rPr>
          <w:b/>
        </w:rPr>
        <w:t>电机检修</w:t>
      </w:r>
      <w:r>
        <w:t>：拆卸驱动电机，清理换向器表面碳粉（用000号砂纸打磨），检查电枢绕组有无匝间短路（用双臂电桥测量电阻，偏差≤5%）；更换轴承（如7310C角接触球轴承），加热至80-100℃后压装，确保轴向窜动量≤0.03mm。</w:t>
      </w:r>
    </w:p>
    <w:p w14:paraId="152EBC6B">
      <w:pPr>
        <w:numPr>
          <w:ilvl w:val="0"/>
          <w:numId w:val="29"/>
        </w:numPr>
        <w:spacing w:before="0" w:beforeAutospacing="1" w:after="0" w:afterAutospacing="1"/>
        <w:ind w:left="720" w:hanging="360"/>
      </w:pPr>
      <w:r>
        <w:rPr>
          <w:b/>
        </w:rPr>
        <w:t>液压系统</w:t>
      </w:r>
      <w:r>
        <w:t>：更换全部液压油（ISO VG46抗磨液压油，油量按车型标注，如2吨车型8L），彻底清洗油箱（用煤油冲洗，压缩空气吹干）；更换油缸密封件（O型圈、防尘罩，氟橡胶材质），防止渗漏。</w:t>
      </w:r>
    </w:p>
    <w:p w14:paraId="67B2D439">
      <w:pPr>
        <w:numPr>
          <w:ilvl w:val="0"/>
          <w:numId w:val="29"/>
        </w:numPr>
        <w:spacing w:before="0" w:beforeAutospacing="1" w:after="0" w:afterAutospacing="1"/>
        <w:ind w:left="720" w:hanging="360"/>
      </w:pPr>
      <w:r>
        <w:rPr>
          <w:b/>
        </w:rPr>
        <w:t>安全装置校验</w:t>
      </w:r>
      <w:r>
        <w:t>：制动性能测试（满载5km/h时制动距离≤1.5米）；激光扫描仪响应时间测试（≤100ms）；安全继电器动作测试（触点接触电阻＜1Ω，动作电压范围85%-110%额定电压）。</w:t>
      </w:r>
    </w:p>
    <w:p w14:paraId="1743C824">
      <w:r>
        <w:rPr>
          <w:b/>
        </w:rPr>
        <w:t>关键部件更换周期</w:t>
      </w:r>
      <w:r>
        <w:t>：</w:t>
      </w:r>
    </w:p>
    <w:p w14:paraId="26D76487">
      <w:pPr>
        <w:numPr>
          <w:ilvl w:val="0"/>
          <w:numId w:val="30"/>
        </w:numPr>
        <w:spacing w:before="0" w:beforeAutospacing="1" w:after="0" w:afterAutospacing="1"/>
        <w:ind w:left="720" w:hanging="360"/>
      </w:pPr>
      <w:r>
        <w:rPr>
          <w:b/>
        </w:rPr>
        <w:t>轮胎</w:t>
      </w:r>
      <w:r>
        <w:t>：聚氨酯轮胎3000小时或花纹深度＜1.6mm。</w:t>
      </w:r>
    </w:p>
    <w:p w14:paraId="430BAE63">
      <w:pPr>
        <w:numPr>
          <w:ilvl w:val="0"/>
          <w:numId w:val="30"/>
        </w:numPr>
        <w:spacing w:before="0" w:beforeAutospacing="1" w:after="0" w:afterAutospacing="1"/>
        <w:ind w:left="720" w:hanging="360"/>
      </w:pPr>
      <w:r>
        <w:rPr>
          <w:b/>
        </w:rPr>
        <w:t>电池</w:t>
      </w:r>
      <w:r>
        <w:t>：铅酸电池2-3年（800次循环），锂电池3-5年（2000次循环），容量衰减至80%额定值时更换。</w:t>
      </w:r>
    </w:p>
    <w:p w14:paraId="2B3E40E0">
      <w:pPr>
        <w:numPr>
          <w:ilvl w:val="0"/>
          <w:numId w:val="30"/>
        </w:numPr>
        <w:spacing w:before="0" w:beforeAutospacing="1" w:after="0" w:afterAutospacing="1"/>
        <w:ind w:left="720" w:hanging="360"/>
      </w:pPr>
      <w:r>
        <w:rPr>
          <w:b/>
        </w:rPr>
        <w:t>碳刷</w:t>
      </w:r>
      <w:r>
        <w:t>：驱动电机碳刷500-1000小时（根据使用频率）；转向电机碳刷1000-2000小时。</w:t>
      </w:r>
    </w:p>
    <w:p w14:paraId="498C9BA0">
      <w:pPr>
        <w:numPr>
          <w:ilvl w:val="0"/>
          <w:numId w:val="30"/>
        </w:numPr>
        <w:spacing w:before="0" w:beforeAutospacing="1" w:after="0" w:afterAutospacing="1"/>
        <w:ind w:left="720" w:hanging="360"/>
      </w:pPr>
      <w:r>
        <w:rPr>
          <w:b/>
        </w:rPr>
        <w:t>液压油滤芯</w:t>
      </w:r>
      <w:r>
        <w:t>：吸油滤芯2000小时，回油滤芯500小时，高压滤芯1000小时。</w:t>
      </w:r>
    </w:p>
    <w:p w14:paraId="6FC0C24E">
      <w:pPr>
        <w:numPr>
          <w:ilvl w:val="0"/>
          <w:numId w:val="30"/>
        </w:numPr>
        <w:spacing w:before="0" w:beforeAutospacing="1" w:after="0" w:afterAutospacing="1"/>
        <w:ind w:left="720" w:hanging="360"/>
      </w:pPr>
      <w:r>
        <w:rPr>
          <w:b/>
        </w:rPr>
        <w:t>密封件</w:t>
      </w:r>
      <w:r>
        <w:t>：油缸密封件1年，液压管路接头密封件6个月。</w:t>
      </w:r>
    </w:p>
    <w:p w14:paraId="641533C9">
      <w:pPr>
        <w:pStyle w:val="4"/>
      </w:pPr>
      <w:r>
        <w:t>6.3 关键部件维护要点</w:t>
      </w:r>
    </w:p>
    <w:p w14:paraId="72ABB1F6">
      <w:pPr>
        <w:pStyle w:val="5"/>
      </w:pPr>
      <w:r>
        <w:t>6.3.1 电池维护</w:t>
      </w:r>
    </w:p>
    <w:p w14:paraId="0222998B">
      <w:r>
        <w:t>电池是堆垛车的动力源，维护不当会导致续航缩短、寿命降低：</w:t>
      </w:r>
    </w:p>
    <w:p w14:paraId="7E717834">
      <w:pPr>
        <w:numPr>
          <w:ilvl w:val="0"/>
          <w:numId w:val="31"/>
        </w:numPr>
        <w:spacing w:before="0" w:beforeAutospacing="1" w:after="0" w:afterAutospacing="1"/>
        <w:ind w:left="720" w:hanging="360"/>
      </w:pPr>
      <w:r>
        <w:rPr>
          <w:b/>
        </w:rPr>
        <w:t>充电管理</w:t>
      </w:r>
      <w:r>
        <w:t>：使用原厂充电器，充电环境温度15-35℃，避免过充（充满后及时断电，铅酸电池浮充不超过2小时，锂电池充满后自动断电）和过放（放电深度≤80%，SOC＜20%时停止使用）。</w:t>
      </w:r>
    </w:p>
    <w:p w14:paraId="7D9DB5C3">
      <w:pPr>
        <w:numPr>
          <w:ilvl w:val="0"/>
          <w:numId w:val="31"/>
        </w:numPr>
        <w:spacing w:before="0" w:beforeAutospacing="1" w:after="0" w:afterAutospacing="1"/>
        <w:ind w:left="720" w:hanging="360"/>
      </w:pPr>
      <w:r>
        <w:rPr>
          <w:b/>
        </w:rPr>
        <w:t>定期均衡</w:t>
      </w:r>
      <w:r>
        <w:t>：每月进行1次电池均衡充电（铅酸电池通过充电器均衡模式，锂电池由BMS自动均衡），消除单体电压差（≤50mV）。</w:t>
      </w:r>
    </w:p>
    <w:p w14:paraId="60A69222">
      <w:pPr>
        <w:numPr>
          <w:ilvl w:val="0"/>
          <w:numId w:val="31"/>
        </w:numPr>
        <w:spacing w:before="0" w:beforeAutospacing="1" w:after="0" w:afterAutospacing="1"/>
        <w:ind w:left="720" w:hanging="360"/>
      </w:pPr>
      <w:r>
        <w:rPr>
          <w:b/>
        </w:rPr>
        <w:t>清洁与检查</w:t>
      </w:r>
      <w:r>
        <w:t>：每周清洁电池表面灰尘，检查连接线端子有无腐蚀（用苏打水清洗，干燥后涂抹凡士林），电缆有无破损（绝缘层无裂纹，接头紧固扭矩15-20N·m）。</w:t>
      </w:r>
    </w:p>
    <w:p w14:paraId="1F626E02">
      <w:pPr>
        <w:numPr>
          <w:ilvl w:val="0"/>
          <w:numId w:val="31"/>
        </w:numPr>
        <w:spacing w:before="0" w:beforeAutospacing="1" w:after="0" w:afterAutospacing="1"/>
        <w:ind w:left="720" w:hanging="360"/>
      </w:pPr>
      <w:r>
        <w:rPr>
          <w:b/>
        </w:rPr>
        <w:t>故障处理</w:t>
      </w:r>
      <w:r>
        <w:t>：单体电压差＞0.3V时，单独对低电压单体补充充电（用小电流0.1C充至平均电压）；电池鼓包、漏液时，立即停止使用并更换（严禁继续充电，防止爆炸）。</w:t>
      </w:r>
    </w:p>
    <w:p w14:paraId="30B9E3EC">
      <w:pPr>
        <w:pStyle w:val="5"/>
      </w:pPr>
      <w:r>
        <w:t>6.3.2 液压系统维护</w:t>
      </w:r>
    </w:p>
    <w:p w14:paraId="5CD3D2B8">
      <w:r>
        <w:t>液压系统维护重点是保持油液清洁、防止泄漏：</w:t>
      </w:r>
    </w:p>
    <w:p w14:paraId="4B587F6C">
      <w:pPr>
        <w:numPr>
          <w:ilvl w:val="0"/>
          <w:numId w:val="32"/>
        </w:numPr>
        <w:spacing w:before="0" w:beforeAutospacing="1" w:after="0" w:afterAutospacing="1"/>
        <w:ind w:left="720" w:hanging="360"/>
      </w:pPr>
      <w:r>
        <w:rPr>
          <w:b/>
        </w:rPr>
        <w:t>液压油管理</w:t>
      </w:r>
      <w:r>
        <w:t>：使用指定型号液压油（ISO VG46抗磨液压油），禁止混用不同品牌油液；新油过滤后加入（过滤精度≤10μm），防止杂质污染；油液污染度控制在NAS 8级以下（通过油样检测），超标时立即更换。</w:t>
      </w:r>
    </w:p>
    <w:p w14:paraId="53E2886C">
      <w:pPr>
        <w:numPr>
          <w:ilvl w:val="0"/>
          <w:numId w:val="32"/>
        </w:numPr>
        <w:spacing w:before="0" w:beforeAutospacing="1" w:after="0" w:afterAutospacing="1"/>
        <w:ind w:left="720" w:hanging="360"/>
      </w:pPr>
      <w:r>
        <w:rPr>
          <w:b/>
        </w:rPr>
        <w:t>泄漏处理</w:t>
      </w:r>
      <w:r>
        <w:t>：管路接头渗漏时，检查卡套是否松动（重新紧固至规定扭矩15-20N·m）或密封件老化（更换氟橡胶密封圈）；油缸活塞杆渗漏时，更换防尘罩和活塞密封件（装配时涂抹液压油润滑，避免划伤）。</w:t>
      </w:r>
    </w:p>
    <w:p w14:paraId="46AF9292">
      <w:pPr>
        <w:numPr>
          <w:ilvl w:val="0"/>
          <w:numId w:val="32"/>
        </w:numPr>
        <w:spacing w:before="0" w:beforeAutospacing="1" w:after="0" w:afterAutospacing="1"/>
        <w:ind w:left="720" w:hanging="360"/>
      </w:pPr>
      <w:r>
        <w:rPr>
          <w:b/>
        </w:rPr>
        <w:t>系统排气</w:t>
      </w:r>
      <w:r>
        <w:t>：当液压系统混入空气时（表现为升降卡顿、噪音增大），空载升降货叉3-5次，将空气从油箱透气孔排出；排气后补充液压油至油镜刻度。</w:t>
      </w:r>
    </w:p>
    <w:p w14:paraId="6B67A77C">
      <w:pPr>
        <w:pStyle w:val="5"/>
      </w:pPr>
      <w:r>
        <w:t>6.3.3 驱动与转向系统维护</w:t>
      </w:r>
    </w:p>
    <w:p w14:paraId="1288FA5F">
      <w:r>
        <w:t>驱动与转向系统维护确保行驶与转向性能：</w:t>
      </w:r>
    </w:p>
    <w:p w14:paraId="3CBBB3B4">
      <w:pPr>
        <w:numPr>
          <w:ilvl w:val="0"/>
          <w:numId w:val="33"/>
        </w:numPr>
        <w:spacing w:before="0" w:beforeAutospacing="1" w:after="0" w:afterAutospacing="1"/>
        <w:ind w:left="720" w:hanging="360"/>
      </w:pPr>
      <w:r>
        <w:rPr>
          <w:b/>
        </w:rPr>
        <w:t>驱动轮维护</w:t>
      </w:r>
      <w:r>
        <w:t>：轮胎磨损均匀（偏磨量≤0.5mm/1000小时），发现单边磨损时，检查轮毂轴承游隙（径向＞0.1mm时更换）或转向定位参数（前轮外倾角、前束）；轮毂轴承每2000小时加注锂基润滑脂（NLGI 2级，轴承腔1/3容积）。</w:t>
      </w:r>
    </w:p>
    <w:p w14:paraId="025A5739">
      <w:pPr>
        <w:numPr>
          <w:ilvl w:val="0"/>
          <w:numId w:val="33"/>
        </w:numPr>
        <w:spacing w:before="0" w:beforeAutospacing="1" w:after="0" w:afterAutospacing="1"/>
        <w:ind w:left="720" w:hanging="360"/>
      </w:pPr>
      <w:r>
        <w:rPr>
          <w:b/>
        </w:rPr>
        <w:t>转向系统维护</w:t>
      </w:r>
      <w:r>
        <w:t>：转向电机编码器校准（零位调整，确保转向角精度±0.5°）；蜗轮蜗杆减速器润滑（每1000小时加注齿轮油，型号API GL-4 80W-90，油量至油镜1/2处）；转向拉杆球头每500小时润滑（锂基润滑脂），磨损间隙＞1mm时更换球头。</w:t>
      </w:r>
    </w:p>
    <w:p w14:paraId="775D27CE">
      <w:pPr>
        <w:pStyle w:val="3"/>
      </w:pPr>
      <w:r>
        <w:t>七、常见故障诊断与处理</w:t>
      </w:r>
    </w:p>
    <w:p w14:paraId="6241B851">
      <w:pPr>
        <w:pStyle w:val="4"/>
      </w:pPr>
      <w:r>
        <w:t>7.1 电气系统故障</w:t>
      </w:r>
    </w:p>
    <w:p w14:paraId="43016865">
      <w:pPr>
        <w:pStyle w:val="5"/>
      </w:pPr>
      <w:r>
        <w:t>7.1.1 电池电量快速下降或无法充电</w:t>
      </w:r>
    </w:p>
    <w:p w14:paraId="319E3E44">
      <w:r>
        <w:rPr>
          <w:b/>
        </w:rPr>
        <w:t>故障现象</w:t>
      </w:r>
      <w:r>
        <w:t>：充满电后续航＜6小时（正常8-10小时），或充电时电压迅速升至29.4V（24V电池组）但电流为零。</w:t>
      </w:r>
    </w:p>
    <w:p w14:paraId="43D9439D">
      <w:r>
        <w:rPr>
          <w:b/>
        </w:rPr>
        <w:t>成因分析</w:t>
      </w:r>
      <w:r>
        <w:t>：</w:t>
      </w:r>
    </w:p>
    <w:p w14:paraId="31B9CE76">
      <w:pPr>
        <w:numPr>
          <w:ilvl w:val="0"/>
          <w:numId w:val="34"/>
        </w:numPr>
        <w:spacing w:before="0" w:beforeAutospacing="1" w:after="0" w:afterAutospacing="1"/>
        <w:ind w:left="720" w:hanging="360"/>
      </w:pPr>
      <w:r>
        <w:t>单体电池老化：部分单体电池极板硫化（充电后电压回升缓慢，放电时电压骤降），容量衰减至80%以下；</w:t>
      </w:r>
    </w:p>
    <w:p w14:paraId="19232F9B">
      <w:pPr>
        <w:numPr>
          <w:ilvl w:val="0"/>
          <w:numId w:val="34"/>
        </w:numPr>
        <w:spacing w:before="0" w:beforeAutospacing="1" w:after="0" w:afterAutospacing="1"/>
        <w:ind w:left="720" w:hanging="360"/>
      </w:pPr>
      <w:r>
        <w:t>充电器故障：充电器输出电压异常（如24V电池组充电器输出电压29.4V±0.5V，过高或过低均导致充电不良），或电流调节模块损坏（无法输出充电电流）；</w:t>
      </w:r>
    </w:p>
    <w:p w14:paraId="21AF73D6">
      <w:pPr>
        <w:numPr>
          <w:ilvl w:val="0"/>
          <w:numId w:val="34"/>
        </w:numPr>
        <w:spacing w:before="0" w:beforeAutospacing="1" w:after="0" w:afterAutospacing="1"/>
        <w:ind w:left="720" w:hanging="360"/>
      </w:pPr>
      <w:r>
        <w:t>电池连接不良：端子松动（接触电阻＞10mΩ）或腐蚀（氧化层导致导电不良），充电时发热（温度＞60℃）；</w:t>
      </w:r>
    </w:p>
    <w:p w14:paraId="5B1B09F7">
      <w:pPr>
        <w:numPr>
          <w:ilvl w:val="0"/>
          <w:numId w:val="34"/>
        </w:numPr>
        <w:spacing w:before="0" w:beforeAutospacing="1" w:after="0" w:afterAutospacing="1"/>
        <w:ind w:left="720" w:hanging="360"/>
      </w:pPr>
      <w:r>
        <w:t>BMS故障：均衡电路失效（单体电压差＞0.3V），或SOC估算错误（显示电量与实际不符）。</w:t>
      </w:r>
    </w:p>
    <w:p w14:paraId="060EA443">
      <w:r>
        <w:rPr>
          <w:b/>
        </w:rPr>
        <w:t>处理对策</w:t>
      </w:r>
      <w:r>
        <w:t>：</w:t>
      </w:r>
    </w:p>
    <w:p w14:paraId="7AE5F986">
      <w:pPr>
        <w:numPr>
          <w:ilvl w:val="0"/>
          <w:numId w:val="35"/>
        </w:numPr>
        <w:spacing w:before="0" w:beforeAutospacing="1" w:after="0" w:afterAutospacing="1"/>
        <w:ind w:left="720" w:hanging="360"/>
      </w:pPr>
      <w:r>
        <w:rPr>
          <w:b/>
        </w:rPr>
        <w:t>检测单体电压</w:t>
      </w:r>
      <w:r>
        <w:t>：用万用表测量电池组各单体电压，找出电压明显偏低的单体（如24V电池组中某单体电压＜10.5V），标记后进行单独补充充电（用0.1C小电流充至12.6V）；</w:t>
      </w:r>
    </w:p>
    <w:p w14:paraId="10921666">
      <w:pPr>
        <w:numPr>
          <w:ilvl w:val="0"/>
          <w:numId w:val="35"/>
        </w:numPr>
        <w:spacing w:before="0" w:beforeAutospacing="1" w:after="0" w:afterAutospacing="1"/>
        <w:ind w:left="720" w:hanging="360"/>
      </w:pPr>
      <w:r>
        <w:rPr>
          <w:b/>
        </w:rPr>
        <w:t>检查充电器</w:t>
      </w:r>
      <w:r>
        <w:t>：用万用表测量充电器输出电压（空载29.4V，带载28.8V）和电流（应能达到0.1C-0.3C，如200Ah电池充电电流20-60A），异常时更换同型号充电器；</w:t>
      </w:r>
    </w:p>
    <w:p w14:paraId="304AA42E">
      <w:pPr>
        <w:numPr>
          <w:ilvl w:val="0"/>
          <w:numId w:val="35"/>
        </w:numPr>
        <w:spacing w:before="0" w:beforeAutospacing="1" w:after="0" w:afterAutospacing="1"/>
        <w:ind w:left="720" w:hanging="360"/>
      </w:pPr>
      <w:r>
        <w:rPr>
          <w:b/>
        </w:rPr>
        <w:t>清洁紧固端子</w:t>
      </w:r>
      <w:r>
        <w:t>：拆卸电池连接线，用砂纸打磨端子氧化层，涂抹凡士林防腐蚀，按规定扭矩（15-20N·m）重新紧固；</w:t>
      </w:r>
    </w:p>
    <w:p w14:paraId="714C7043">
      <w:pPr>
        <w:numPr>
          <w:ilvl w:val="0"/>
          <w:numId w:val="35"/>
        </w:numPr>
        <w:spacing w:before="0" w:beforeAutospacing="1" w:after="0" w:afterAutospacing="1"/>
        <w:ind w:left="720" w:hanging="360"/>
      </w:pPr>
      <w:r>
        <w:rPr>
          <w:b/>
        </w:rPr>
        <w:t>BMS复位与校准</w:t>
      </w:r>
      <w:r>
        <w:t>：断开电池总开关30秒后重新上电，复位BMS；通过BMS专用软件校准SOC（放电至SOC=0%，再充满电至100%，完成容量学习）；若均衡电路失效，更换BMS主板。</w:t>
      </w:r>
    </w:p>
    <w:p w14:paraId="7EFCD9CE">
      <w:r>
        <w:rPr>
          <w:b/>
        </w:rPr>
        <w:t>预防措施</w:t>
      </w:r>
      <w:r>
        <w:t>：每月进行1次均衡充电，避免过充过放，保持电池清洁干燥。</w:t>
      </w:r>
    </w:p>
    <w:p w14:paraId="6959C9A0">
      <w:pPr>
        <w:pStyle w:val="5"/>
      </w:pPr>
      <w:r>
        <w:t>7.1.2 驱动电机异响或过热（外壳温度＞70℃）</w:t>
      </w:r>
    </w:p>
    <w:p w14:paraId="06CB4C42">
      <w:r>
        <w:rPr>
          <w:b/>
        </w:rPr>
        <w:t>故障现象</w:t>
      </w:r>
      <w:r>
        <w:t>：行驶时驱动电机发出“嗡嗡”或“咔咔”异声，运行30分钟后外壳温度超过70℃（正常≤60℃），仪表盘报“电机过热”故障代码（如“E12”）。</w:t>
      </w:r>
    </w:p>
    <w:p w14:paraId="162535FB">
      <w:r>
        <w:rPr>
          <w:b/>
        </w:rPr>
        <w:t>成因分析</w:t>
      </w:r>
      <w:r>
        <w:t>：</w:t>
      </w:r>
    </w:p>
    <w:p w14:paraId="2F5E8209">
      <w:pPr>
        <w:numPr>
          <w:ilvl w:val="0"/>
          <w:numId w:val="36"/>
        </w:numPr>
        <w:spacing w:before="0" w:beforeAutospacing="1" w:after="0" w:afterAutospacing="1"/>
        <w:ind w:left="720" w:hanging="360"/>
      </w:pPr>
      <w:r>
        <w:t>电机轴承故障：轴承磨损（游隙＞0.15mm）或润滑不良（缺脂或油脂变质），导致转动异响，摩擦发热；</w:t>
      </w:r>
    </w:p>
    <w:p w14:paraId="774DA791">
      <w:pPr>
        <w:numPr>
          <w:ilvl w:val="0"/>
          <w:numId w:val="36"/>
        </w:numPr>
        <w:spacing w:before="0" w:beforeAutospacing="1" w:after="0" w:afterAutospacing="1"/>
        <w:ind w:left="720" w:hanging="360"/>
      </w:pPr>
      <w:r>
        <w:t>电刷与换向器接触不良：电刷磨损过短（剩余长度＜5mm）、换向器表面不平整（径向跳动＞0.05mm）或积碳（碳粉厚度＞0.5mm），导致火花过大，发热加剧；</w:t>
      </w:r>
    </w:p>
    <w:p w14:paraId="02CAAA55">
      <w:pPr>
        <w:numPr>
          <w:ilvl w:val="0"/>
          <w:numId w:val="36"/>
        </w:numPr>
        <w:spacing w:before="0" w:beforeAutospacing="1" w:after="0" w:afterAutospacing="1"/>
        <w:ind w:left="720" w:hanging="360"/>
      </w:pPr>
      <w:r>
        <w:t>电机过载：行驶阻力过大（轮胎气压不足、地面坡度＞5%）或负载超过额定值（如1.5吨车型搬运2吨货物），电机长期工作在150%额定电流以上；</w:t>
      </w:r>
    </w:p>
    <w:p w14:paraId="6239EF2F">
      <w:pPr>
        <w:numPr>
          <w:ilvl w:val="0"/>
          <w:numId w:val="36"/>
        </w:numPr>
        <w:spacing w:before="0" w:beforeAutospacing="1" w:after="0" w:afterAutospacing="1"/>
        <w:ind w:left="720" w:hanging="360"/>
      </w:pPr>
      <w:r>
        <w:t>电机绕组故障：匝间短路（绝缘层损坏）或接地（绕组与外壳导通，绝缘电阻＜0.5MΩ），导致电流增大，发热严重。</w:t>
      </w:r>
    </w:p>
    <w:p w14:paraId="6BE90F9E">
      <w:r>
        <w:rPr>
          <w:b/>
        </w:rPr>
        <w:t>处理对策</w:t>
      </w:r>
      <w:r>
        <w:t>：</w:t>
      </w:r>
    </w:p>
    <w:p w14:paraId="2EED71A1">
      <w:pPr>
        <w:numPr>
          <w:ilvl w:val="0"/>
          <w:numId w:val="37"/>
        </w:numPr>
        <w:spacing w:before="0" w:beforeAutospacing="1" w:after="0" w:afterAutospacing="1"/>
        <w:ind w:left="720" w:hanging="360"/>
      </w:pPr>
      <w:r>
        <w:rPr>
          <w:b/>
        </w:rPr>
        <w:t>检查轴承</w:t>
      </w:r>
      <w:r>
        <w:t>：断电后手动转动电机轴，感觉有无卡滞或异响，有则更换轴承（型号如7310C，P5级精度），更换时加热轴承至80℃（油浴），压装后加注锂基润滑脂（NLGI 2级，轴承腔1/3容积）；</w:t>
      </w:r>
    </w:p>
    <w:p w14:paraId="1ADBBF0D">
      <w:pPr>
        <w:numPr>
          <w:ilvl w:val="0"/>
          <w:numId w:val="37"/>
        </w:numPr>
        <w:spacing w:before="0" w:beforeAutospacing="1" w:after="0" w:afterAutospacing="1"/>
        <w:ind w:left="720" w:hanging="360"/>
      </w:pPr>
      <w:r>
        <w:rPr>
          <w:b/>
        </w:rPr>
        <w:t>维护电刷与换向器</w:t>
      </w:r>
      <w:r>
        <w:t>：更换磨损电刷（同型号，长度≥15mm），调整电刷压力（20-30N）；用000号砂纸打磨换向器表面，清除积碳，确保表面粗糙度Ra≤1.6μm，径向跳动≤0.03mm；</w:t>
      </w:r>
    </w:p>
    <w:p w14:paraId="496F3652">
      <w:pPr>
        <w:numPr>
          <w:ilvl w:val="0"/>
          <w:numId w:val="37"/>
        </w:numPr>
        <w:spacing w:before="0" w:beforeAutospacing="1" w:after="0" w:afterAutospacing="1"/>
        <w:ind w:left="720" w:hanging="360"/>
      </w:pPr>
      <w:r>
        <w:rPr>
          <w:b/>
        </w:rPr>
        <w:t>消除过载因素</w:t>
      </w:r>
      <w:r>
        <w:t>：检查轮胎气压（补充至0.6-0.8MPa），避免超载运行，降低坡度路段行驶速度（≤3km/h）；</w:t>
      </w:r>
    </w:p>
    <w:p w14:paraId="30D443E3">
      <w:pPr>
        <w:numPr>
          <w:ilvl w:val="0"/>
          <w:numId w:val="37"/>
        </w:numPr>
        <w:spacing w:before="0" w:beforeAutospacing="1" w:after="0" w:afterAutospacing="1"/>
        <w:ind w:left="720" w:hanging="360"/>
      </w:pPr>
      <w:r>
        <w:rPr>
          <w:b/>
        </w:rPr>
        <w:t>检测绕组</w:t>
      </w:r>
      <w:r>
        <w:t>：用万用表测量三相绕组电阻（平衡偏差≤5%），兆欧表测量绝缘电阻（冷态≥1MΩ），短路或接地时，重绕绕组或更换电机。</w:t>
      </w:r>
    </w:p>
    <w:p w14:paraId="3F095974">
      <w:r>
        <w:rPr>
          <w:b/>
        </w:rPr>
        <w:t>预防措施</w:t>
      </w:r>
      <w:r>
        <w:t>：每周检查电刷磨损量，每2000小时更换轴承润滑脂，避免超载和频繁启停。</w:t>
      </w:r>
    </w:p>
    <w:p w14:paraId="2567A63D">
      <w:pPr>
        <w:pStyle w:val="4"/>
      </w:pPr>
      <w:r>
        <w:t>7.2 机械系统故障</w:t>
      </w:r>
    </w:p>
    <w:p w14:paraId="222F3A91">
      <w:pPr>
        <w:pStyle w:val="5"/>
      </w:pPr>
      <w:r>
        <w:t>7.2.1 驱动轮行驶跑偏（直线行驶偏离＞5°/10m）</w:t>
      </w:r>
    </w:p>
    <w:p w14:paraId="244F5795">
      <w:r>
        <w:rPr>
          <w:b/>
        </w:rPr>
        <w:t>故障现象</w:t>
      </w:r>
      <w:r>
        <w:t>：松开转向手柄，车辆自动向一侧偏离，行驶10米后偏离直线＞5°，轮胎单边磨损（内侧或外侧花纹深度差＞1.6mm）。</w:t>
      </w:r>
    </w:p>
    <w:p w14:paraId="4273BDB5">
      <w:r>
        <w:rPr>
          <w:b/>
        </w:rPr>
        <w:t>成因分析</w:t>
      </w:r>
      <w:r>
        <w:t>：</w:t>
      </w:r>
    </w:p>
    <w:p w14:paraId="1D69C294">
      <w:pPr>
        <w:numPr>
          <w:ilvl w:val="0"/>
          <w:numId w:val="38"/>
        </w:numPr>
        <w:spacing w:before="0" w:beforeAutospacing="1" w:after="0" w:afterAutospacing="1"/>
        <w:ind w:left="720" w:hanging="360"/>
      </w:pPr>
      <w:r>
        <w:t>轮胎气压不均：左右驱动轮气压差＞0.2bar（如左侧0.6MPa，右侧0.4MPa），导致滚动半径不同；</w:t>
      </w:r>
    </w:p>
    <w:p w14:paraId="27EE74BA">
      <w:pPr>
        <w:numPr>
          <w:ilvl w:val="0"/>
          <w:numId w:val="38"/>
        </w:numPr>
        <w:spacing w:before="0" w:beforeAutospacing="1" w:after="0" w:afterAutospacing="1"/>
        <w:ind w:left="720" w:hanging="360"/>
      </w:pPr>
      <w:r>
        <w:t>轮毂轴承间隙不一致：一侧轴承磨损（游隙＞0.1mm），导致车轮倾斜（外倾角偏差＞1°）；</w:t>
      </w:r>
    </w:p>
    <w:p w14:paraId="12C347D6">
      <w:pPr>
        <w:numPr>
          <w:ilvl w:val="0"/>
          <w:numId w:val="38"/>
        </w:numPr>
        <w:spacing w:before="0" w:beforeAutospacing="1" w:after="0" w:afterAutospacing="1"/>
        <w:ind w:left="720" w:hanging="360"/>
      </w:pPr>
      <w:r>
        <w:t>转向定位参数错误：前轮外倾角（标准±0.5°）或前束（标准1-3mm）超差，导致行驶方向偏移；</w:t>
      </w:r>
    </w:p>
    <w:p w14:paraId="471FED91">
      <w:pPr>
        <w:numPr>
          <w:ilvl w:val="0"/>
          <w:numId w:val="38"/>
        </w:numPr>
        <w:spacing w:before="0" w:beforeAutospacing="1" w:after="0" w:afterAutospacing="1"/>
        <w:ind w:left="720" w:hanging="360"/>
      </w:pPr>
      <w:r>
        <w:t>驱动桥齿轮啮合不良：左右驱动桥齿轮磨损不均（间隙差＞0.2mm），输出扭矩不等。</w:t>
      </w:r>
    </w:p>
    <w:p w14:paraId="584C45A5">
      <w:r>
        <w:rPr>
          <w:b/>
        </w:rPr>
        <w:t>处理对策</w:t>
      </w:r>
      <w:r>
        <w:t>：</w:t>
      </w:r>
    </w:p>
    <w:p w14:paraId="17038E61">
      <w:pPr>
        <w:numPr>
          <w:ilvl w:val="0"/>
          <w:numId w:val="39"/>
        </w:numPr>
        <w:spacing w:before="0" w:beforeAutospacing="1" w:after="0" w:afterAutospacing="1"/>
        <w:ind w:left="720" w:hanging="360"/>
      </w:pPr>
      <w:r>
        <w:rPr>
          <w:b/>
        </w:rPr>
        <w:t>调整轮胎气压</w:t>
      </w:r>
      <w:r>
        <w:t>：用胎压计测量左右驱动轮气压，补充至标准值（0.6-0.8MPa），确保压差≤0.1bar；</w:t>
      </w:r>
    </w:p>
    <w:p w14:paraId="6D1829A7">
      <w:pPr>
        <w:numPr>
          <w:ilvl w:val="0"/>
          <w:numId w:val="39"/>
        </w:numPr>
        <w:spacing w:before="0" w:beforeAutospacing="1" w:after="0" w:afterAutospacing="1"/>
        <w:ind w:left="720" w:hanging="360"/>
      </w:pPr>
      <w:r>
        <w:rPr>
          <w:b/>
        </w:rPr>
        <w:t>更换轴承</w:t>
      </w:r>
      <w:r>
        <w:t>：拆卸轮毂，检查轴承游隙，超差侧更换新轴承（P5级角接触球轴承），调整预紧力（轴向窜动量≤0.03mm）；</w:t>
      </w:r>
    </w:p>
    <w:p w14:paraId="5E1F3E22">
      <w:pPr>
        <w:numPr>
          <w:ilvl w:val="0"/>
          <w:numId w:val="39"/>
        </w:numPr>
        <w:spacing w:before="0" w:beforeAutospacing="1" w:after="0" w:afterAutospacing="1"/>
        <w:ind w:left="720" w:hanging="360"/>
      </w:pPr>
      <w:r>
        <w:rPr>
          <w:b/>
        </w:rPr>
        <w:t>校准转向定位</w:t>
      </w:r>
      <w:r>
        <w:t>：通过四轮定位仪调整前轮外倾角（±0.5°）和前束（1-3mm），调整方法：外倾角通过加减轮毂垫片实现，前束通过旋转转向拉杆调整；</w:t>
      </w:r>
    </w:p>
    <w:p w14:paraId="6965BFA5">
      <w:pPr>
        <w:numPr>
          <w:ilvl w:val="0"/>
          <w:numId w:val="39"/>
        </w:numPr>
        <w:spacing w:before="0" w:beforeAutospacing="1" w:after="0" w:afterAutospacing="1"/>
        <w:ind w:left="720" w:hanging="360"/>
      </w:pPr>
      <w:r>
        <w:rPr>
          <w:b/>
        </w:rPr>
        <w:t>检查驱动桥</w:t>
      </w:r>
      <w:r>
        <w:t>：拆卸驱动桥，测量齿轮啮合间隙（标准0.1-0.2mm），磨损超限或齿面剥落时，更换齿轮副。</w:t>
      </w:r>
    </w:p>
    <w:p w14:paraId="565246B4">
      <w:r>
        <w:rPr>
          <w:b/>
        </w:rPr>
        <w:t>预防措施</w:t>
      </w:r>
      <w:r>
        <w:t>：每月检查轮胎气压和磨损情况，每季度校准转向定位参数。</w:t>
      </w:r>
    </w:p>
    <w:p w14:paraId="60D92FC0">
      <w:pPr>
        <w:pStyle w:val="5"/>
      </w:pPr>
      <w:r>
        <w:t>7.2.2 货叉升降卡顿或倾斜（左右高度差＞10mm）</w:t>
      </w:r>
    </w:p>
    <w:p w14:paraId="62917F2D">
      <w:r>
        <w:rPr>
          <w:b/>
        </w:rPr>
        <w:t>故障现象</w:t>
      </w:r>
      <w:r>
        <w:t>：货叉升降过程中有顿挫感，速度忽快忽慢，或升至同一高度时左右货叉高度差＞10mm，影响堆垛精度。</w:t>
      </w:r>
    </w:p>
    <w:p w14:paraId="6C42233F">
      <w:r>
        <w:rPr>
          <w:b/>
        </w:rPr>
        <w:t>成因分析</w:t>
      </w:r>
      <w:r>
        <w:t>：</w:t>
      </w:r>
    </w:p>
    <w:p w14:paraId="6C9F6741">
      <w:pPr>
        <w:numPr>
          <w:ilvl w:val="0"/>
          <w:numId w:val="40"/>
        </w:numPr>
        <w:spacing w:before="0" w:beforeAutospacing="1" w:after="0" w:afterAutospacing="1"/>
        <w:ind w:left="720" w:hanging="360"/>
      </w:pPr>
      <w:r>
        <w:t>门架滚轮磨损或润滑不良：滚轮轴承缺脂（摩擦系数增大）或尼龙滚轮磨损（直径偏差＞2mm），导致门架升降阻力不均；</w:t>
      </w:r>
    </w:p>
    <w:p w14:paraId="5644E690">
      <w:pPr>
        <w:numPr>
          <w:ilvl w:val="0"/>
          <w:numId w:val="40"/>
        </w:numPr>
        <w:spacing w:before="0" w:beforeAutospacing="1" w:after="0" w:afterAutospacing="1"/>
        <w:ind w:left="720" w:hanging="360"/>
      </w:pPr>
      <w:r>
        <w:t>链条张紧度不一致：左右升降链条松紧度差＞5mm（下垂量差），导致货叉倾斜；</w:t>
      </w:r>
    </w:p>
    <w:p w14:paraId="3F8B5D4E">
      <w:pPr>
        <w:numPr>
          <w:ilvl w:val="0"/>
          <w:numId w:val="40"/>
        </w:numPr>
        <w:spacing w:before="0" w:beforeAutospacing="1" w:after="0" w:afterAutospacing="1"/>
        <w:ind w:left="720" w:hanging="360"/>
      </w:pPr>
      <w:r>
        <w:t>液压系统混入空气：液压油中气泡（油位过低或吸油管漏气），导致升降时压力波动，产生卡顿；</w:t>
      </w:r>
    </w:p>
    <w:p w14:paraId="6AA51C47">
      <w:pPr>
        <w:numPr>
          <w:ilvl w:val="0"/>
          <w:numId w:val="40"/>
        </w:numPr>
        <w:spacing w:before="0" w:beforeAutospacing="1" w:after="0" w:afterAutospacing="1"/>
        <w:ind w:left="720" w:hanging="360"/>
      </w:pPr>
      <w:r>
        <w:t>油缸活塞杆弯曲：活塞杆直线度误差＞0.5mm/m，导致伸缩时卡滞，门架倾斜。</w:t>
      </w:r>
    </w:p>
    <w:p w14:paraId="3FDB9AB0">
      <w:r>
        <w:rPr>
          <w:b/>
        </w:rPr>
        <w:t>处理对策</w:t>
      </w:r>
      <w:r>
        <w:t>：</w:t>
      </w:r>
    </w:p>
    <w:p w14:paraId="17094306">
      <w:pPr>
        <w:numPr>
          <w:ilvl w:val="0"/>
          <w:numId w:val="41"/>
        </w:numPr>
        <w:spacing w:before="0" w:beforeAutospacing="1" w:after="0" w:afterAutospacing="1"/>
        <w:ind w:left="720" w:hanging="360"/>
      </w:pPr>
      <w:r>
        <w:rPr>
          <w:b/>
        </w:rPr>
        <w:t>维护门架滚轮</w:t>
      </w:r>
      <w:r>
        <w:t>：拆卸滚轮轴，清洗轴承后加注锂基润滑脂（NLGI 2级），磨损严重的尼龙滚轮（直径偏差＞2mm）更换新件，确保门架升降顺畅（阻力≤50N）；</w:t>
      </w:r>
    </w:p>
    <w:p w14:paraId="4CD45648">
      <w:pPr>
        <w:numPr>
          <w:ilvl w:val="0"/>
          <w:numId w:val="41"/>
        </w:numPr>
        <w:spacing w:before="0" w:beforeAutospacing="1" w:after="0" w:afterAutospacing="1"/>
        <w:ind w:left="720" w:hanging="360"/>
      </w:pPr>
      <w:r>
        <w:rPr>
          <w:b/>
        </w:rPr>
        <w:t>调整链条张紧度</w:t>
      </w:r>
      <w:r>
        <w:t>：松开链条调节螺杆锁紧螺母，旋转调节螺杆，使左右链条下垂量一致（20-30mm/1m跨度），然后锁紧螺母（扭矩25-30N·m）；</w:t>
      </w:r>
    </w:p>
    <w:p w14:paraId="529EF5BA">
      <w:pPr>
        <w:numPr>
          <w:ilvl w:val="0"/>
          <w:numId w:val="41"/>
        </w:numPr>
        <w:spacing w:before="0" w:beforeAutospacing="1" w:after="0" w:afterAutospacing="1"/>
        <w:ind w:left="720" w:hanging="360"/>
      </w:pPr>
      <w:r>
        <w:rPr>
          <w:b/>
        </w:rPr>
        <w:t>排除液压系统空气</w:t>
      </w:r>
      <w:r>
        <w:t>：空载状态下，反复升降货叉3-5次，将空气从油箱透气孔排出；检查吸油管接头是否松动（重新紧固），油位补充至油镜2/3处；</w:t>
      </w:r>
    </w:p>
    <w:p w14:paraId="47317F90">
      <w:pPr>
        <w:numPr>
          <w:ilvl w:val="0"/>
          <w:numId w:val="41"/>
        </w:numPr>
        <w:spacing w:before="0" w:beforeAutospacing="1" w:after="0" w:afterAutospacing="1"/>
        <w:ind w:left="720" w:hanging="360"/>
      </w:pPr>
      <w:r>
        <w:rPr>
          <w:b/>
        </w:rPr>
        <w:t>校直活塞杆</w:t>
      </w:r>
      <w:r>
        <w:t>：拆卸油缸，测量活塞杆直线度，弯曲时用压力机校直（冷校，变形量≤0.5mm/m），或更换新活塞杆（镀铬层厚度≥0.05mm）。</w:t>
      </w:r>
    </w:p>
    <w:p w14:paraId="7B61317B">
      <w:r>
        <w:rPr>
          <w:b/>
        </w:rPr>
        <w:t>预防措施</w:t>
      </w:r>
      <w:r>
        <w:t>：每周润滑门架滚轮，每月检查链条张紧度和液压油位，避免油位过低导致吸空。</w:t>
      </w:r>
    </w:p>
    <w:p w14:paraId="4419760C">
      <w:pPr>
        <w:pStyle w:val="4"/>
      </w:pPr>
      <w:r>
        <w:t>7.3 液压系统故障</w:t>
      </w:r>
    </w:p>
    <w:p w14:paraId="25004EB7">
      <w:pPr>
        <w:pStyle w:val="5"/>
      </w:pPr>
      <w:r>
        <w:t>7.3.1 举升无力或速度慢（满载举升速度＜0.1m/s）</w:t>
      </w:r>
    </w:p>
    <w:p w14:paraId="4E2886C7">
      <w:r>
        <w:rPr>
          <w:b/>
        </w:rPr>
        <w:t>故障现象</w:t>
      </w:r>
      <w:r>
        <w:t>：货叉无法举升额定载荷，或举升速度明显低于标准值（满载应≥0.13m/s），液压系统噪音增大。</w:t>
      </w:r>
    </w:p>
    <w:p w14:paraId="08E3FAE5">
      <w:r>
        <w:rPr>
          <w:b/>
        </w:rPr>
        <w:t>成因分析</w:t>
      </w:r>
      <w:r>
        <w:t>：</w:t>
      </w:r>
    </w:p>
    <w:p w14:paraId="2684AD39">
      <w:pPr>
        <w:numPr>
          <w:ilvl w:val="0"/>
          <w:numId w:val="42"/>
        </w:numPr>
        <w:spacing w:before="0" w:beforeAutospacing="1" w:after="0" w:afterAutospacing="1"/>
        <w:ind w:left="720" w:hanging="360"/>
      </w:pPr>
      <w:r>
        <w:t>液压泵磨损：齿轮泵内泄（齿轮端面间隙＞0.1mm或齿顶间隙＞0.15mm），容积效率＜85%，输出流量不足；</w:t>
      </w:r>
    </w:p>
    <w:p w14:paraId="6737081D">
      <w:pPr>
        <w:numPr>
          <w:ilvl w:val="0"/>
          <w:numId w:val="42"/>
        </w:numPr>
        <w:spacing w:before="0" w:beforeAutospacing="1" w:after="0" w:afterAutospacing="1"/>
        <w:ind w:left="720" w:hanging="360"/>
      </w:pPr>
      <w:r>
        <w:t>溢流阀压力偏低：多路阀溢流阀设定压力＜16MPa（如调至12MPa），系统最高压力不足，举升力不够；</w:t>
      </w:r>
    </w:p>
    <w:p w14:paraId="191735DB">
      <w:pPr>
        <w:numPr>
          <w:ilvl w:val="0"/>
          <w:numId w:val="42"/>
        </w:numPr>
        <w:spacing w:before="0" w:beforeAutospacing="1" w:after="0" w:afterAutospacing="1"/>
        <w:ind w:left="720" w:hanging="360"/>
      </w:pPr>
      <w:r>
        <w:t>液压油污染或粘度不当：油液污染（NAS 8级以上）导致阀孔堵塞，或使用低粘度油（如ISO VG32代替VG46），泄漏增大；</w:t>
      </w:r>
    </w:p>
    <w:p w14:paraId="701E98AC">
      <w:pPr>
        <w:numPr>
          <w:ilvl w:val="0"/>
          <w:numId w:val="42"/>
        </w:numPr>
        <w:spacing w:before="0" w:beforeAutospacing="1" w:after="0" w:afterAutospacing="1"/>
        <w:ind w:left="720" w:hanging="360"/>
      </w:pPr>
      <w:r>
        <w:t>起升电机转速不足：电机供电电压低（如电池电压＜44V，额定48V）或电机故障（转速＜1500r/min），导致液压泵流量不足。</w:t>
      </w:r>
    </w:p>
    <w:p w14:paraId="7EB686FC">
      <w:r>
        <w:rPr>
          <w:b/>
        </w:rPr>
        <w:t>处理对策</w:t>
      </w:r>
      <w:r>
        <w:t>：</w:t>
      </w:r>
    </w:p>
    <w:p w14:paraId="7EFBC1F1">
      <w:pPr>
        <w:numPr>
          <w:ilvl w:val="0"/>
          <w:numId w:val="43"/>
        </w:numPr>
        <w:spacing w:before="0" w:beforeAutospacing="1" w:after="0" w:afterAutospacing="1"/>
        <w:ind w:left="720" w:hanging="360"/>
      </w:pPr>
      <w:r>
        <w:rPr>
          <w:b/>
        </w:rPr>
        <w:t>检测液压泵</w:t>
      </w:r>
      <w:r>
        <w:t>：拆卸液压泵，测量齿轮端面间隙（标准0.03-0.05mm）和齿顶间隙（0.05-0.08mm），超限则更换泵总成；或测量泵输出流量（空载时应≥20L/min），不足时维修或更换；</w:t>
      </w:r>
    </w:p>
    <w:p w14:paraId="238F9890">
      <w:pPr>
        <w:numPr>
          <w:ilvl w:val="0"/>
          <w:numId w:val="43"/>
        </w:numPr>
        <w:spacing w:before="0" w:beforeAutospacing="1" w:after="0" w:afterAutospacing="1"/>
        <w:ind w:left="720" w:hanging="360"/>
      </w:pPr>
      <w:r>
        <w:rPr>
          <w:b/>
        </w:rPr>
        <w:t>调整溢流阀压力</w:t>
      </w:r>
      <w:r>
        <w:t>：松开溢流阀锁紧螺母，顺时针旋转调节螺杆（每次1/4圈），同时测量系统压力（通过压力表），调至16MPa后锁紧螺母；</w:t>
      </w:r>
    </w:p>
    <w:p w14:paraId="4408F27E">
      <w:pPr>
        <w:numPr>
          <w:ilvl w:val="0"/>
          <w:numId w:val="43"/>
        </w:numPr>
        <w:spacing w:before="0" w:beforeAutospacing="1" w:after="0" w:afterAutospacing="1"/>
        <w:ind w:left="720" w:hanging="360"/>
      </w:pPr>
      <w:r>
        <w:rPr>
          <w:b/>
        </w:rPr>
        <w:t>更换液压油</w:t>
      </w:r>
      <w:r>
        <w:t>：排空旧油，清洗油箱和管路，加入新油（ISO VG46抗磨液压油），更换吸油滤芯和回油滤芯；</w:t>
      </w:r>
    </w:p>
    <w:p w14:paraId="35816B0B">
      <w:pPr>
        <w:numPr>
          <w:ilvl w:val="0"/>
          <w:numId w:val="43"/>
        </w:numPr>
        <w:spacing w:before="0" w:beforeAutospacing="1" w:after="0" w:afterAutospacing="1"/>
        <w:ind w:left="720" w:hanging="360"/>
      </w:pPr>
      <w:r>
        <w:rPr>
          <w:b/>
        </w:rPr>
        <w:t>检查起升电机</w:t>
      </w:r>
      <w:r>
        <w:t>：测量电机输入电压（应≥44V，低于时检查电池电量或电缆压降）；用转速计测量电机转速，不足1500r/min时，检查电机控制器输出频率（应为50Hz）或电机绕组（匝间短路时重绕）。</w:t>
      </w:r>
    </w:p>
    <w:p w14:paraId="5AA9B7EE">
      <w:r>
        <w:rPr>
          <w:b/>
        </w:rPr>
        <w:t>预防措施</w:t>
      </w:r>
      <w:r>
        <w:t>：定期更换液压油和滤芯，保持油液清洁，避免超载使用。</w:t>
      </w:r>
    </w:p>
    <w:p w14:paraId="6893BB60">
      <w:pPr>
        <w:pStyle w:val="5"/>
      </w:pPr>
      <w:r>
        <w:t>7.3.2 液压管路渗漏（滴漏＞5滴/分钟）</w:t>
      </w:r>
    </w:p>
    <w:p w14:paraId="73C0D254">
      <w:r>
        <w:rPr>
          <w:b/>
        </w:rPr>
        <w:t>故障现象</w:t>
      </w:r>
      <w:r>
        <w:t>：液压管路接头、油缸或多路阀处有油滴渗出，24小时内地面形成油迹（面积＞10cm²），油位缓慢下降。</w:t>
      </w:r>
    </w:p>
    <w:p w14:paraId="1A5DFBC3">
      <w:r>
        <w:rPr>
          <w:b/>
        </w:rPr>
        <w:t>成因分析</w:t>
      </w:r>
      <w:r>
        <w:t>：</w:t>
      </w:r>
    </w:p>
    <w:p w14:paraId="393A561A">
      <w:pPr>
        <w:numPr>
          <w:ilvl w:val="0"/>
          <w:numId w:val="44"/>
        </w:numPr>
        <w:spacing w:before="0" w:beforeAutospacing="1" w:after="0" w:afterAutospacing="1"/>
        <w:ind w:left="720" w:hanging="360"/>
      </w:pPr>
      <w:r>
        <w:t>密封件老化或损坏：O型圈、组合垫等橡胶密封件（使用超过1年或耐温老化），硬度降低（＜60 Shore A）或出现裂纹，失去密封能力；</w:t>
      </w:r>
    </w:p>
    <w:p w14:paraId="52823003">
      <w:pPr>
        <w:numPr>
          <w:ilvl w:val="0"/>
          <w:numId w:val="44"/>
        </w:numPr>
        <w:spacing w:before="0" w:beforeAutospacing="1" w:after="0" w:afterAutospacing="1"/>
        <w:ind w:left="720" w:hanging="360"/>
      </w:pPr>
      <w:r>
        <w:t>接头松动或变形：卡套式接头安装时卡套未咬紧（钢管插入深度不足）或螺纹接头拧紧扭矩不足（＜15N·m），导致渗漏；</w:t>
      </w:r>
    </w:p>
    <w:p w14:paraId="1AB32C4D">
      <w:pPr>
        <w:numPr>
          <w:ilvl w:val="0"/>
          <w:numId w:val="44"/>
        </w:numPr>
        <w:spacing w:before="0" w:beforeAutospacing="1" w:after="0" w:afterAutospacing="1"/>
        <w:ind w:left="720" w:hanging="360"/>
      </w:pPr>
      <w:r>
        <w:t>管路弯曲半径过小：高压油管弯曲半径＜10倍管径（如φ10mm油管弯曲半径＜100mm），导致管壁疲劳开裂；</w:t>
      </w:r>
    </w:p>
    <w:p w14:paraId="0AF00B8F">
      <w:pPr>
        <w:numPr>
          <w:ilvl w:val="0"/>
          <w:numId w:val="44"/>
        </w:numPr>
        <w:spacing w:before="0" w:beforeAutospacing="1" w:after="0" w:afterAutospacing="1"/>
        <w:ind w:left="720" w:hanging="360"/>
      </w:pPr>
      <w:r>
        <w:t>油缸缸筒或活塞杆划伤：缸筒内壁锈蚀（有轴向划痕深度＞0.1mm）或活塞杆镀铬层剥落，导致活塞密封件磨损，产生内泄。</w:t>
      </w:r>
    </w:p>
    <w:p w14:paraId="0407FBBF">
      <w:r>
        <w:rPr>
          <w:b/>
        </w:rPr>
        <w:t>处理对策</w:t>
      </w:r>
      <w:r>
        <w:t>：</w:t>
      </w:r>
    </w:p>
    <w:p w14:paraId="08057C09">
      <w:pPr>
        <w:numPr>
          <w:ilvl w:val="0"/>
          <w:numId w:val="45"/>
        </w:numPr>
        <w:spacing w:before="0" w:beforeAutospacing="1" w:after="0" w:afterAutospacing="1"/>
        <w:ind w:left="720" w:hanging="360"/>
      </w:pPr>
      <w:r>
        <w:rPr>
          <w:b/>
        </w:rPr>
        <w:t>更换密封件</w:t>
      </w:r>
      <w:r>
        <w:t>：拆卸渗漏部位，取出旧密封件，更换同型号氟橡胶密封件（耐油、耐温-20-120℃），装配时在密封件表面涂抹液压油润滑，避免划伤；</w:t>
      </w:r>
    </w:p>
    <w:p w14:paraId="31335257">
      <w:pPr>
        <w:numPr>
          <w:ilvl w:val="0"/>
          <w:numId w:val="45"/>
        </w:numPr>
        <w:spacing w:before="0" w:beforeAutospacing="1" w:after="0" w:afterAutospacing="1"/>
        <w:ind w:left="720" w:hanging="360"/>
      </w:pPr>
      <w:r>
        <w:rPr>
          <w:b/>
        </w:rPr>
        <w:t>紧固或修复接头</w:t>
      </w:r>
      <w:r>
        <w:t>：卡套式接头渗漏时，切断钢管重新安装（确保插入深度≥15mm），用专用工具咬紧卡套；螺纹接头按规定扭矩（15-20N·m）重新紧固；</w:t>
      </w:r>
    </w:p>
    <w:p w14:paraId="77DADCF7">
      <w:pPr>
        <w:numPr>
          <w:ilvl w:val="0"/>
          <w:numId w:val="45"/>
        </w:numPr>
        <w:spacing w:before="0" w:beforeAutospacing="1" w:after="0" w:afterAutospacing="1"/>
        <w:ind w:left="720" w:hanging="360"/>
      </w:pPr>
      <w:r>
        <w:rPr>
          <w:b/>
        </w:rPr>
        <w:t>更换管路</w:t>
      </w:r>
      <w:r>
        <w:t>：弯曲半径过小的油管更换新件，确保弯曲半径≥10倍管径，避免死弯；管路破裂时，更换同规格高压油管（工作压力≥20MPa）；</w:t>
      </w:r>
    </w:p>
    <w:p w14:paraId="6ABFA672">
      <w:pPr>
        <w:numPr>
          <w:ilvl w:val="0"/>
          <w:numId w:val="45"/>
        </w:numPr>
        <w:spacing w:before="0" w:beforeAutospacing="1" w:after="0" w:afterAutospacing="1"/>
        <w:ind w:left="720" w:hanging="360"/>
      </w:pPr>
      <w:r>
        <w:rPr>
          <w:b/>
        </w:rPr>
        <w:t>修复油缸</w:t>
      </w:r>
      <w:r>
        <w:t>：轻微划伤的缸筒内壁用细砂纸（800目）抛光，深划痕或锈蚀时镗缸修复；活塞杆镀铬层剥落时，重新镀铬（厚度0.05-0.1mm）或更换活塞杆。</w:t>
      </w:r>
    </w:p>
    <w:p w14:paraId="62833949">
      <w:r>
        <w:rPr>
          <w:b/>
        </w:rPr>
        <w:t>预防措施</w:t>
      </w:r>
      <w:r>
        <w:t>：定期检查管路和密封件状态，避免管路受外力挤压，装配时使用扭矩扳手确保接头紧固力矩。</w:t>
      </w:r>
    </w:p>
    <w:p w14:paraId="1C41D0CE">
      <w:pPr>
        <w:pStyle w:val="3"/>
      </w:pPr>
      <w:r>
        <w:t>八、附录</w:t>
      </w:r>
    </w:p>
    <w:p w14:paraId="0E25E2FF">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B206B8A">
        <w:tblPrEx>
          <w:tblCellMar>
            <w:top w:w="0" w:type="dxa"/>
            <w:left w:w="0" w:type="dxa"/>
            <w:bottom w:w="0" w:type="dxa"/>
            <w:right w:w="0" w:type="dxa"/>
          </w:tblCellMar>
        </w:tblPrEx>
        <w:tc>
          <w:tcPr>
            <w:tcW w:w="0" w:type="auto"/>
            <w:vAlign w:val="center"/>
          </w:tcPr>
          <w:p w14:paraId="49B84939">
            <w:pPr>
              <w:jc w:val="center"/>
              <w:rPr>
                <w:b/>
              </w:rPr>
            </w:pPr>
            <w:r>
              <w:rPr>
                <w:b/>
              </w:rPr>
              <w:t>参数类别</w:t>
            </w:r>
          </w:p>
        </w:tc>
        <w:tc>
          <w:tcPr>
            <w:tcW w:w="0" w:type="auto"/>
            <w:vAlign w:val="center"/>
          </w:tcPr>
          <w:p w14:paraId="49455980">
            <w:pPr>
              <w:jc w:val="center"/>
              <w:rPr>
                <w:b/>
              </w:rPr>
            </w:pPr>
            <w:r>
              <w:rPr>
                <w:b/>
              </w:rPr>
              <w:t>1.5吨级（轻型）</w:t>
            </w:r>
          </w:p>
        </w:tc>
        <w:tc>
          <w:tcPr>
            <w:tcW w:w="0" w:type="auto"/>
            <w:vAlign w:val="center"/>
          </w:tcPr>
          <w:p w14:paraId="4F56BEA2">
            <w:pPr>
              <w:jc w:val="center"/>
              <w:rPr>
                <w:b/>
              </w:rPr>
            </w:pPr>
            <w:r>
              <w:rPr>
                <w:b/>
              </w:rPr>
              <w:t>2吨级（中型）</w:t>
            </w:r>
          </w:p>
        </w:tc>
        <w:tc>
          <w:tcPr>
            <w:tcW w:w="0" w:type="auto"/>
            <w:vAlign w:val="center"/>
          </w:tcPr>
          <w:p w14:paraId="6F7C9F87">
            <w:pPr>
              <w:jc w:val="center"/>
              <w:rPr>
                <w:b/>
              </w:rPr>
            </w:pPr>
            <w:r>
              <w:rPr>
                <w:b/>
              </w:rPr>
              <w:t>3吨级（重型）</w:t>
            </w:r>
          </w:p>
        </w:tc>
      </w:tr>
      <w:tr w14:paraId="43916C87">
        <w:tblPrEx>
          <w:tblCellMar>
            <w:top w:w="0" w:type="dxa"/>
            <w:left w:w="0" w:type="dxa"/>
            <w:bottom w:w="0" w:type="dxa"/>
            <w:right w:w="0" w:type="dxa"/>
          </w:tblCellMar>
        </w:tblPrEx>
        <w:tc>
          <w:tcPr>
            <w:tcW w:w="0" w:type="auto"/>
            <w:vAlign w:val="center"/>
          </w:tcPr>
          <w:p w14:paraId="419B0AEF">
            <w:r>
              <w:rPr>
                <w:b/>
              </w:rPr>
              <w:t>基本参数</w:t>
            </w:r>
          </w:p>
        </w:tc>
        <w:tc>
          <w:tcPr>
            <w:tcW w:w="0" w:type="auto"/>
            <w:vAlign w:val="center"/>
          </w:tcPr>
          <w:p w14:paraId="4A7CD179"/>
        </w:tc>
        <w:tc>
          <w:tcPr>
            <w:tcW w:w="0" w:type="auto"/>
            <w:vAlign w:val="center"/>
          </w:tcPr>
          <w:p w14:paraId="01995503"/>
        </w:tc>
        <w:tc>
          <w:tcPr>
            <w:tcW w:w="0" w:type="auto"/>
            <w:vAlign w:val="center"/>
          </w:tcPr>
          <w:p w14:paraId="7748D001"/>
        </w:tc>
      </w:tr>
      <w:tr w14:paraId="1A3B6DEC">
        <w:tblPrEx>
          <w:tblCellMar>
            <w:top w:w="0" w:type="dxa"/>
            <w:left w:w="0" w:type="dxa"/>
            <w:bottom w:w="0" w:type="dxa"/>
            <w:right w:w="0" w:type="dxa"/>
          </w:tblCellMar>
        </w:tblPrEx>
        <w:tc>
          <w:tcPr>
            <w:tcW w:w="0" w:type="auto"/>
            <w:vAlign w:val="center"/>
          </w:tcPr>
          <w:p w14:paraId="66D8FA45">
            <w:r>
              <w:t>额定载重</w:t>
            </w:r>
          </w:p>
        </w:tc>
        <w:tc>
          <w:tcPr>
            <w:tcW w:w="0" w:type="auto"/>
            <w:vAlign w:val="center"/>
          </w:tcPr>
          <w:p w14:paraId="02128BB3">
            <w:r>
              <w:t>1500kg</w:t>
            </w:r>
          </w:p>
        </w:tc>
        <w:tc>
          <w:tcPr>
            <w:tcW w:w="0" w:type="auto"/>
            <w:vAlign w:val="center"/>
          </w:tcPr>
          <w:p w14:paraId="4049A30B">
            <w:r>
              <w:t>2000kg</w:t>
            </w:r>
          </w:p>
        </w:tc>
        <w:tc>
          <w:tcPr>
            <w:tcW w:w="0" w:type="auto"/>
            <w:vAlign w:val="center"/>
          </w:tcPr>
          <w:p w14:paraId="6E4D126E">
            <w:r>
              <w:t>3000kg</w:t>
            </w:r>
          </w:p>
        </w:tc>
      </w:tr>
      <w:tr w14:paraId="680BF03F">
        <w:tc>
          <w:tcPr>
            <w:tcW w:w="0" w:type="auto"/>
            <w:vAlign w:val="center"/>
          </w:tcPr>
          <w:p w14:paraId="2EBCBD07">
            <w:r>
              <w:t>载荷中心距</w:t>
            </w:r>
          </w:p>
        </w:tc>
        <w:tc>
          <w:tcPr>
            <w:tcW w:w="0" w:type="auto"/>
            <w:vAlign w:val="center"/>
          </w:tcPr>
          <w:p w14:paraId="51D39B0E">
            <w:r>
              <w:t>500mm</w:t>
            </w:r>
          </w:p>
        </w:tc>
        <w:tc>
          <w:tcPr>
            <w:tcW w:w="0" w:type="auto"/>
            <w:vAlign w:val="center"/>
          </w:tcPr>
          <w:p w14:paraId="305E8631">
            <w:r>
              <w:t>500mm</w:t>
            </w:r>
          </w:p>
        </w:tc>
        <w:tc>
          <w:tcPr>
            <w:tcW w:w="0" w:type="auto"/>
            <w:vAlign w:val="center"/>
          </w:tcPr>
          <w:p w14:paraId="18576C24">
            <w:r>
              <w:t>600mm</w:t>
            </w:r>
          </w:p>
        </w:tc>
      </w:tr>
      <w:tr w14:paraId="15F5B271">
        <w:tblPrEx>
          <w:tblCellMar>
            <w:top w:w="0" w:type="dxa"/>
            <w:left w:w="0" w:type="dxa"/>
            <w:bottom w:w="0" w:type="dxa"/>
            <w:right w:w="0" w:type="dxa"/>
          </w:tblCellMar>
        </w:tblPrEx>
        <w:tc>
          <w:tcPr>
            <w:tcW w:w="0" w:type="auto"/>
            <w:vAlign w:val="center"/>
          </w:tcPr>
          <w:p w14:paraId="310D61D3">
            <w:r>
              <w:t>自重</w:t>
            </w:r>
          </w:p>
        </w:tc>
        <w:tc>
          <w:tcPr>
            <w:tcW w:w="0" w:type="auto"/>
            <w:vAlign w:val="center"/>
          </w:tcPr>
          <w:p w14:paraId="70E30E9B">
            <w:r>
              <w:t>2250kg</w:t>
            </w:r>
          </w:p>
        </w:tc>
        <w:tc>
          <w:tcPr>
            <w:tcW w:w="0" w:type="auto"/>
            <w:vAlign w:val="center"/>
          </w:tcPr>
          <w:p w14:paraId="4ECA561F">
            <w:r>
              <w:t>2600kg</w:t>
            </w:r>
          </w:p>
        </w:tc>
        <w:tc>
          <w:tcPr>
            <w:tcW w:w="0" w:type="auto"/>
            <w:vAlign w:val="center"/>
          </w:tcPr>
          <w:p w14:paraId="19151D4E">
            <w:r>
              <w:t>3200kg</w:t>
            </w:r>
          </w:p>
        </w:tc>
      </w:tr>
      <w:tr w14:paraId="298E2D10">
        <w:tblPrEx>
          <w:tblCellMar>
            <w:top w:w="0" w:type="dxa"/>
            <w:left w:w="0" w:type="dxa"/>
            <w:bottom w:w="0" w:type="dxa"/>
            <w:right w:w="0" w:type="dxa"/>
          </w:tblCellMar>
        </w:tblPrEx>
        <w:tc>
          <w:tcPr>
            <w:tcW w:w="0" w:type="auto"/>
            <w:vAlign w:val="center"/>
          </w:tcPr>
          <w:p w14:paraId="699604F4">
            <w:r>
              <w:t>车体尺寸（L×W×H）</w:t>
            </w:r>
          </w:p>
        </w:tc>
        <w:tc>
          <w:tcPr>
            <w:tcW w:w="0" w:type="auto"/>
            <w:vAlign w:val="center"/>
          </w:tcPr>
          <w:p w14:paraId="2EF6A4F8">
            <w:r>
              <w:t>1970×1090×2050mm</w:t>
            </w:r>
          </w:p>
        </w:tc>
        <w:tc>
          <w:tcPr>
            <w:tcW w:w="0" w:type="auto"/>
            <w:vAlign w:val="center"/>
          </w:tcPr>
          <w:p w14:paraId="0A791BEA">
            <w:r>
              <w:t>2150×1150×2100mm</w:t>
            </w:r>
          </w:p>
        </w:tc>
        <w:tc>
          <w:tcPr>
            <w:tcW w:w="0" w:type="auto"/>
            <w:vAlign w:val="center"/>
          </w:tcPr>
          <w:p w14:paraId="03F2EDD4">
            <w:r>
              <w:t>2350×1250×2200mm</w:t>
            </w:r>
          </w:p>
        </w:tc>
      </w:tr>
      <w:tr w14:paraId="4D4CFB14">
        <w:tblPrEx>
          <w:tblCellMar>
            <w:top w:w="0" w:type="dxa"/>
            <w:left w:w="0" w:type="dxa"/>
            <w:bottom w:w="0" w:type="dxa"/>
            <w:right w:w="0" w:type="dxa"/>
          </w:tblCellMar>
        </w:tblPrEx>
        <w:tc>
          <w:tcPr>
            <w:tcW w:w="0" w:type="auto"/>
            <w:vAlign w:val="center"/>
          </w:tcPr>
          <w:p w14:paraId="7C26ADB2">
            <w:r>
              <w:rPr>
                <w:b/>
              </w:rPr>
              <w:t>性能参数</w:t>
            </w:r>
          </w:p>
        </w:tc>
        <w:tc>
          <w:tcPr>
            <w:tcW w:w="0" w:type="auto"/>
            <w:vAlign w:val="center"/>
          </w:tcPr>
          <w:p w14:paraId="63B3798B"/>
        </w:tc>
        <w:tc>
          <w:tcPr>
            <w:tcW w:w="0" w:type="auto"/>
            <w:vAlign w:val="center"/>
          </w:tcPr>
          <w:p w14:paraId="57A8B568"/>
        </w:tc>
        <w:tc>
          <w:tcPr>
            <w:tcW w:w="0" w:type="auto"/>
            <w:vAlign w:val="center"/>
          </w:tcPr>
          <w:p w14:paraId="0AFC3172"/>
        </w:tc>
      </w:tr>
      <w:tr w14:paraId="1DA49314">
        <w:tc>
          <w:tcPr>
            <w:tcW w:w="0" w:type="auto"/>
            <w:vAlign w:val="center"/>
          </w:tcPr>
          <w:p w14:paraId="3F05B587">
            <w:r>
              <w:t>行驶速度（满载/空载）</w:t>
            </w:r>
          </w:p>
        </w:tc>
        <w:tc>
          <w:tcPr>
            <w:tcW w:w="0" w:type="auto"/>
            <w:vAlign w:val="center"/>
          </w:tcPr>
          <w:p w14:paraId="7D295DF2">
            <w:r>
              <w:t>5km/h / 5.5km/h</w:t>
            </w:r>
          </w:p>
        </w:tc>
        <w:tc>
          <w:tcPr>
            <w:tcW w:w="0" w:type="auto"/>
            <w:vAlign w:val="center"/>
          </w:tcPr>
          <w:p w14:paraId="2B20F6D0">
            <w:r>
              <w:t>4.5km/h / 5km/h</w:t>
            </w:r>
          </w:p>
        </w:tc>
        <w:tc>
          <w:tcPr>
            <w:tcW w:w="0" w:type="auto"/>
            <w:vAlign w:val="center"/>
          </w:tcPr>
          <w:p w14:paraId="01BA32EE">
            <w:r>
              <w:t>4km/h / 4.5km/h</w:t>
            </w:r>
          </w:p>
        </w:tc>
      </w:tr>
      <w:tr w14:paraId="071E237F">
        <w:tblPrEx>
          <w:tblCellMar>
            <w:top w:w="0" w:type="dxa"/>
            <w:left w:w="0" w:type="dxa"/>
            <w:bottom w:w="0" w:type="dxa"/>
            <w:right w:w="0" w:type="dxa"/>
          </w:tblCellMar>
        </w:tblPrEx>
        <w:tc>
          <w:tcPr>
            <w:tcW w:w="0" w:type="auto"/>
            <w:vAlign w:val="center"/>
          </w:tcPr>
          <w:p w14:paraId="0CC7B7B9">
            <w:r>
              <w:t>提升速度（满载/空载）</w:t>
            </w:r>
          </w:p>
        </w:tc>
        <w:tc>
          <w:tcPr>
            <w:tcW w:w="0" w:type="auto"/>
            <w:vAlign w:val="center"/>
          </w:tcPr>
          <w:p w14:paraId="757582DE">
            <w:r>
              <w:t>130mm/s / 165mm/s</w:t>
            </w:r>
          </w:p>
        </w:tc>
        <w:tc>
          <w:tcPr>
            <w:tcW w:w="0" w:type="auto"/>
            <w:vAlign w:val="center"/>
          </w:tcPr>
          <w:p w14:paraId="0AE662DD">
            <w:r>
              <w:t>120mm/s / 150mm/s</w:t>
            </w:r>
          </w:p>
        </w:tc>
        <w:tc>
          <w:tcPr>
            <w:tcW w:w="0" w:type="auto"/>
            <w:vAlign w:val="center"/>
          </w:tcPr>
          <w:p w14:paraId="1F45FA65">
            <w:r>
              <w:t>100mm/s / 130mm/s</w:t>
            </w:r>
          </w:p>
        </w:tc>
      </w:tr>
      <w:tr w14:paraId="4BEB7AD6">
        <w:tblPrEx>
          <w:tblCellMar>
            <w:top w:w="0" w:type="dxa"/>
            <w:left w:w="0" w:type="dxa"/>
            <w:bottom w:w="0" w:type="dxa"/>
            <w:right w:w="0" w:type="dxa"/>
          </w:tblCellMar>
        </w:tblPrEx>
        <w:tc>
          <w:tcPr>
            <w:tcW w:w="0" w:type="auto"/>
            <w:vAlign w:val="center"/>
          </w:tcPr>
          <w:p w14:paraId="42DADE2E">
            <w:r>
              <w:t>下降速度（满载/空载）</w:t>
            </w:r>
          </w:p>
        </w:tc>
        <w:tc>
          <w:tcPr>
            <w:tcW w:w="0" w:type="auto"/>
            <w:vAlign w:val="center"/>
          </w:tcPr>
          <w:p w14:paraId="2E4C3A67">
            <w:r>
              <w:t>l00mm/s / 95mm/s</w:t>
            </w:r>
          </w:p>
        </w:tc>
        <w:tc>
          <w:tcPr>
            <w:tcW w:w="0" w:type="auto"/>
            <w:vAlign w:val="center"/>
          </w:tcPr>
          <w:p w14:paraId="476F45DF">
            <w:r>
              <w:t>95mm/s / 90mm/s</w:t>
            </w:r>
          </w:p>
        </w:tc>
        <w:tc>
          <w:tcPr>
            <w:tcW w:w="0" w:type="auto"/>
            <w:vAlign w:val="center"/>
          </w:tcPr>
          <w:p w14:paraId="2136C742">
            <w:r>
              <w:t>90mm/s / 85mm/s</w:t>
            </w:r>
          </w:p>
        </w:tc>
      </w:tr>
      <w:tr w14:paraId="400D8C98">
        <w:tblPrEx>
          <w:tblCellMar>
            <w:top w:w="0" w:type="dxa"/>
            <w:left w:w="0" w:type="dxa"/>
            <w:bottom w:w="0" w:type="dxa"/>
            <w:right w:w="0" w:type="dxa"/>
          </w:tblCellMar>
        </w:tblPrEx>
        <w:tc>
          <w:tcPr>
            <w:tcW w:w="0" w:type="auto"/>
            <w:vAlign w:val="center"/>
          </w:tcPr>
          <w:p w14:paraId="3183D9FD">
            <w:r>
              <w:t>转弯半径</w:t>
            </w:r>
          </w:p>
        </w:tc>
        <w:tc>
          <w:tcPr>
            <w:tcW w:w="0" w:type="auto"/>
            <w:vAlign w:val="center"/>
          </w:tcPr>
          <w:p w14:paraId="21E00398">
            <w:r>
              <w:t>1850mm</w:t>
            </w:r>
          </w:p>
        </w:tc>
        <w:tc>
          <w:tcPr>
            <w:tcW w:w="0" w:type="auto"/>
            <w:vAlign w:val="center"/>
          </w:tcPr>
          <w:p w14:paraId="3C9D66CD">
            <w:r>
              <w:t>2000mm</w:t>
            </w:r>
          </w:p>
        </w:tc>
        <w:tc>
          <w:tcPr>
            <w:tcW w:w="0" w:type="auto"/>
            <w:vAlign w:val="center"/>
          </w:tcPr>
          <w:p w14:paraId="4F7B0363">
            <w:r>
              <w:t>2500mm</w:t>
            </w:r>
          </w:p>
        </w:tc>
      </w:tr>
      <w:tr w14:paraId="6EB4C857">
        <w:tc>
          <w:tcPr>
            <w:tcW w:w="0" w:type="auto"/>
            <w:vAlign w:val="center"/>
          </w:tcPr>
          <w:p w14:paraId="7BE35B84">
            <w:r>
              <w:t>最大提升高度</w:t>
            </w:r>
          </w:p>
        </w:tc>
        <w:tc>
          <w:tcPr>
            <w:tcW w:w="0" w:type="auto"/>
            <w:vAlign w:val="center"/>
          </w:tcPr>
          <w:p w14:paraId="4A78680F">
            <w:r>
              <w:t>3000-4000mm</w:t>
            </w:r>
          </w:p>
        </w:tc>
        <w:tc>
          <w:tcPr>
            <w:tcW w:w="0" w:type="auto"/>
            <w:vAlign w:val="center"/>
          </w:tcPr>
          <w:p w14:paraId="6CDEF72E">
            <w:r>
              <w:t>3000-4500mm</w:t>
            </w:r>
          </w:p>
        </w:tc>
        <w:tc>
          <w:tcPr>
            <w:tcW w:w="0" w:type="auto"/>
            <w:vAlign w:val="center"/>
          </w:tcPr>
          <w:p w14:paraId="16052E56">
            <w:r>
              <w:t>3000-5500mm</w:t>
            </w:r>
          </w:p>
        </w:tc>
      </w:tr>
      <w:tr w14:paraId="3D32CEB9">
        <w:tblPrEx>
          <w:tblCellMar>
            <w:top w:w="0" w:type="dxa"/>
            <w:left w:w="0" w:type="dxa"/>
            <w:bottom w:w="0" w:type="dxa"/>
            <w:right w:w="0" w:type="dxa"/>
          </w:tblCellMar>
        </w:tblPrEx>
        <w:tc>
          <w:tcPr>
            <w:tcW w:w="0" w:type="auto"/>
            <w:vAlign w:val="center"/>
          </w:tcPr>
          <w:p w14:paraId="6194798D">
            <w:r>
              <w:rPr>
                <w:b/>
              </w:rPr>
              <w:t>动力参数</w:t>
            </w:r>
          </w:p>
        </w:tc>
        <w:tc>
          <w:tcPr>
            <w:tcW w:w="0" w:type="auto"/>
            <w:vAlign w:val="center"/>
          </w:tcPr>
          <w:p w14:paraId="610FD869"/>
        </w:tc>
        <w:tc>
          <w:tcPr>
            <w:tcW w:w="0" w:type="auto"/>
            <w:vAlign w:val="center"/>
          </w:tcPr>
          <w:p w14:paraId="1E6D977D"/>
        </w:tc>
        <w:tc>
          <w:tcPr>
            <w:tcW w:w="0" w:type="auto"/>
            <w:vAlign w:val="center"/>
          </w:tcPr>
          <w:p w14:paraId="156B19D3"/>
        </w:tc>
      </w:tr>
      <w:tr w14:paraId="5FDF739D">
        <w:tblPrEx>
          <w:tblCellMar>
            <w:top w:w="0" w:type="dxa"/>
            <w:left w:w="0" w:type="dxa"/>
            <w:bottom w:w="0" w:type="dxa"/>
            <w:right w:w="0" w:type="dxa"/>
          </w:tblCellMar>
        </w:tblPrEx>
        <w:tc>
          <w:tcPr>
            <w:tcW w:w="0" w:type="auto"/>
            <w:vAlign w:val="center"/>
          </w:tcPr>
          <w:p w14:paraId="67C4A014">
            <w:r>
              <w:t>电池电压/容量</w:t>
            </w:r>
          </w:p>
        </w:tc>
        <w:tc>
          <w:tcPr>
            <w:tcW w:w="0" w:type="auto"/>
            <w:vAlign w:val="center"/>
          </w:tcPr>
          <w:p w14:paraId="19E34401">
            <w:r>
              <w:t>48V/200Ah（铅酸）</w:t>
            </w:r>
          </w:p>
        </w:tc>
        <w:tc>
          <w:tcPr>
            <w:tcW w:w="0" w:type="auto"/>
            <w:vAlign w:val="center"/>
          </w:tcPr>
          <w:p w14:paraId="06112AEC">
            <w:r>
              <w:t>48V/250Ah（锂电）</w:t>
            </w:r>
          </w:p>
        </w:tc>
        <w:tc>
          <w:tcPr>
            <w:tcW w:w="0" w:type="auto"/>
            <w:vAlign w:val="center"/>
          </w:tcPr>
          <w:p w14:paraId="7CF095A0">
            <w:r>
              <w:t>48V/300Ah（锂电）</w:t>
            </w:r>
          </w:p>
        </w:tc>
      </w:tr>
      <w:tr w14:paraId="468C6C30">
        <w:tblPrEx>
          <w:tblCellMar>
            <w:top w:w="0" w:type="dxa"/>
            <w:left w:w="0" w:type="dxa"/>
            <w:bottom w:w="0" w:type="dxa"/>
            <w:right w:w="0" w:type="dxa"/>
          </w:tblCellMar>
        </w:tblPrEx>
        <w:tc>
          <w:tcPr>
            <w:tcW w:w="0" w:type="auto"/>
            <w:vAlign w:val="center"/>
          </w:tcPr>
          <w:p w14:paraId="150EEF78">
            <w:r>
              <w:t>行走电机功率</w:t>
            </w:r>
          </w:p>
        </w:tc>
        <w:tc>
          <w:tcPr>
            <w:tcW w:w="0" w:type="auto"/>
            <w:vAlign w:val="center"/>
          </w:tcPr>
          <w:p w14:paraId="0A8AD169">
            <w:r>
              <w:t>1.5kW</w:t>
            </w:r>
          </w:p>
        </w:tc>
        <w:tc>
          <w:tcPr>
            <w:tcW w:w="0" w:type="auto"/>
            <w:vAlign w:val="center"/>
          </w:tcPr>
          <w:p w14:paraId="1E88037A">
            <w:r>
              <w:t>2.2kW</w:t>
            </w:r>
          </w:p>
        </w:tc>
        <w:tc>
          <w:tcPr>
            <w:tcW w:w="0" w:type="auto"/>
            <w:vAlign w:val="center"/>
          </w:tcPr>
          <w:p w14:paraId="0182CFCF">
            <w:r>
              <w:t>.5kW</w:t>
            </w:r>
          </w:p>
        </w:tc>
      </w:tr>
      <w:tr w14:paraId="5D98560A">
        <w:tc>
          <w:tcPr>
            <w:tcW w:w="0" w:type="auto"/>
            <w:vAlign w:val="center"/>
          </w:tcPr>
          <w:p w14:paraId="69985326">
            <w:r>
              <w:t>起升电机功率</w:t>
            </w:r>
          </w:p>
        </w:tc>
        <w:tc>
          <w:tcPr>
            <w:tcW w:w="0" w:type="auto"/>
            <w:vAlign w:val="center"/>
          </w:tcPr>
          <w:p w14:paraId="3AEE091B">
            <w:r>
              <w:t>2.2kW</w:t>
            </w:r>
          </w:p>
        </w:tc>
        <w:tc>
          <w:tcPr>
            <w:tcW w:w="0" w:type="auto"/>
            <w:vAlign w:val="center"/>
          </w:tcPr>
          <w:p w14:paraId="24139EDC">
            <w:r>
              <w:t>3kW</w:t>
            </w:r>
          </w:p>
        </w:tc>
        <w:tc>
          <w:tcPr>
            <w:tcW w:w="0" w:type="auto"/>
            <w:vAlign w:val="center"/>
          </w:tcPr>
          <w:p w14:paraId="7177A1DD">
            <w:r>
              <w:t>4kW</w:t>
            </w:r>
          </w:p>
        </w:tc>
      </w:tr>
      <w:tr w14:paraId="7352F9B1">
        <w:tblPrEx>
          <w:tblCellMar>
            <w:top w:w="0" w:type="dxa"/>
            <w:left w:w="0" w:type="dxa"/>
            <w:bottom w:w="0" w:type="dxa"/>
            <w:right w:w="0" w:type="dxa"/>
          </w:tblCellMar>
        </w:tblPrEx>
        <w:tc>
          <w:tcPr>
            <w:tcW w:w="0" w:type="auto"/>
            <w:vAlign w:val="center"/>
          </w:tcPr>
          <w:p w14:paraId="26B4862F">
            <w:r>
              <w:rPr>
                <w:b/>
              </w:rPr>
              <w:t>安全参数</w:t>
            </w:r>
          </w:p>
        </w:tc>
        <w:tc>
          <w:tcPr>
            <w:tcW w:w="0" w:type="auto"/>
            <w:vAlign w:val="center"/>
          </w:tcPr>
          <w:p w14:paraId="42356353"/>
        </w:tc>
        <w:tc>
          <w:tcPr>
            <w:tcW w:w="0" w:type="auto"/>
            <w:vAlign w:val="center"/>
          </w:tcPr>
          <w:p w14:paraId="21817BBF"/>
        </w:tc>
        <w:tc>
          <w:tcPr>
            <w:tcW w:w="0" w:type="auto"/>
            <w:vAlign w:val="center"/>
          </w:tcPr>
          <w:p w14:paraId="1B172DDB"/>
        </w:tc>
      </w:tr>
      <w:tr w14:paraId="2007D44A">
        <w:tblPrEx>
          <w:tblCellMar>
            <w:top w:w="0" w:type="dxa"/>
            <w:left w:w="0" w:type="dxa"/>
            <w:bottom w:w="0" w:type="dxa"/>
            <w:right w:w="0" w:type="dxa"/>
          </w:tblCellMar>
        </w:tblPrEx>
        <w:tc>
          <w:tcPr>
            <w:tcW w:w="0" w:type="auto"/>
            <w:vAlign w:val="center"/>
          </w:tcPr>
          <w:p w14:paraId="6D87A5B4">
            <w:r>
              <w:t>制动距离（满载5km/h）</w:t>
            </w:r>
          </w:p>
        </w:tc>
        <w:tc>
          <w:tcPr>
            <w:tcW w:w="0" w:type="auto"/>
            <w:vAlign w:val="center"/>
          </w:tcPr>
          <w:p w14:paraId="73938FFA">
            <w:r>
              <w:t>≤1.5m</w:t>
            </w:r>
          </w:p>
        </w:tc>
        <w:tc>
          <w:tcPr>
            <w:tcW w:w="0" w:type="auto"/>
            <w:vAlign w:val="center"/>
          </w:tcPr>
          <w:p w14:paraId="197AAB20">
            <w:r>
              <w:t>≤1.8m</w:t>
            </w:r>
          </w:p>
        </w:tc>
        <w:tc>
          <w:tcPr>
            <w:tcW w:w="0" w:type="auto"/>
            <w:vAlign w:val="center"/>
          </w:tcPr>
          <w:p w14:paraId="5427C789">
            <w:r>
              <w:t>≤2.0m</w:t>
            </w:r>
          </w:p>
        </w:tc>
      </w:tr>
      <w:tr w14:paraId="52472E07">
        <w:tblPrEx>
          <w:tblCellMar>
            <w:top w:w="0" w:type="dxa"/>
            <w:left w:w="0" w:type="dxa"/>
            <w:bottom w:w="0" w:type="dxa"/>
            <w:right w:w="0" w:type="dxa"/>
          </w:tblCellMar>
        </w:tblPrEx>
        <w:tc>
          <w:tcPr>
            <w:tcW w:w="0" w:type="auto"/>
            <w:vAlign w:val="center"/>
          </w:tcPr>
          <w:p w14:paraId="67D5F350">
            <w:r>
              <w:t>噪声</w:t>
            </w:r>
          </w:p>
        </w:tc>
        <w:tc>
          <w:tcPr>
            <w:tcW w:w="0" w:type="auto"/>
            <w:vAlign w:val="center"/>
          </w:tcPr>
          <w:p w14:paraId="3F3A318E">
            <w:r>
              <w:t>≤68dB</w:t>
            </w:r>
          </w:p>
        </w:tc>
        <w:tc>
          <w:tcPr>
            <w:tcW w:w="0" w:type="auto"/>
            <w:vAlign w:val="center"/>
          </w:tcPr>
          <w:p w14:paraId="567E534C">
            <w:r>
              <w:t>≤70dB</w:t>
            </w:r>
          </w:p>
        </w:tc>
        <w:tc>
          <w:tcPr>
            <w:tcW w:w="0" w:type="auto"/>
            <w:vAlign w:val="center"/>
          </w:tcPr>
          <w:p w14:paraId="5BB87800">
            <w:r>
              <w:t>≤72dB</w:t>
            </w:r>
          </w:p>
        </w:tc>
      </w:tr>
      <w:tr w14:paraId="21EF3C19">
        <w:tc>
          <w:tcPr>
            <w:tcW w:w="0" w:type="auto"/>
            <w:vAlign w:val="center"/>
          </w:tcPr>
          <w:p w14:paraId="46E57F58">
            <w:r>
              <w:t>防护等级</w:t>
            </w:r>
          </w:p>
        </w:tc>
        <w:tc>
          <w:tcPr>
            <w:tcW w:w="0" w:type="auto"/>
            <w:vAlign w:val="center"/>
          </w:tcPr>
          <w:p w14:paraId="271D4AD2">
            <w:r>
              <w:t>IP54</w:t>
            </w:r>
          </w:p>
        </w:tc>
        <w:tc>
          <w:tcPr>
            <w:tcW w:w="0" w:type="auto"/>
            <w:vAlign w:val="center"/>
          </w:tcPr>
          <w:p w14:paraId="2D4FEB8D">
            <w:r>
              <w:t>IP54</w:t>
            </w:r>
          </w:p>
        </w:tc>
        <w:tc>
          <w:tcPr>
            <w:tcW w:w="0" w:type="auto"/>
            <w:vAlign w:val="center"/>
          </w:tcPr>
          <w:p w14:paraId="0962F197">
            <w:r>
              <w:t>IP54</w:t>
            </w:r>
          </w:p>
        </w:tc>
      </w:tr>
    </w:tbl>
    <w:p w14:paraId="2A63C695">
      <w:pPr>
        <w:pStyle w:val="4"/>
      </w:pPr>
      <w:r>
        <w:t>8.2 常用备件清单与更换周期</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082F4BC">
        <w:tblPrEx>
          <w:tblCellMar>
            <w:top w:w="0" w:type="dxa"/>
            <w:left w:w="0" w:type="dxa"/>
            <w:bottom w:w="0" w:type="dxa"/>
            <w:right w:w="0" w:type="dxa"/>
          </w:tblCellMar>
        </w:tblPrEx>
        <w:tc>
          <w:tcPr>
            <w:tcW w:w="0" w:type="auto"/>
            <w:vAlign w:val="center"/>
          </w:tcPr>
          <w:p w14:paraId="46398EA9">
            <w:pPr>
              <w:jc w:val="center"/>
              <w:rPr>
                <w:b/>
              </w:rPr>
            </w:pPr>
            <w:r>
              <w:rPr>
                <w:b/>
              </w:rPr>
              <w:t>备件名称</w:t>
            </w:r>
          </w:p>
        </w:tc>
        <w:tc>
          <w:tcPr>
            <w:tcW w:w="0" w:type="auto"/>
            <w:vAlign w:val="center"/>
          </w:tcPr>
          <w:p w14:paraId="643247CE">
            <w:pPr>
              <w:jc w:val="center"/>
              <w:rPr>
                <w:b/>
              </w:rPr>
            </w:pPr>
            <w:r>
              <w:rPr>
                <w:b/>
              </w:rPr>
              <w:t>型号规格</w:t>
            </w:r>
          </w:p>
        </w:tc>
        <w:tc>
          <w:tcPr>
            <w:tcW w:w="0" w:type="auto"/>
            <w:vAlign w:val="center"/>
          </w:tcPr>
          <w:p w14:paraId="6B4A03D4">
            <w:pPr>
              <w:jc w:val="center"/>
              <w:rPr>
                <w:b/>
              </w:rPr>
            </w:pPr>
            <w:r>
              <w:rPr>
                <w:b/>
              </w:rPr>
              <w:t>更换周期/条件</w:t>
            </w:r>
          </w:p>
        </w:tc>
        <w:tc>
          <w:tcPr>
            <w:tcW w:w="0" w:type="auto"/>
            <w:vAlign w:val="center"/>
          </w:tcPr>
          <w:p w14:paraId="2DFDAFDE">
            <w:pPr>
              <w:jc w:val="center"/>
              <w:rPr>
                <w:b/>
              </w:rPr>
            </w:pPr>
            <w:r>
              <w:rPr>
                <w:b/>
              </w:rPr>
              <w:t>备注</w:t>
            </w:r>
          </w:p>
        </w:tc>
      </w:tr>
      <w:tr w14:paraId="69C2BCD8">
        <w:tblPrEx>
          <w:tblCellMar>
            <w:top w:w="0" w:type="dxa"/>
            <w:left w:w="0" w:type="dxa"/>
            <w:bottom w:w="0" w:type="dxa"/>
            <w:right w:w="0" w:type="dxa"/>
          </w:tblCellMar>
        </w:tblPrEx>
        <w:tc>
          <w:tcPr>
            <w:tcW w:w="0" w:type="auto"/>
            <w:vAlign w:val="center"/>
          </w:tcPr>
          <w:p w14:paraId="7E7492E3">
            <w:r>
              <w:t>驱动轮轮胎</w:t>
            </w:r>
          </w:p>
        </w:tc>
        <w:tc>
          <w:tcPr>
            <w:tcW w:w="0" w:type="auto"/>
            <w:vAlign w:val="center"/>
          </w:tcPr>
          <w:p w14:paraId="1D832D02">
            <w:r>
              <w:t>聚氨酯，φ250mm</w:t>
            </w:r>
          </w:p>
        </w:tc>
        <w:tc>
          <w:tcPr>
            <w:tcW w:w="0" w:type="auto"/>
            <w:vAlign w:val="center"/>
          </w:tcPr>
          <w:p w14:paraId="5990B04C">
            <w:r>
              <w:t>3000小时或花纹深度＜1.6mm</w:t>
            </w:r>
          </w:p>
        </w:tc>
        <w:tc>
          <w:tcPr>
            <w:tcW w:w="0" w:type="auto"/>
            <w:vAlign w:val="center"/>
          </w:tcPr>
          <w:p w14:paraId="772E201A">
            <w:r>
              <w:t>根据地面条件调整，粗糙地面缩短至2000小时</w:t>
            </w:r>
          </w:p>
        </w:tc>
      </w:tr>
      <w:tr w14:paraId="4BDC723C">
        <w:tblPrEx>
          <w:tblCellMar>
            <w:top w:w="0" w:type="dxa"/>
            <w:left w:w="0" w:type="dxa"/>
            <w:bottom w:w="0" w:type="dxa"/>
            <w:right w:w="0" w:type="dxa"/>
          </w:tblCellMar>
        </w:tblPrEx>
        <w:tc>
          <w:tcPr>
            <w:tcW w:w="0" w:type="auto"/>
            <w:vAlign w:val="center"/>
          </w:tcPr>
          <w:p w14:paraId="302D050F">
            <w:r>
              <w:t>液压油</w:t>
            </w:r>
          </w:p>
        </w:tc>
        <w:tc>
          <w:tcPr>
            <w:tcW w:w="0" w:type="auto"/>
            <w:vAlign w:val="center"/>
          </w:tcPr>
          <w:p w14:paraId="44B4C6F2">
            <w:r>
              <w:t>ISO VG46抗磨液压油</w:t>
            </w:r>
          </w:p>
        </w:tc>
        <w:tc>
          <w:tcPr>
            <w:tcW w:w="0" w:type="auto"/>
            <w:vAlign w:val="center"/>
          </w:tcPr>
          <w:p w14:paraId="3327D25F">
            <w:r>
              <w:t>2000小时或污染度NAS 8级以上</w:t>
            </w:r>
          </w:p>
        </w:tc>
        <w:tc>
          <w:tcPr>
            <w:tcW w:w="0" w:type="auto"/>
            <w:vAlign w:val="center"/>
          </w:tcPr>
          <w:p w14:paraId="1D32D659">
            <w:r>
              <w:t>需过滤后加入（10μm滤芯）</w:t>
            </w:r>
          </w:p>
        </w:tc>
      </w:tr>
      <w:tr w14:paraId="7C1B658B">
        <w:tc>
          <w:tcPr>
            <w:tcW w:w="0" w:type="auto"/>
            <w:vAlign w:val="center"/>
          </w:tcPr>
          <w:p w14:paraId="15421D94">
            <w:r>
              <w:t>液压油滤芯</w:t>
            </w:r>
          </w:p>
        </w:tc>
        <w:tc>
          <w:tcPr>
            <w:tcW w:w="0" w:type="auto"/>
            <w:vAlign w:val="center"/>
          </w:tcPr>
          <w:p w14:paraId="3AA5153C">
            <w:r>
              <w:t>10μm，M22×1.5接口</w:t>
            </w:r>
          </w:p>
        </w:tc>
        <w:tc>
          <w:tcPr>
            <w:tcW w:w="0" w:type="auto"/>
            <w:vAlign w:val="center"/>
          </w:tcPr>
          <w:p w14:paraId="385F3727">
            <w:r>
              <w:t>回油滤芯500小时，吸油滤芯2000小时</w:t>
            </w:r>
          </w:p>
        </w:tc>
        <w:tc>
          <w:tcPr>
            <w:tcW w:w="0" w:type="auto"/>
            <w:vAlign w:val="center"/>
          </w:tcPr>
          <w:p w14:paraId="59494F2A">
            <w:r>
              <w:t>压差＞0.15MPa时提前更换</w:t>
            </w:r>
          </w:p>
        </w:tc>
      </w:tr>
      <w:tr w14:paraId="2287DAC4">
        <w:tblPrEx>
          <w:tblCellMar>
            <w:top w:w="0" w:type="dxa"/>
            <w:left w:w="0" w:type="dxa"/>
            <w:bottom w:w="0" w:type="dxa"/>
            <w:right w:w="0" w:type="dxa"/>
          </w:tblCellMar>
        </w:tblPrEx>
        <w:tc>
          <w:tcPr>
            <w:tcW w:w="0" w:type="auto"/>
            <w:vAlign w:val="center"/>
          </w:tcPr>
          <w:p w14:paraId="63FF510B">
            <w:r>
              <w:t>驱动电机碳刷</w:t>
            </w:r>
          </w:p>
        </w:tc>
        <w:tc>
          <w:tcPr>
            <w:tcW w:w="0" w:type="auto"/>
            <w:vAlign w:val="center"/>
          </w:tcPr>
          <w:p w14:paraId="4F6A2B93">
            <w:r>
              <w:t>规格10×12×30mm</w:t>
            </w:r>
          </w:p>
        </w:tc>
        <w:tc>
          <w:tcPr>
            <w:tcW w:w="0" w:type="auto"/>
            <w:vAlign w:val="center"/>
          </w:tcPr>
          <w:p w14:paraId="28D2EEF2">
            <w:r>
              <w:t>500-1000小时（剩余长度＜5mm）</w:t>
            </w:r>
          </w:p>
        </w:tc>
        <w:tc>
          <w:tcPr>
            <w:tcW w:w="0" w:type="auto"/>
            <w:vAlign w:val="center"/>
          </w:tcPr>
          <w:p w14:paraId="769339F7">
            <w:r>
              <w:t>不同电机型号碳刷尺寸可能不同</w:t>
            </w:r>
          </w:p>
        </w:tc>
      </w:tr>
      <w:tr w14:paraId="525B9182">
        <w:tblPrEx>
          <w:tblCellMar>
            <w:top w:w="0" w:type="dxa"/>
            <w:left w:w="0" w:type="dxa"/>
            <w:bottom w:w="0" w:type="dxa"/>
            <w:right w:w="0" w:type="dxa"/>
          </w:tblCellMar>
        </w:tblPrEx>
        <w:tc>
          <w:tcPr>
            <w:tcW w:w="0" w:type="auto"/>
            <w:vAlign w:val="center"/>
          </w:tcPr>
          <w:p w14:paraId="2D7EFFD8">
            <w:r>
              <w:t>门架滚轮</w:t>
            </w:r>
          </w:p>
        </w:tc>
        <w:tc>
          <w:tcPr>
            <w:tcW w:w="0" w:type="auto"/>
            <w:vAlign w:val="center"/>
          </w:tcPr>
          <w:p w14:paraId="435D931C">
            <w:r>
              <w:t>尼龙材质，φ60mm</w:t>
            </w:r>
          </w:p>
        </w:tc>
        <w:tc>
          <w:tcPr>
            <w:tcW w:w="0" w:type="auto"/>
            <w:vAlign w:val="center"/>
          </w:tcPr>
          <w:p w14:paraId="14AFD03F">
            <w:r>
              <w:t>2000小时或直径偏差＞2mm</w:t>
            </w:r>
          </w:p>
        </w:tc>
        <w:tc>
          <w:tcPr>
            <w:tcW w:w="0" w:type="auto"/>
            <w:vAlign w:val="center"/>
          </w:tcPr>
          <w:p w14:paraId="3EA1EA44">
            <w:r>
              <w:t>轴承内置，整体更换</w:t>
            </w:r>
          </w:p>
        </w:tc>
      </w:tr>
      <w:tr w14:paraId="2B3FE413">
        <w:tblPrEx>
          <w:tblCellMar>
            <w:top w:w="0" w:type="dxa"/>
            <w:left w:w="0" w:type="dxa"/>
            <w:bottom w:w="0" w:type="dxa"/>
            <w:right w:w="0" w:type="dxa"/>
          </w:tblCellMar>
        </w:tblPrEx>
        <w:tc>
          <w:tcPr>
            <w:tcW w:w="0" w:type="auto"/>
            <w:vAlign w:val="center"/>
          </w:tcPr>
          <w:p w14:paraId="196CE83A">
            <w:r>
              <w:t>升降链条</w:t>
            </w:r>
          </w:p>
        </w:tc>
        <w:tc>
          <w:tcPr>
            <w:tcW w:w="0" w:type="auto"/>
            <w:vAlign w:val="center"/>
          </w:tcPr>
          <w:p w14:paraId="4FD4ACDE">
            <w:r>
              <w:t>节距16mm，单排</w:t>
            </w:r>
          </w:p>
        </w:tc>
        <w:tc>
          <w:tcPr>
            <w:tcW w:w="0" w:type="auto"/>
            <w:vAlign w:val="center"/>
          </w:tcPr>
          <w:p w14:paraId="3B345F9E">
            <w:r>
              <w:t>5000小时或链节磨损＞0.2mm</w:t>
            </w:r>
          </w:p>
        </w:tc>
        <w:tc>
          <w:tcPr>
            <w:tcW w:w="0" w:type="auto"/>
            <w:vAlign w:val="center"/>
          </w:tcPr>
          <w:p w14:paraId="657B1A25">
            <w:r>
              <w:t>左右链条成对更换，确保张紧度一致</w:t>
            </w:r>
          </w:p>
        </w:tc>
      </w:tr>
      <w:tr w14:paraId="3F72FC75">
        <w:tc>
          <w:tcPr>
            <w:tcW w:w="0" w:type="auto"/>
            <w:vAlign w:val="center"/>
          </w:tcPr>
          <w:p w14:paraId="1DEAE86B">
            <w:r>
              <w:t>电池组</w:t>
            </w:r>
          </w:p>
        </w:tc>
        <w:tc>
          <w:tcPr>
            <w:tcW w:w="0" w:type="auto"/>
            <w:vAlign w:val="center"/>
          </w:tcPr>
          <w:p w14:paraId="70FD1962">
            <w:r>
              <w:t>48V/200Ah（铅酸）</w:t>
            </w:r>
          </w:p>
        </w:tc>
        <w:tc>
          <w:tcPr>
            <w:tcW w:w="0" w:type="auto"/>
            <w:vAlign w:val="center"/>
          </w:tcPr>
          <w:p w14:paraId="36A0BA3F">
            <w:r>
              <w:t>2-3年或容量＜80%额定值</w:t>
            </w:r>
          </w:p>
        </w:tc>
        <w:tc>
          <w:tcPr>
            <w:tcW w:w="0" w:type="auto"/>
            <w:vAlign w:val="center"/>
          </w:tcPr>
          <w:p w14:paraId="6463F5A0">
            <w:r>
              <w:t>锂电池3-5年，根据循环次数调整</w:t>
            </w:r>
          </w:p>
        </w:tc>
      </w:tr>
      <w:tr w14:paraId="29BC2A9E">
        <w:tblPrEx>
          <w:tblCellMar>
            <w:top w:w="0" w:type="dxa"/>
            <w:left w:w="0" w:type="dxa"/>
            <w:bottom w:w="0" w:type="dxa"/>
            <w:right w:w="0" w:type="dxa"/>
          </w:tblCellMar>
        </w:tblPrEx>
        <w:tc>
          <w:tcPr>
            <w:tcW w:w="0" w:type="auto"/>
            <w:vAlign w:val="center"/>
          </w:tcPr>
          <w:p w14:paraId="7E865B2E">
            <w:r>
              <w:t>密封件（O型圈）</w:t>
            </w:r>
          </w:p>
        </w:tc>
        <w:tc>
          <w:tcPr>
            <w:tcW w:w="0" w:type="auto"/>
            <w:vAlign w:val="center"/>
          </w:tcPr>
          <w:p w14:paraId="69CDB792">
            <w:r>
              <w:t>氟橡胶，尺寸按部位</w:t>
            </w:r>
          </w:p>
        </w:tc>
        <w:tc>
          <w:tcPr>
            <w:tcW w:w="0" w:type="auto"/>
            <w:vAlign w:val="center"/>
          </w:tcPr>
          <w:p w14:paraId="388D3A67">
            <w:r>
              <w:t>1年或渗漏时</w:t>
            </w:r>
          </w:p>
        </w:tc>
        <w:tc>
          <w:tcPr>
            <w:tcW w:w="0" w:type="auto"/>
            <w:vAlign w:val="center"/>
          </w:tcPr>
          <w:p w14:paraId="1AF93B04">
            <w:r>
              <w:t>建议备用常用规格（如φ10×2mm、φ16×3mm）</w:t>
            </w:r>
          </w:p>
        </w:tc>
      </w:tr>
      <w:tr w14:paraId="2BB05ACF">
        <w:tblPrEx>
          <w:tblCellMar>
            <w:top w:w="0" w:type="dxa"/>
            <w:left w:w="0" w:type="dxa"/>
            <w:bottom w:w="0" w:type="dxa"/>
            <w:right w:w="0" w:type="dxa"/>
          </w:tblCellMar>
        </w:tblPrEx>
        <w:tc>
          <w:tcPr>
            <w:tcW w:w="0" w:type="auto"/>
            <w:vAlign w:val="center"/>
          </w:tcPr>
          <w:p w14:paraId="7392A1DF">
            <w:r>
              <w:t>激光扫描仪</w:t>
            </w:r>
          </w:p>
        </w:tc>
        <w:tc>
          <w:tcPr>
            <w:tcW w:w="0" w:type="auto"/>
            <w:vAlign w:val="center"/>
          </w:tcPr>
          <w:p w14:paraId="42D801AF">
            <w:r>
              <w:t>SICK S300</w:t>
            </w:r>
          </w:p>
        </w:tc>
        <w:tc>
          <w:tcPr>
            <w:tcW w:w="0" w:type="auto"/>
            <w:vAlign w:val="center"/>
          </w:tcPr>
          <w:p w14:paraId="50E4E6C3">
            <w:r>
              <w:t>5年或功率衰减＞30%</w:t>
            </w:r>
          </w:p>
        </w:tc>
        <w:tc>
          <w:tcPr>
            <w:tcW w:w="0" w:type="auto"/>
            <w:vAlign w:val="center"/>
          </w:tcPr>
          <w:p w14:paraId="645777AE">
            <w:r>
              <w:t>定期清洁镜头，避免强光直射</w:t>
            </w:r>
          </w:p>
        </w:tc>
      </w:tr>
    </w:tbl>
    <w:p w14:paraId="31598F57">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B4E02DD">
        <w:tc>
          <w:tcPr>
            <w:tcW w:w="0" w:type="auto"/>
            <w:vAlign w:val="center"/>
          </w:tcPr>
          <w:p w14:paraId="30928272">
            <w:pPr>
              <w:jc w:val="center"/>
              <w:rPr>
                <w:b/>
              </w:rPr>
            </w:pPr>
            <w:r>
              <w:rPr>
                <w:b/>
              </w:rPr>
              <w:t>标准编号</w:t>
            </w:r>
          </w:p>
        </w:tc>
        <w:tc>
          <w:tcPr>
            <w:tcW w:w="0" w:type="auto"/>
            <w:vAlign w:val="center"/>
          </w:tcPr>
          <w:p w14:paraId="6AD7FEBE">
            <w:pPr>
              <w:jc w:val="center"/>
              <w:rPr>
                <w:b/>
              </w:rPr>
            </w:pPr>
            <w:r>
              <w:rPr>
                <w:b/>
              </w:rPr>
              <w:t>标准名称</w:t>
            </w:r>
          </w:p>
        </w:tc>
        <w:tc>
          <w:tcPr>
            <w:tcW w:w="0" w:type="auto"/>
            <w:vAlign w:val="center"/>
          </w:tcPr>
          <w:p w14:paraId="032DF7F8">
            <w:pPr>
              <w:jc w:val="center"/>
              <w:rPr>
                <w:b/>
              </w:rPr>
            </w:pPr>
            <w:r>
              <w:rPr>
                <w:b/>
              </w:rPr>
              <w:t>关键条款摘要</w:t>
            </w:r>
          </w:p>
        </w:tc>
      </w:tr>
      <w:tr w14:paraId="68E08E0A">
        <w:tc>
          <w:tcPr>
            <w:tcW w:w="0" w:type="auto"/>
            <w:vAlign w:val="center"/>
          </w:tcPr>
          <w:p w14:paraId="73BCF624">
            <w:r>
              <w:t>GB/T 36951-2018</w:t>
            </w:r>
          </w:p>
        </w:tc>
        <w:tc>
          <w:tcPr>
            <w:tcW w:w="0" w:type="auto"/>
            <w:vAlign w:val="center"/>
          </w:tcPr>
          <w:p w14:paraId="27A1C3F7">
            <w:r>
              <w:t>《电动堆垛车》</w:t>
            </w:r>
          </w:p>
        </w:tc>
        <w:tc>
          <w:tcPr>
            <w:tcW w:w="0" w:type="auto"/>
            <w:vAlign w:val="center"/>
          </w:tcPr>
          <w:p w14:paraId="48902657">
            <w:r>
              <w:t>规定电动堆垛车的技术要求、试验方法、检验规则，包括额定载重、提升高度、制动性能等</w:t>
            </w:r>
          </w:p>
        </w:tc>
      </w:tr>
      <w:tr w14:paraId="59F95B3C">
        <w:tc>
          <w:tcPr>
            <w:tcW w:w="0" w:type="auto"/>
            <w:vAlign w:val="center"/>
          </w:tcPr>
          <w:p w14:paraId="0E4C05CE">
            <w:r>
              <w:t>JB/T 3244-2010</w:t>
            </w:r>
          </w:p>
        </w:tc>
        <w:tc>
          <w:tcPr>
            <w:tcW w:w="0" w:type="auto"/>
            <w:vAlign w:val="center"/>
          </w:tcPr>
          <w:p w14:paraId="5A1CAE6D">
            <w:r>
              <w:t>《蓄电池前移式叉车》</w:t>
            </w:r>
          </w:p>
        </w:tc>
        <w:tc>
          <w:tcPr>
            <w:tcW w:w="0" w:type="auto"/>
            <w:vAlign w:val="center"/>
          </w:tcPr>
          <w:p w14:paraId="3C74B11B">
            <w:r>
              <w:t>适用于前移式电动堆垛车，规定门架强度、稳定性、噪声限值（≤75dB）等</w:t>
            </w:r>
          </w:p>
        </w:tc>
      </w:tr>
      <w:tr w14:paraId="61B7659A">
        <w:tc>
          <w:tcPr>
            <w:tcW w:w="0" w:type="auto"/>
            <w:vAlign w:val="center"/>
          </w:tcPr>
          <w:p w14:paraId="61AC6DB6">
            <w:r>
              <w:t>ISO 3691-1:2019</w:t>
            </w:r>
          </w:p>
        </w:tc>
        <w:tc>
          <w:tcPr>
            <w:tcW w:w="0" w:type="auto"/>
            <w:vAlign w:val="center"/>
          </w:tcPr>
          <w:p w14:paraId="1A66B623">
            <w:r>
              <w:t>《工业车辆 安全要求和验证 第1部分：自行式车辆（除无人驾驶车辆、伸缩臂式叉车）》</w:t>
            </w:r>
          </w:p>
        </w:tc>
        <w:tc>
          <w:tcPr>
            <w:tcW w:w="0" w:type="auto"/>
            <w:vAlign w:val="center"/>
          </w:tcPr>
          <w:p w14:paraId="7D839A1B">
            <w:r>
              <w:t>安全防护要求，如制动系统、限位装置、紧急停止装置的性能标准</w:t>
            </w:r>
          </w:p>
        </w:tc>
      </w:tr>
      <w:tr w14:paraId="1C2E6D3D">
        <w:tc>
          <w:tcPr>
            <w:tcW w:w="0" w:type="auto"/>
            <w:vAlign w:val="center"/>
          </w:tcPr>
          <w:p w14:paraId="344DE27E">
            <w:r>
              <w:t>EN ISO 13849-1:2015</w:t>
            </w:r>
          </w:p>
        </w:tc>
        <w:tc>
          <w:tcPr>
            <w:tcW w:w="0" w:type="auto"/>
            <w:vAlign w:val="center"/>
          </w:tcPr>
          <w:p w14:paraId="001771DD">
            <w:r>
              <w:t>《机械安全 控制系统安全相关部件 第1部分：设计通则》</w:t>
            </w:r>
          </w:p>
        </w:tc>
        <w:tc>
          <w:tcPr>
            <w:tcW w:w="0" w:type="auto"/>
            <w:vAlign w:val="center"/>
          </w:tcPr>
          <w:p w14:paraId="1A6A9DF1">
            <w:r>
              <w:t>安全继电器、安全电路的设计要求，PLd等级的安全完整性指标（MTBF≥100000小时）</w:t>
            </w:r>
          </w:p>
        </w:tc>
      </w:tr>
      <w:tr w14:paraId="7F1954F7">
        <w:tc>
          <w:tcPr>
            <w:tcW w:w="0" w:type="auto"/>
            <w:vAlign w:val="center"/>
          </w:tcPr>
          <w:p w14:paraId="41B591FC">
            <w:r>
              <w:t>GB/T 18488-2015</w:t>
            </w:r>
          </w:p>
        </w:tc>
        <w:tc>
          <w:tcPr>
            <w:tcW w:w="0" w:type="auto"/>
            <w:vAlign w:val="center"/>
          </w:tcPr>
          <w:p w14:paraId="1DA19379">
            <w:r>
              <w:t>《电动汽车用驱动电机系统 第1部分：技术条件》</w:t>
            </w:r>
          </w:p>
        </w:tc>
        <w:tc>
          <w:tcPr>
            <w:tcW w:w="0" w:type="auto"/>
            <w:vAlign w:val="center"/>
          </w:tcPr>
          <w:p w14:paraId="0B99C8D9">
            <w:r>
              <w:t>驱动电机的功率、效率、绝缘电阻、温升限值（F级绝缘≤155℃）等</w:t>
            </w:r>
          </w:p>
        </w:tc>
      </w:tr>
    </w:tbl>
    <w:p w14:paraId="2FA9433A">
      <w:r>
        <w:t>以上标准为站驾式电动堆垛车设计、生产、检验及维护的依据，设备工程师应熟悉并遵循相关条款，确保设备安全合规运行。</w:t>
      </w:r>
    </w:p>
    <w:p w14:paraId="1A1B9FA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B9BB8"/>
    <w:multiLevelType w:val="singleLevel"/>
    <w:tmpl w:val="89DB9BB8"/>
    <w:lvl w:ilvl="0" w:tentative="0">
      <w:start w:val="1"/>
      <w:numFmt w:val="bullet"/>
      <w:lvlText w:val=""/>
      <w:lvlJc w:val="left"/>
      <w:pPr>
        <w:ind w:left="720" w:hanging="360"/>
      </w:pPr>
      <w:rPr>
        <w:rFonts w:hint="default" w:ascii="Symbol" w:hAnsi="Symbol" w:cs="Symbol"/>
        <w:sz w:val="20"/>
      </w:rPr>
    </w:lvl>
  </w:abstractNum>
  <w:abstractNum w:abstractNumId="1">
    <w:nsid w:val="93FE8B0A"/>
    <w:multiLevelType w:val="singleLevel"/>
    <w:tmpl w:val="93FE8B0A"/>
    <w:lvl w:ilvl="0" w:tentative="0">
      <w:start w:val="1"/>
      <w:numFmt w:val="bullet"/>
      <w:lvlText w:val=""/>
      <w:lvlJc w:val="left"/>
      <w:pPr>
        <w:ind w:left="720" w:hanging="360"/>
      </w:pPr>
      <w:rPr>
        <w:rFonts w:hint="default" w:ascii="Symbol" w:hAnsi="Symbol" w:cs="Symbol"/>
        <w:sz w:val="20"/>
      </w:rPr>
    </w:lvl>
  </w:abstractNum>
  <w:abstractNum w:abstractNumId="2">
    <w:nsid w:val="9CF8FDEA"/>
    <w:multiLevelType w:val="singleLevel"/>
    <w:tmpl w:val="9CF8FDEA"/>
    <w:lvl w:ilvl="0" w:tentative="0">
      <w:start w:val="1"/>
      <w:numFmt w:val="bullet"/>
      <w:lvlText w:val=""/>
      <w:lvlJc w:val="left"/>
      <w:pPr>
        <w:ind w:left="720" w:hanging="360"/>
      </w:pPr>
      <w:rPr>
        <w:rFonts w:hint="default" w:ascii="Symbol" w:hAnsi="Symbol" w:cs="Symbol"/>
        <w:sz w:val="20"/>
      </w:rPr>
    </w:lvl>
  </w:abstractNum>
  <w:abstractNum w:abstractNumId="3">
    <w:nsid w:val="9DEA29B1"/>
    <w:multiLevelType w:val="singleLevel"/>
    <w:tmpl w:val="9DEA29B1"/>
    <w:lvl w:ilvl="0" w:tentative="0">
      <w:start w:val="1"/>
      <w:numFmt w:val="bullet"/>
      <w:lvlText w:val=""/>
      <w:lvlJc w:val="left"/>
      <w:pPr>
        <w:ind w:left="720" w:hanging="360"/>
      </w:pPr>
      <w:rPr>
        <w:rFonts w:hint="default" w:ascii="Symbol" w:hAnsi="Symbol" w:cs="Symbol"/>
        <w:sz w:val="20"/>
      </w:rPr>
    </w:lvl>
  </w:abstractNum>
  <w:abstractNum w:abstractNumId="4">
    <w:nsid w:val="A7CB62D6"/>
    <w:multiLevelType w:val="singleLevel"/>
    <w:tmpl w:val="A7CB62D6"/>
    <w:lvl w:ilvl="0" w:tentative="0">
      <w:start w:val="1"/>
      <w:numFmt w:val="bullet"/>
      <w:lvlText w:val=""/>
      <w:lvlJc w:val="left"/>
      <w:pPr>
        <w:ind w:left="720" w:hanging="360"/>
      </w:pPr>
      <w:rPr>
        <w:rFonts w:hint="default" w:ascii="Symbol" w:hAnsi="Symbol" w:cs="Symbol"/>
        <w:sz w:val="20"/>
      </w:rPr>
    </w:lvl>
  </w:abstractNum>
  <w:abstractNum w:abstractNumId="5">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6">
    <w:nsid w:val="AB4FB754"/>
    <w:multiLevelType w:val="singleLevel"/>
    <w:tmpl w:val="AB4FB754"/>
    <w:lvl w:ilvl="0" w:tentative="0">
      <w:start w:val="1"/>
      <w:numFmt w:val="bullet"/>
      <w:lvlText w:val=""/>
      <w:lvlJc w:val="left"/>
      <w:pPr>
        <w:ind w:left="720" w:hanging="360"/>
      </w:pPr>
      <w:rPr>
        <w:rFonts w:hint="default" w:ascii="Symbol" w:hAnsi="Symbol" w:cs="Symbol"/>
        <w:sz w:val="20"/>
      </w:rPr>
    </w:lvl>
  </w:abstractNum>
  <w:abstractNum w:abstractNumId="7">
    <w:nsid w:val="AFDE8D38"/>
    <w:multiLevelType w:val="singleLevel"/>
    <w:tmpl w:val="AFDE8D38"/>
    <w:lvl w:ilvl="0" w:tentative="0">
      <w:start w:val="1"/>
      <w:numFmt w:val="decimal"/>
      <w:lvlText w:val="%1."/>
      <w:lvlJc w:val="left"/>
      <w:pPr>
        <w:ind w:left="720" w:hanging="360"/>
      </w:pPr>
      <w:rPr>
        <w:sz w:val="24"/>
      </w:rPr>
    </w:lvl>
  </w:abstractNum>
  <w:abstractNum w:abstractNumId="8">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9">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0">
    <w:nsid w:val="B86930E9"/>
    <w:multiLevelType w:val="singleLevel"/>
    <w:tmpl w:val="B86930E9"/>
    <w:lvl w:ilvl="0" w:tentative="0">
      <w:start w:val="1"/>
      <w:numFmt w:val="bullet"/>
      <w:lvlText w:val=""/>
      <w:lvlJc w:val="left"/>
      <w:pPr>
        <w:ind w:left="720" w:hanging="360"/>
      </w:pPr>
      <w:rPr>
        <w:rFonts w:hint="default" w:ascii="Symbol" w:hAnsi="Symbol" w:cs="Symbol"/>
        <w:sz w:val="20"/>
      </w:rPr>
    </w:lvl>
  </w:abstractNum>
  <w:abstractNum w:abstractNumId="11">
    <w:nsid w:val="BCBF625F"/>
    <w:multiLevelType w:val="singleLevel"/>
    <w:tmpl w:val="BCBF625F"/>
    <w:lvl w:ilvl="0" w:tentative="0">
      <w:start w:val="1"/>
      <w:numFmt w:val="bullet"/>
      <w:lvlText w:val=""/>
      <w:lvlJc w:val="left"/>
      <w:pPr>
        <w:ind w:left="720" w:hanging="360"/>
      </w:pPr>
      <w:rPr>
        <w:rFonts w:hint="default" w:ascii="Symbol" w:hAnsi="Symbol" w:cs="Symbol"/>
        <w:sz w:val="20"/>
      </w:rPr>
    </w:lvl>
  </w:abstractNum>
  <w:abstractNum w:abstractNumId="12">
    <w:nsid w:val="BF74379D"/>
    <w:multiLevelType w:val="singleLevel"/>
    <w:tmpl w:val="BF74379D"/>
    <w:lvl w:ilvl="0" w:tentative="0">
      <w:start w:val="1"/>
      <w:numFmt w:val="decimal"/>
      <w:lvlText w:val="%1."/>
      <w:lvlJc w:val="left"/>
      <w:pPr>
        <w:ind w:left="720" w:hanging="360"/>
      </w:pPr>
      <w:rPr>
        <w:sz w:val="24"/>
      </w:rPr>
    </w:lvl>
  </w:abstractNum>
  <w:abstractNum w:abstractNumId="13">
    <w:nsid w:val="CF6FBE0D"/>
    <w:multiLevelType w:val="singleLevel"/>
    <w:tmpl w:val="CF6FBE0D"/>
    <w:lvl w:ilvl="0" w:tentative="0">
      <w:start w:val="1"/>
      <w:numFmt w:val="bullet"/>
      <w:lvlText w:val=""/>
      <w:lvlJc w:val="left"/>
      <w:pPr>
        <w:ind w:left="720" w:hanging="360"/>
      </w:pPr>
      <w:rPr>
        <w:rFonts w:hint="default" w:ascii="Symbol" w:hAnsi="Symbol" w:cs="Symbol"/>
        <w:sz w:val="20"/>
      </w:rPr>
    </w:lvl>
  </w:abstractNum>
  <w:abstractNum w:abstractNumId="14">
    <w:nsid w:val="DEDF9949"/>
    <w:multiLevelType w:val="singleLevel"/>
    <w:tmpl w:val="DEDF9949"/>
    <w:lvl w:ilvl="0" w:tentative="0">
      <w:start w:val="1"/>
      <w:numFmt w:val="bullet"/>
      <w:lvlText w:val=""/>
      <w:lvlJc w:val="left"/>
      <w:pPr>
        <w:ind w:left="720" w:hanging="360"/>
      </w:pPr>
      <w:rPr>
        <w:rFonts w:hint="default" w:ascii="Symbol" w:hAnsi="Symbol" w:cs="Symbol"/>
        <w:sz w:val="20"/>
      </w:rPr>
    </w:lvl>
  </w:abstractNum>
  <w:abstractNum w:abstractNumId="15">
    <w:nsid w:val="DF3F16A3"/>
    <w:multiLevelType w:val="singleLevel"/>
    <w:tmpl w:val="DF3F16A3"/>
    <w:lvl w:ilvl="0" w:tentative="0">
      <w:start w:val="1"/>
      <w:numFmt w:val="bullet"/>
      <w:lvlText w:val=""/>
      <w:lvlJc w:val="left"/>
      <w:pPr>
        <w:ind w:left="720" w:hanging="360"/>
      </w:pPr>
      <w:rPr>
        <w:rFonts w:hint="default" w:ascii="Symbol" w:hAnsi="Symbol" w:cs="Symbol"/>
        <w:sz w:val="20"/>
      </w:rPr>
    </w:lvl>
  </w:abstractNum>
  <w:abstractNum w:abstractNumId="16">
    <w:nsid w:val="DFF48789"/>
    <w:multiLevelType w:val="singleLevel"/>
    <w:tmpl w:val="DFF48789"/>
    <w:lvl w:ilvl="0" w:tentative="0">
      <w:start w:val="1"/>
      <w:numFmt w:val="bullet"/>
      <w:lvlText w:val=""/>
      <w:lvlJc w:val="left"/>
      <w:pPr>
        <w:ind w:left="720" w:hanging="360"/>
      </w:pPr>
      <w:rPr>
        <w:rFonts w:hint="default" w:ascii="Symbol" w:hAnsi="Symbol" w:cs="Symbol"/>
        <w:sz w:val="20"/>
      </w:rPr>
    </w:lvl>
  </w:abstractNum>
  <w:abstractNum w:abstractNumId="17">
    <w:nsid w:val="DFFE6CE0"/>
    <w:multiLevelType w:val="singleLevel"/>
    <w:tmpl w:val="DFFE6CE0"/>
    <w:lvl w:ilvl="0" w:tentative="0">
      <w:start w:val="1"/>
      <w:numFmt w:val="bullet"/>
      <w:lvlText w:val=""/>
      <w:lvlJc w:val="left"/>
      <w:pPr>
        <w:ind w:left="720" w:hanging="360"/>
      </w:pPr>
      <w:rPr>
        <w:rFonts w:hint="default" w:ascii="Symbol" w:hAnsi="Symbol" w:cs="Symbol"/>
        <w:sz w:val="20"/>
      </w:rPr>
    </w:lvl>
  </w:abstractNum>
  <w:abstractNum w:abstractNumId="18">
    <w:nsid w:val="E79D59CC"/>
    <w:multiLevelType w:val="singleLevel"/>
    <w:tmpl w:val="E79D59CC"/>
    <w:lvl w:ilvl="0" w:tentative="0">
      <w:start w:val="1"/>
      <w:numFmt w:val="decimal"/>
      <w:lvlText w:val="%1."/>
      <w:lvlJc w:val="left"/>
      <w:pPr>
        <w:ind w:left="720" w:hanging="360"/>
      </w:pPr>
      <w:rPr>
        <w:sz w:val="24"/>
      </w:rPr>
    </w:lvl>
  </w:abstractNum>
  <w:abstractNum w:abstractNumId="19">
    <w:nsid w:val="E7F75EFD"/>
    <w:multiLevelType w:val="singleLevel"/>
    <w:tmpl w:val="E7F75EFD"/>
    <w:lvl w:ilvl="0" w:tentative="0">
      <w:start w:val="1"/>
      <w:numFmt w:val="bullet"/>
      <w:lvlText w:val=""/>
      <w:lvlJc w:val="left"/>
      <w:pPr>
        <w:ind w:left="720" w:hanging="360"/>
      </w:pPr>
      <w:rPr>
        <w:rFonts w:hint="default" w:ascii="Symbol" w:hAnsi="Symbol" w:cs="Symbol"/>
        <w:sz w:val="20"/>
      </w:rPr>
    </w:lvl>
  </w:abstractNum>
  <w:abstractNum w:abstractNumId="20">
    <w:nsid w:val="EDD476A6"/>
    <w:multiLevelType w:val="singleLevel"/>
    <w:tmpl w:val="EDD476A6"/>
    <w:lvl w:ilvl="0" w:tentative="0">
      <w:start w:val="1"/>
      <w:numFmt w:val="bullet"/>
      <w:lvlText w:val=""/>
      <w:lvlJc w:val="left"/>
      <w:pPr>
        <w:ind w:left="720" w:hanging="360"/>
      </w:pPr>
      <w:rPr>
        <w:rFonts w:hint="default" w:ascii="Symbol" w:hAnsi="Symbol" w:cs="Symbol"/>
        <w:sz w:val="20"/>
      </w:rPr>
    </w:lvl>
  </w:abstractNum>
  <w:abstractNum w:abstractNumId="21">
    <w:nsid w:val="EFFC4CFA"/>
    <w:multiLevelType w:val="singleLevel"/>
    <w:tmpl w:val="EFFC4CFA"/>
    <w:lvl w:ilvl="0" w:tentative="0">
      <w:start w:val="1"/>
      <w:numFmt w:val="bullet"/>
      <w:lvlText w:val=""/>
      <w:lvlJc w:val="left"/>
      <w:pPr>
        <w:ind w:left="720" w:hanging="360"/>
      </w:pPr>
      <w:rPr>
        <w:rFonts w:hint="default" w:ascii="Symbol" w:hAnsi="Symbol" w:cs="Symbol"/>
        <w:sz w:val="20"/>
      </w:rPr>
    </w:lvl>
  </w:abstractNum>
  <w:abstractNum w:abstractNumId="22">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3">
    <w:nsid w:val="F786F996"/>
    <w:multiLevelType w:val="singleLevel"/>
    <w:tmpl w:val="F786F996"/>
    <w:lvl w:ilvl="0" w:tentative="0">
      <w:start w:val="1"/>
      <w:numFmt w:val="decimal"/>
      <w:lvlText w:val="%1."/>
      <w:lvlJc w:val="left"/>
      <w:pPr>
        <w:ind w:left="720" w:hanging="360"/>
      </w:pPr>
      <w:rPr>
        <w:sz w:val="24"/>
      </w:rPr>
    </w:lvl>
  </w:abstractNum>
  <w:abstractNum w:abstractNumId="24">
    <w:nsid w:val="F9AAFC03"/>
    <w:multiLevelType w:val="singleLevel"/>
    <w:tmpl w:val="F9AAFC03"/>
    <w:lvl w:ilvl="0" w:tentative="0">
      <w:start w:val="1"/>
      <w:numFmt w:val="bullet"/>
      <w:lvlText w:val=""/>
      <w:lvlJc w:val="left"/>
      <w:pPr>
        <w:ind w:left="720" w:hanging="360"/>
      </w:pPr>
      <w:rPr>
        <w:rFonts w:hint="default" w:ascii="Symbol" w:hAnsi="Symbol" w:cs="Symbol"/>
        <w:sz w:val="20"/>
      </w:rPr>
    </w:lvl>
  </w:abstractNum>
  <w:abstractNum w:abstractNumId="25">
    <w:nsid w:val="FBEC6754"/>
    <w:multiLevelType w:val="singleLevel"/>
    <w:tmpl w:val="FBEC6754"/>
    <w:lvl w:ilvl="0" w:tentative="0">
      <w:start w:val="1"/>
      <w:numFmt w:val="bullet"/>
      <w:lvlText w:val=""/>
      <w:lvlJc w:val="left"/>
      <w:pPr>
        <w:ind w:left="720" w:hanging="360"/>
      </w:pPr>
      <w:rPr>
        <w:rFonts w:hint="default" w:ascii="Symbol" w:hAnsi="Symbol" w:cs="Symbol"/>
        <w:sz w:val="20"/>
      </w:rPr>
    </w:lvl>
  </w:abstractNum>
  <w:abstractNum w:abstractNumId="2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7">
    <w:nsid w:val="FED447D0"/>
    <w:multiLevelType w:val="singleLevel"/>
    <w:tmpl w:val="FED447D0"/>
    <w:lvl w:ilvl="0" w:tentative="0">
      <w:start w:val="1"/>
      <w:numFmt w:val="bullet"/>
      <w:lvlText w:val=""/>
      <w:lvlJc w:val="left"/>
      <w:pPr>
        <w:ind w:left="720" w:hanging="360"/>
      </w:pPr>
      <w:rPr>
        <w:rFonts w:hint="default" w:ascii="Symbol" w:hAnsi="Symbol" w:cs="Symbol"/>
        <w:sz w:val="20"/>
      </w:rPr>
    </w:lvl>
  </w:abstractNum>
  <w:abstractNum w:abstractNumId="28">
    <w:nsid w:val="FEF70D0E"/>
    <w:multiLevelType w:val="singleLevel"/>
    <w:tmpl w:val="FEF70D0E"/>
    <w:lvl w:ilvl="0" w:tentative="0">
      <w:start w:val="1"/>
      <w:numFmt w:val="bullet"/>
      <w:lvlText w:val=""/>
      <w:lvlJc w:val="left"/>
      <w:pPr>
        <w:ind w:left="720" w:hanging="360"/>
      </w:pPr>
      <w:rPr>
        <w:rFonts w:hint="default" w:ascii="Symbol" w:hAnsi="Symbol" w:cs="Symbol"/>
        <w:sz w:val="20"/>
      </w:rPr>
    </w:lvl>
  </w:abstractNum>
  <w:abstractNum w:abstractNumId="2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1">
    <w:nsid w:val="FFCD9F44"/>
    <w:multiLevelType w:val="singleLevel"/>
    <w:tmpl w:val="FFCD9F44"/>
    <w:lvl w:ilvl="0" w:tentative="0">
      <w:start w:val="1"/>
      <w:numFmt w:val="decimal"/>
      <w:lvlText w:val="%1."/>
      <w:lvlJc w:val="left"/>
      <w:pPr>
        <w:ind w:left="720" w:hanging="360"/>
      </w:pPr>
      <w:rPr>
        <w:sz w:val="24"/>
      </w:rPr>
    </w:lvl>
  </w:abstractNum>
  <w:abstractNum w:abstractNumId="3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4">
    <w:nsid w:val="299F47CB"/>
    <w:multiLevelType w:val="singleLevel"/>
    <w:tmpl w:val="299F47CB"/>
    <w:lvl w:ilvl="0" w:tentative="0">
      <w:start w:val="1"/>
      <w:numFmt w:val="decimal"/>
      <w:lvlText w:val="%1."/>
      <w:lvlJc w:val="left"/>
      <w:pPr>
        <w:ind w:left="720" w:hanging="360"/>
      </w:pPr>
      <w:rPr>
        <w:sz w:val="24"/>
      </w:rPr>
    </w:lvl>
  </w:abstractNum>
  <w:abstractNum w:abstractNumId="3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6">
    <w:nsid w:val="2DFFC542"/>
    <w:multiLevelType w:val="singleLevel"/>
    <w:tmpl w:val="2DFFC542"/>
    <w:lvl w:ilvl="0" w:tentative="0">
      <w:start w:val="1"/>
      <w:numFmt w:val="bullet"/>
      <w:lvlText w:val=""/>
      <w:lvlJc w:val="left"/>
      <w:pPr>
        <w:ind w:left="720" w:hanging="360"/>
      </w:pPr>
      <w:rPr>
        <w:rFonts w:hint="default" w:ascii="Symbol" w:hAnsi="Symbol" w:cs="Symbol"/>
        <w:sz w:val="20"/>
      </w:rPr>
    </w:lvl>
  </w:abstractNum>
  <w:abstractNum w:abstractNumId="37">
    <w:nsid w:val="6B8CCD25"/>
    <w:multiLevelType w:val="singleLevel"/>
    <w:tmpl w:val="6B8CCD25"/>
    <w:lvl w:ilvl="0" w:tentative="0">
      <w:start w:val="1"/>
      <w:numFmt w:val="bullet"/>
      <w:lvlText w:val=""/>
      <w:lvlJc w:val="left"/>
      <w:pPr>
        <w:ind w:left="720" w:hanging="360"/>
      </w:pPr>
      <w:rPr>
        <w:rFonts w:hint="default" w:ascii="Symbol" w:hAnsi="Symbol" w:cs="Symbol"/>
        <w:sz w:val="20"/>
      </w:rPr>
    </w:lvl>
  </w:abstractNum>
  <w:abstractNum w:abstractNumId="38">
    <w:nsid w:val="6FD316FE"/>
    <w:multiLevelType w:val="singleLevel"/>
    <w:tmpl w:val="6FD316FE"/>
    <w:lvl w:ilvl="0" w:tentative="0">
      <w:start w:val="1"/>
      <w:numFmt w:val="bullet"/>
      <w:lvlText w:val=""/>
      <w:lvlJc w:val="left"/>
      <w:pPr>
        <w:ind w:left="720" w:hanging="360"/>
      </w:pPr>
      <w:rPr>
        <w:rFonts w:hint="default" w:ascii="Symbol" w:hAnsi="Symbol" w:cs="Symbol"/>
        <w:sz w:val="20"/>
      </w:rPr>
    </w:lvl>
  </w:abstractNum>
  <w:abstractNum w:abstractNumId="39">
    <w:nsid w:val="6FED3E99"/>
    <w:multiLevelType w:val="singleLevel"/>
    <w:tmpl w:val="6FED3E99"/>
    <w:lvl w:ilvl="0" w:tentative="0">
      <w:start w:val="1"/>
      <w:numFmt w:val="bullet"/>
      <w:lvlText w:val=""/>
      <w:lvlJc w:val="left"/>
      <w:pPr>
        <w:ind w:left="720" w:hanging="360"/>
      </w:pPr>
      <w:rPr>
        <w:rFonts w:hint="default" w:ascii="Symbol" w:hAnsi="Symbol" w:cs="Symbol"/>
        <w:sz w:val="20"/>
      </w:rPr>
    </w:lvl>
  </w:abstractNum>
  <w:abstractNum w:abstractNumId="4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1">
    <w:nsid w:val="7DFEB203"/>
    <w:multiLevelType w:val="singleLevel"/>
    <w:tmpl w:val="7DFEB203"/>
    <w:lvl w:ilvl="0" w:tentative="0">
      <w:start w:val="1"/>
      <w:numFmt w:val="decimal"/>
      <w:lvlText w:val="%1."/>
      <w:lvlJc w:val="left"/>
      <w:pPr>
        <w:ind w:left="720" w:hanging="360"/>
      </w:pPr>
      <w:rPr>
        <w:sz w:val="24"/>
      </w:rPr>
    </w:lvl>
  </w:abstractNum>
  <w:abstractNum w:abstractNumId="42">
    <w:nsid w:val="7E6FAC8D"/>
    <w:multiLevelType w:val="singleLevel"/>
    <w:tmpl w:val="7E6FAC8D"/>
    <w:lvl w:ilvl="0" w:tentative="0">
      <w:start w:val="1"/>
      <w:numFmt w:val="bullet"/>
      <w:lvlText w:val=""/>
      <w:lvlJc w:val="left"/>
      <w:pPr>
        <w:ind w:left="720" w:hanging="360"/>
      </w:pPr>
      <w:rPr>
        <w:rFonts w:hint="default" w:ascii="Symbol" w:hAnsi="Symbol" w:cs="Symbol"/>
        <w:sz w:val="20"/>
      </w:rPr>
    </w:lvl>
  </w:abstractNum>
  <w:abstractNum w:abstractNumId="43">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4">
    <w:nsid w:val="7FBFC266"/>
    <w:multiLevelType w:val="singleLevel"/>
    <w:tmpl w:val="7FBFC266"/>
    <w:lvl w:ilvl="0" w:tentative="0">
      <w:start w:val="1"/>
      <w:numFmt w:val="bullet"/>
      <w:lvlText w:val=""/>
      <w:lvlJc w:val="left"/>
      <w:pPr>
        <w:ind w:left="720" w:hanging="360"/>
      </w:pPr>
      <w:rPr>
        <w:rFonts w:hint="default" w:ascii="Symbol" w:hAnsi="Symbol" w:cs="Symbol"/>
        <w:sz w:val="20"/>
      </w:rPr>
    </w:lvl>
  </w:abstractNum>
  <w:num w:numId="1">
    <w:abstractNumId w:val="35"/>
  </w:num>
  <w:num w:numId="2">
    <w:abstractNumId w:val="43"/>
  </w:num>
  <w:num w:numId="3">
    <w:abstractNumId w:val="8"/>
  </w:num>
  <w:num w:numId="4">
    <w:abstractNumId w:val="32"/>
  </w:num>
  <w:num w:numId="5">
    <w:abstractNumId w:val="26"/>
  </w:num>
  <w:num w:numId="6">
    <w:abstractNumId w:val="40"/>
  </w:num>
  <w:num w:numId="7">
    <w:abstractNumId w:val="22"/>
  </w:num>
  <w:num w:numId="8">
    <w:abstractNumId w:val="33"/>
  </w:num>
  <w:num w:numId="9">
    <w:abstractNumId w:val="29"/>
  </w:num>
  <w:num w:numId="10">
    <w:abstractNumId w:val="30"/>
  </w:num>
  <w:num w:numId="11">
    <w:abstractNumId w:val="9"/>
  </w:num>
  <w:num w:numId="12">
    <w:abstractNumId w:val="5"/>
  </w:num>
  <w:num w:numId="13">
    <w:abstractNumId w:val="25"/>
  </w:num>
  <w:num w:numId="14">
    <w:abstractNumId w:val="19"/>
  </w:num>
  <w:num w:numId="15">
    <w:abstractNumId w:val="44"/>
  </w:num>
  <w:num w:numId="16">
    <w:abstractNumId w:val="27"/>
  </w:num>
  <w:num w:numId="17">
    <w:abstractNumId w:val="17"/>
  </w:num>
  <w:num w:numId="18">
    <w:abstractNumId w:val="20"/>
  </w:num>
  <w:num w:numId="19">
    <w:abstractNumId w:val="16"/>
  </w:num>
  <w:num w:numId="20">
    <w:abstractNumId w:val="4"/>
  </w:num>
  <w:num w:numId="21">
    <w:abstractNumId w:val="36"/>
  </w:num>
  <w:num w:numId="22">
    <w:abstractNumId w:val="21"/>
  </w:num>
  <w:num w:numId="23">
    <w:abstractNumId w:val="1"/>
  </w:num>
  <w:num w:numId="24">
    <w:abstractNumId w:val="12"/>
  </w:num>
  <w:num w:numId="25">
    <w:abstractNumId w:val="2"/>
  </w:num>
  <w:num w:numId="26">
    <w:abstractNumId w:val="10"/>
  </w:num>
  <w:num w:numId="27">
    <w:abstractNumId w:val="28"/>
  </w:num>
  <w:num w:numId="28">
    <w:abstractNumId w:val="37"/>
  </w:num>
  <w:num w:numId="29">
    <w:abstractNumId w:val="39"/>
  </w:num>
  <w:num w:numId="30">
    <w:abstractNumId w:val="15"/>
  </w:num>
  <w:num w:numId="31">
    <w:abstractNumId w:val="0"/>
  </w:num>
  <w:num w:numId="32">
    <w:abstractNumId w:val="6"/>
  </w:num>
  <w:num w:numId="33">
    <w:abstractNumId w:val="38"/>
  </w:num>
  <w:num w:numId="34">
    <w:abstractNumId w:val="3"/>
  </w:num>
  <w:num w:numId="35">
    <w:abstractNumId w:val="34"/>
  </w:num>
  <w:num w:numId="36">
    <w:abstractNumId w:val="24"/>
  </w:num>
  <w:num w:numId="37">
    <w:abstractNumId w:val="7"/>
  </w:num>
  <w:num w:numId="38">
    <w:abstractNumId w:val="13"/>
  </w:num>
  <w:num w:numId="39">
    <w:abstractNumId w:val="41"/>
  </w:num>
  <w:num w:numId="40">
    <w:abstractNumId w:val="11"/>
  </w:num>
  <w:num w:numId="41">
    <w:abstractNumId w:val="18"/>
  </w:num>
  <w:num w:numId="42">
    <w:abstractNumId w:val="42"/>
  </w:num>
  <w:num w:numId="43">
    <w:abstractNumId w:val="31"/>
  </w:num>
  <w:num w:numId="44">
    <w:abstractNumId w:val="14"/>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AFFD18"/>
    <w:rsid w:val="6FE07705"/>
    <w:rsid w:val="6FFD907A"/>
    <w:rsid w:val="74A83031"/>
    <w:rsid w:val="76962A74"/>
    <w:rsid w:val="7B77B008"/>
    <w:rsid w:val="7FF6C12C"/>
    <w:rsid w:val="BCB98261"/>
    <w:rsid w:val="BFFFA57F"/>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2025-09-30T19:28:14Z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83175D3A5537E57ECEBEDB6884B8635A_43</vt:lpwstr>
  </property>
  <property fmtid="{D5CDD505-2E9C-101B-9397-08002B2CF9AE}" pid="4" name="KSOTemplateDocerSaveRecord">
    <vt:lpwstr>eyJoZGlkIjoiNzI4YmNmYThhZjA0NTVhODllNDhjMGZiNmFkMDJjN2YiLCJ1c2VySWQiOiIxNjA5OTI0MDI0In0=</vt:lpwstr>
  </property>
</Properties>
</file>