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F8A34C">
      <w:pPr>
        <w:rPr>
          <w:rFonts w:hint="eastAsia"/>
          <w:lang w:val="en-US" w:eastAsia="zh"/>
        </w:rPr>
      </w:pPr>
      <w:bookmarkStart w:id="2" w:name="_GoBack"/>
      <w:bookmarkEnd w:id="2"/>
    </w:p>
    <w:p w14:paraId="751A391F">
      <w:pPr>
        <w:pStyle w:val="2"/>
      </w:pPr>
      <w:r>
        <w:t>干式变压器智能制造产线集成系统技术手册</w:t>
      </w:r>
    </w:p>
    <w:p w14:paraId="54299F1E">
      <w:pPr>
        <w:pStyle w:val="3"/>
      </w:pPr>
      <w:r>
        <w:t>一、前言</w:t>
      </w:r>
    </w:p>
    <w:p w14:paraId="63EF5B03">
      <w:pPr>
        <w:pStyle w:val="4"/>
      </w:pPr>
      <w:r>
        <w:t>1.1 手册目的与适用范围</w:t>
      </w:r>
    </w:p>
    <w:p w14:paraId="36209B08">
      <w:r>
        <w:t>本手册旨在为设备工程师、技术操作人员及维护技师提供干式变压器智能制造产线集成系统的系统性技术指导，覆盖产线全生命周期的结构组成、工作原理、操作流程、维护保养及故障诊断等核心环节，确保设备安全稳定运行并满足高精度、柔性化生产需求。手册适用于包含铁芯装配单元、绕组绕线机组、真空干燥罐、智能仓储物流系统等模块的智能制造产线，主要适配10kV-35kV电压等级、50kVA-2500kVA容量的干式变压器生产。</w:t>
      </w:r>
    </w:p>
    <w:p w14:paraId="603BEF97">
      <w:r>
        <w:t>手册的核心应用场景包括产线日常操作培训（如设备启停流程、参数设置）、定期维护计划制定（如轴承更换周期、传感器校准频率）、故障快速排查（如张力波动超标处理）及技术改造参考（如工艺参数优化）。通过本手册，技术人员可系统掌握产线各模块的协同工作机制，将设备故障率控制在0.5次/千小时以下，保障干式变压器装配线的连续高效运行。</w:t>
      </w:r>
    </w:p>
    <w:p w14:paraId="56E82AA2">
      <w:pPr>
        <w:pStyle w:val="4"/>
      </w:pPr>
      <w:r>
        <w:t>1.2 安全注意事项</w:t>
      </w:r>
    </w:p>
    <w:p w14:paraId="2A96CA71">
      <w:r>
        <w:t>干式变压器智能制造产线运行涉及高压电气、精密机械及自动化控制，必须严格遵守以下安全规范：</w:t>
      </w:r>
    </w:p>
    <w:p w14:paraId="46A8044F">
      <w:r>
        <w:rPr>
          <w:b/>
        </w:rPr>
        <w:t>电气安全</w:t>
      </w:r>
      <w:r>
        <w:t>：设备需可靠接地，接地电阻≤4Ω；控制柜防护等级不低于IP54，防止粉尘和水汽侵入；高压作业（如10kV及以上设备检修）时，操作人员必须穿戴绝缘手套（耐电压≥1000V）、绝缘鞋及护目镜，使用绝缘工具，并执行“停电-验电-挂接地线”流程。维修电气部件前必须切断主电源并悬挂“禁止合闸”警示牌，使用绝缘工具（绝缘等级≥1000V）。</w:t>
      </w:r>
    </w:p>
    <w:p w14:paraId="5DF0839E">
      <w:r>
        <w:rPr>
          <w:b/>
        </w:rPr>
        <w:t>机械安全</w:t>
      </w:r>
      <w:r>
        <w:t>：机器人工作区域需设置物理隔离护栏（高度≥1.2m）或安全光幕（响应时间≤15ms），防止人员误入；移动设备（如AGV）急停触发条件为检测到障碍物或按下急停按钮，触发后所有运动部件需在100ms内停止；吊装作业时，负载不得超过设备额定载荷的110%，吊具需定期检查磨损情况（如链条磨损量＞0.2mm时更换）。</w:t>
      </w:r>
    </w:p>
    <w:p w14:paraId="0D236494">
      <w:r>
        <w:rPr>
          <w:b/>
        </w:rPr>
        <w:t>操作安全</w:t>
      </w:r>
      <w:r>
        <w:t>：操作人员必须经过专项培训并考核合格，熟悉各设备的启停流程及紧急停机步骤；启动产线前需确认所有安全装置（急停按钮、限位开关）功能正常；运行中禁止触摸运动部件（如绕线机的旋转部件、机械臂的抓取机构）；处理异常时需先停机并悬挂“禁止合闸”警示牌，禁止带电作业。</w:t>
      </w:r>
    </w:p>
    <w:p w14:paraId="204807EA">
      <w:r>
        <w:rPr>
          <w:b/>
        </w:rPr>
        <w:t>环境安全</w:t>
      </w:r>
      <w:r>
        <w:t>：车间粉尘浓度需控制在≤10mg/m³，配置负压除尘系统；温湿度维持在0-40℃、相对湿度≤85%（无冷凝），避免对电气元件和绝缘材料造成影响；消防设施按每500㎡配置2组ABC干粉灭火器（4kg/组），并定期检查压力值（指针在绿色区域）。</w:t>
      </w:r>
    </w:p>
    <w:p w14:paraId="63788086">
      <w:pPr>
        <w:pStyle w:val="3"/>
      </w:pPr>
      <w:r>
        <w:t>二、设备概述</w:t>
      </w:r>
    </w:p>
    <w:p w14:paraId="3A66F359">
      <w:pPr>
        <w:pStyle w:val="4"/>
      </w:pPr>
      <w:r>
        <w:t>2.1 产线定义与应用领域</w:t>
      </w:r>
    </w:p>
    <w:p w14:paraId="58766B1B">
      <w:r>
        <w:t>干式变压器智能制造产线集成系统是以模块化、数字化、柔性化生产为核心的自动化系统，通过工业物联网架构实现铁芯叠装、绕组绕制、绝缘处理、智能检测等全流程的连续化生产。其核心功能包括多品种产品的快速换型（换型时间≤15分钟）、关键工艺参数的闭环控制（如绕线张力波动±2%）、生产数据的实时采集与追溯（数据采集点位超10000点），满足干式变压器高精度、高一致性的生产需求。</w:t>
      </w:r>
    </w:p>
    <w:p w14:paraId="2F673545">
      <w:r>
        <w:t>在应用场景中，该产线主要适配新能源（海上光伏、陆上风电）、电网（城市配电网）、轨道交通等领域的干式变压器生产，支持心式和壳式两种铁芯结构、铜线和铝线两种导体材料的柔性化切换。典型应用案例显示，相较于传统人工生产，智能化产线可使人均产能提升40%，产品一次合格率从85%提升至98%，库存周转率提升26%。例如，西电济南变压器股份有限公司三期智能化产线通过RGV/AGV物流系统与六轴工业机器人协同，单班产能达15-20台，设备综合利用率（OEE）提升至90%以上。</w:t>
      </w:r>
    </w:p>
    <w:p w14:paraId="7117ACE0">
      <w:pPr>
        <w:pStyle w:val="4"/>
      </w:pPr>
      <w:r>
        <w:t>2.2 产线分类与型号说明</w:t>
      </w:r>
    </w:p>
    <w:p w14:paraId="7717ED42">
      <w:r>
        <w:t>干式变压器智能制造产线可按生产规模、工艺柔性及自动化程度分类：</w:t>
      </w:r>
    </w:p>
    <w:p w14:paraId="2F301C56">
      <w:r>
        <w:rPr>
          <w:b/>
        </w:rPr>
        <w:t>按生产规模</w:t>
      </w:r>
      <w:r>
        <w:t>：</w:t>
      </w:r>
    </w:p>
    <w:p w14:paraId="0E087628">
      <w:pPr>
        <w:numPr>
          <w:ilvl w:val="0"/>
          <w:numId w:val="13"/>
        </w:numPr>
        <w:spacing w:before="0" w:beforeAutospacing="1" w:after="0" w:afterAutospacing="1"/>
        <w:ind w:left="720" w:hanging="360"/>
      </w:pPr>
      <w:r>
        <w:rPr>
          <w:b/>
        </w:rPr>
        <w:t>小型产线</w:t>
      </w:r>
      <w:r>
        <w:t>：年产能5万台以下，适配小容量（50-500kVA）变压器，如配电变压器的标准化生产，设备投资约1000-1500万元。</w:t>
      </w:r>
    </w:p>
    <w:p w14:paraId="29076DD0">
      <w:pPr>
        <w:numPr>
          <w:ilvl w:val="0"/>
          <w:numId w:val="13"/>
        </w:numPr>
        <w:spacing w:before="0" w:beforeAutospacing="1" w:after="0" w:afterAutospacing="1"/>
        <w:ind w:left="720" w:hanging="360"/>
      </w:pPr>
      <w:r>
        <w:rPr>
          <w:b/>
        </w:rPr>
        <w:t>中型产线</w:t>
      </w:r>
      <w:r>
        <w:t>：年产能5-10万台，覆盖主流规格（500-2500kVA），如电网用10kV级变压器，设备投资2000-3000万元。</w:t>
      </w:r>
    </w:p>
    <w:p w14:paraId="4BACA13C">
      <w:pPr>
        <w:numPr>
          <w:ilvl w:val="0"/>
          <w:numId w:val="13"/>
        </w:numPr>
        <w:spacing w:before="0" w:beforeAutospacing="1" w:after="0" w:afterAutospacing="1"/>
        <w:ind w:left="720" w:hanging="360"/>
      </w:pPr>
      <w:r>
        <w:rPr>
          <w:b/>
        </w:rPr>
        <w:t>大型产线</w:t>
      </w:r>
      <w:r>
        <w:t>：年产能10万台以上，支持定制化产品（如风电用35kV级2500kVA变压器），设备投资5000万元以上，配置更多柔性化模块。</w:t>
      </w:r>
    </w:p>
    <w:p w14:paraId="45C6C5F7">
      <w:r>
        <w:rPr>
          <w:b/>
        </w:rPr>
        <w:t>按工艺柔性</w:t>
      </w:r>
      <w:r>
        <w:t>：</w:t>
      </w:r>
    </w:p>
    <w:p w14:paraId="08F2AD4B">
      <w:pPr>
        <w:numPr>
          <w:ilvl w:val="0"/>
          <w:numId w:val="14"/>
        </w:numPr>
        <w:spacing w:before="0" w:beforeAutospacing="1" w:after="0" w:afterAutospacing="1"/>
        <w:ind w:left="720" w:hanging="360"/>
      </w:pPr>
      <w:r>
        <w:rPr>
          <w:b/>
        </w:rPr>
        <w:t>标准型</w:t>
      </w:r>
      <w:r>
        <w:t>：固定生产1-2种产品规格，如单一容量的配电变压器，换型时间30-60分钟，适合大批量生产。</w:t>
      </w:r>
    </w:p>
    <w:p w14:paraId="3EADBD53">
      <w:pPr>
        <w:numPr>
          <w:ilvl w:val="0"/>
          <w:numId w:val="14"/>
        </w:numPr>
        <w:spacing w:before="0" w:beforeAutospacing="1" w:after="0" w:afterAutospacing="1"/>
        <w:ind w:left="720" w:hanging="360"/>
      </w:pPr>
      <w:r>
        <w:rPr>
          <w:b/>
        </w:rPr>
        <w:t>柔性型</w:t>
      </w:r>
      <w:r>
        <w:t>：支持5种以上规格混线生产，通过快速换型（≤15分钟）实现多品种小批量生产，如同时生产光伏、风电用变压器。</w:t>
      </w:r>
    </w:p>
    <w:p w14:paraId="6BFF447B">
      <w:r>
        <w:rPr>
          <w:b/>
        </w:rPr>
        <w:t>按自动化程度</w:t>
      </w:r>
      <w:r>
        <w:t>：</w:t>
      </w:r>
    </w:p>
    <w:p w14:paraId="04B8F6EC">
      <w:pPr>
        <w:numPr>
          <w:ilvl w:val="0"/>
          <w:numId w:val="15"/>
        </w:numPr>
        <w:spacing w:before="0" w:beforeAutospacing="1" w:after="0" w:afterAutospacing="1"/>
        <w:ind w:left="720" w:hanging="360"/>
      </w:pPr>
      <w:r>
        <w:rPr>
          <w:b/>
        </w:rPr>
        <w:t>半自动产线</w:t>
      </w:r>
      <w:r>
        <w:t>：部分工序人工辅助，如人工上下料、质量抽检，自动化率60%-70%，适合中小型企业。</w:t>
      </w:r>
    </w:p>
    <w:p w14:paraId="258C722A">
      <w:pPr>
        <w:numPr>
          <w:ilvl w:val="0"/>
          <w:numId w:val="15"/>
        </w:numPr>
        <w:spacing w:before="0" w:beforeAutospacing="1" w:after="0" w:afterAutospacing="1"/>
        <w:ind w:left="720" w:hanging="360"/>
      </w:pPr>
      <w:r>
        <w:rPr>
          <w:b/>
        </w:rPr>
        <w:t>全自动产线</w:t>
      </w:r>
      <w:r>
        <w:t>：全流程无人化，从原材料入库到成品出库均由设备完成，自动化率≥90%，如金盘科技新能源变压器产线。</w:t>
      </w:r>
    </w:p>
    <w:p w14:paraId="7556E622">
      <w:r>
        <w:rPr>
          <w:b/>
        </w:rPr>
        <w:t>型号命名规则</w:t>
      </w:r>
      <w:r>
        <w:t>：以“GBC-2500/35”为例，“GBC”代表干式变压器智能制造产线，“2500”表示最大生产容量2500kVA，“35”表示最高电压等级35kV。国内主流供应商技术特点：华工科技（视觉检测与机器人应用，定位精度±0.05mm）、天津特变电工（工业物联网集成，与ERP/MES深度交互）、金盘科技（绝缘处理工艺优化，干燥效率提升20%）。</w:t>
      </w:r>
    </w:p>
    <w:p w14:paraId="082BCD27">
      <w:pPr>
        <w:pStyle w:val="4"/>
      </w:pPr>
      <w:r>
        <w:t>2.3 主要技术参数与性能指标</w:t>
      </w:r>
    </w:p>
    <w:p w14:paraId="637595E8">
      <w:r>
        <w:t>产线关键技术参数按“机械性能-电气性能-工艺性能”分类如下：</w:t>
      </w:r>
    </w:p>
    <w:p w14:paraId="17526F9B">
      <w:r>
        <w:rPr>
          <w:b/>
        </w:rPr>
        <w:t>机械性能</w:t>
      </w:r>
      <w:r>
        <w:t>：</w:t>
      </w:r>
    </w:p>
    <w:p w14:paraId="56D2A508">
      <w:pPr>
        <w:numPr>
          <w:ilvl w:val="0"/>
          <w:numId w:val="16"/>
        </w:numPr>
        <w:spacing w:before="0" w:beforeAutospacing="1" w:after="0" w:afterAutospacing="1"/>
        <w:ind w:left="720" w:hanging="360"/>
      </w:pPr>
      <w:r>
        <w:t>铁芯装配单元：定位精度±0.1mm，叠片效率15-20片/分钟，适配硅钢片厚度0.27-0.35mm。</w:t>
      </w:r>
    </w:p>
    <w:p w14:paraId="42E7C2E2">
      <w:pPr>
        <w:numPr>
          <w:ilvl w:val="0"/>
          <w:numId w:val="16"/>
        </w:numPr>
        <w:spacing w:before="0" w:beforeAutospacing="1" w:after="0" w:afterAutospacing="1"/>
        <w:ind w:left="720" w:hanging="360"/>
      </w:pPr>
      <w:r>
        <w:t>绕组绕线机组：排线精度±0.1mm，绕制张力5-15N（可调），导轮径向跳动≤0.03mm。</w:t>
      </w:r>
    </w:p>
    <w:p w14:paraId="3BBAF874">
      <w:pPr>
        <w:numPr>
          <w:ilvl w:val="0"/>
          <w:numId w:val="16"/>
        </w:numPr>
        <w:spacing w:before="0" w:beforeAutospacing="1" w:after="0" w:afterAutospacing="1"/>
        <w:ind w:left="720" w:hanging="360"/>
      </w:pPr>
      <w:r>
        <w:t>真空干燥罐：真空度≤10Pa，加热温度50-180℃（连续可调），搁架承重≥500kg/层。</w:t>
      </w:r>
    </w:p>
    <w:p w14:paraId="3EA99EB0">
      <w:pPr>
        <w:numPr>
          <w:ilvl w:val="0"/>
          <w:numId w:val="16"/>
        </w:numPr>
        <w:spacing w:before="0" w:beforeAutospacing="1" w:after="0" w:afterAutospacing="1"/>
        <w:ind w:left="720" w:hanging="360"/>
      </w:pPr>
      <w:r>
        <w:t>AGV物流系统：定位精度±10mm，运行速度1-2m/s，负载能力1-5吨。</w:t>
      </w:r>
    </w:p>
    <w:p w14:paraId="00865074">
      <w:r>
        <w:rPr>
          <w:b/>
        </w:rPr>
        <w:t>电气性能</w:t>
      </w:r>
      <w:r>
        <w:t>：</w:t>
      </w:r>
    </w:p>
    <w:p w14:paraId="7F882DA0">
      <w:pPr>
        <w:numPr>
          <w:ilvl w:val="0"/>
          <w:numId w:val="17"/>
        </w:numPr>
        <w:spacing w:before="0" w:beforeAutospacing="1" w:after="0" w:afterAutospacing="1"/>
        <w:ind w:left="720" w:hanging="360"/>
      </w:pPr>
      <w:r>
        <w:t>数据采集：设备层采样频率100Hz，通信延迟≤1ms；控制系统响应时间≤50ms。</w:t>
      </w:r>
    </w:p>
    <w:p w14:paraId="41A362FF">
      <w:pPr>
        <w:numPr>
          <w:ilvl w:val="0"/>
          <w:numId w:val="17"/>
        </w:numPr>
        <w:spacing w:before="0" w:beforeAutospacing="1" w:after="0" w:afterAutospacing="1"/>
        <w:ind w:left="720" w:hanging="360"/>
      </w:pPr>
      <w:r>
        <w:t>驱动系统：伺服电机功率0.5-5kW，转速控制精度±0.1%，编码器分辨率1024线。</w:t>
      </w:r>
    </w:p>
    <w:p w14:paraId="29AE397A">
      <w:pPr>
        <w:numPr>
          <w:ilvl w:val="0"/>
          <w:numId w:val="17"/>
        </w:numPr>
        <w:spacing w:before="0" w:beforeAutospacing="1" w:after="0" w:afterAutospacing="1"/>
        <w:ind w:left="720" w:hanging="360"/>
      </w:pPr>
      <w:r>
        <w:t>视觉检测：分辨率≥200万像素，缺陷识别率≥95%，检测速度≥10帧/秒。</w:t>
      </w:r>
    </w:p>
    <w:p w14:paraId="22AB5BDA">
      <w:r>
        <w:rPr>
          <w:b/>
        </w:rPr>
        <w:t>工艺性能</w:t>
      </w:r>
      <w:r>
        <w:t>：</w:t>
      </w:r>
    </w:p>
    <w:p w14:paraId="5DB67963">
      <w:pPr>
        <w:numPr>
          <w:ilvl w:val="0"/>
          <w:numId w:val="18"/>
        </w:numPr>
        <w:spacing w:before="0" w:beforeAutospacing="1" w:after="0" w:afterAutospacing="1"/>
        <w:ind w:left="720" w:hanging="360"/>
      </w:pPr>
      <w:r>
        <w:t>生产效率：单班产能15-20台（8小时），设备综合利用率（OEE）≥90%，换型时间≤15分钟。</w:t>
      </w:r>
    </w:p>
    <w:p w14:paraId="15ED6913">
      <w:pPr>
        <w:numPr>
          <w:ilvl w:val="0"/>
          <w:numId w:val="18"/>
        </w:numPr>
        <w:spacing w:before="0" w:beforeAutospacing="1" w:after="0" w:afterAutospacing="1"/>
        <w:ind w:left="720" w:hanging="360"/>
      </w:pPr>
      <w:r>
        <w:t>质量指标：铁芯叠片系数≥0.96，绕组直流电阻偏差≤±0.5%，绝缘电阻≥1000MΩ（2500V兆欧表测量）。</w:t>
      </w:r>
    </w:p>
    <w:p w14:paraId="7F184C2B">
      <w:pPr>
        <w:numPr>
          <w:ilvl w:val="0"/>
          <w:numId w:val="18"/>
        </w:numPr>
        <w:spacing w:before="0" w:beforeAutospacing="1" w:after="0" w:afterAutospacing="1"/>
        <w:ind w:left="720" w:hanging="360"/>
      </w:pPr>
      <w:r>
        <w:t>能耗与环保：单位产品能耗≤50kWh/台（较传统产线降低16%），噪声≤70dB（距设备1米处）。</w:t>
      </w:r>
    </w:p>
    <w:p w14:paraId="7028D315">
      <w:pPr>
        <w:pStyle w:val="3"/>
      </w:pPr>
      <w:r>
        <w:t>三、结构组成与功能</w:t>
      </w:r>
    </w:p>
    <w:p w14:paraId="417E0439">
      <w:pPr>
        <w:pStyle w:val="4"/>
      </w:pPr>
      <w:r>
        <w:t>3.1 机械系统</w:t>
      </w:r>
    </w:p>
    <w:p w14:paraId="05A4E44E">
      <w:pPr>
        <w:pStyle w:val="5"/>
      </w:pPr>
      <w:r>
        <w:t>3.1.1 铁芯装配单元</w:t>
      </w:r>
    </w:p>
    <w:p w14:paraId="3888703C">
      <w:r>
        <w:t>铁芯装配单元是产线的起始环节，负责硅钢片的自动叠装，主要由上料机器人、叠装平台、视觉定位系统及压力检测装置组成。其核心技术为硅钢片自动定位：200万像素工业相机采集硅钢片纹理与孔洞特征，通过SIFT特征点匹配算法识别定位基准，引导6轴机械臂（重复定位精度±0.05mm）完成抓取与对齐，定位精度达±0.1mm。</w:t>
      </w:r>
    </w:p>
    <w:p w14:paraId="0A723373">
      <w:r>
        <w:t>该单元支持45°全斜接缝叠片工艺，通过不冲孔拉板结构固定铁芯，确保叠片系数≥0.96（降低空载损耗至额定容量的1.0%以下）。叠装过程中，内置压力传感器（精度±0.5N）实时监测叠片紧实度，标准压力500N±50N，当压力偏离时，系统通过PID算法调整机械臂下压力度（下压速度0.1-0.3m/s），保证铁芯密度均匀性。典型叠片效率15-20片/分钟，较传统人工提升3-4倍，适配0.27mm、0.3mm、0.35mm等不同厚度的硅钢片。</w:t>
      </w:r>
    </w:p>
    <w:p w14:paraId="1B5B0DB6">
      <w:pPr>
        <w:pStyle w:val="5"/>
      </w:pPr>
      <w:r>
        <w:t>3.1.2 绕组绕线机组</w:t>
      </w:r>
    </w:p>
    <w:p w14:paraId="5EBBAA6E">
      <w:r>
        <w:t>绕组绕线机组负责线圈的连续绕制，核心由张力闭环控制系统、绝缘纸自动包绕机构及数控绕线机组成。张力闭环控制系统通过“磁粉制动器-张力传感器-PID控制器”实现精准控制：磁粉制动器提供0-50N·m制动力矩，张力传感器（精度±0.1N）实时检测铜线张力，PID控制器（响应时间≤50ms）输出0-10V信号调整制动力矩，将张力波动控制在±2%以内，避免铜线拉伸变形或松垮。</w:t>
      </w:r>
    </w:p>
    <w:p w14:paraId="159F8608">
      <w:r>
        <w:t>绝缘纸自动包绕机构采用多轴协同运动：送料单元通过伺服电机驱动同步带输送绝缘纸，导辊组确保横向偏差≤0.1mm；包绕执行单元搭载3D视觉系统识别线圈轮廓，动态调整包绕角度（0-360°）和进给速度（0.5-2m/min），绝缘层重叠率15%-25%可调。机组适配线径0.8-5mm的铜线或铝线，支持50kVA到2500kVA不同规格线圈绕制，换型时调用预存工艺参数（存储容量≥100组），换型时间≤5分钟。</w:t>
      </w:r>
    </w:p>
    <w:p w14:paraId="6C9482EC">
      <w:pPr>
        <w:pStyle w:val="5"/>
      </w:pPr>
      <w:r>
        <w:t>3.1.3 真空干燥与固化单元</w:t>
      </w:r>
    </w:p>
    <w:p w14:paraId="530E8906">
      <w:r>
        <w:t>真空干燥与固化单元用于去除绕组吸附的水分和挥发物，确保绝缘性能（水分含量≤0.5%）。主体为真空干燥罐，内部多层搁架式结构（每层承重≥500kg），单次可处理1-3台2500kVA变压器。</w:t>
      </w:r>
    </w:p>
    <w:p w14:paraId="3E41B87A">
      <w:r>
        <w:rPr>
          <w:b/>
        </w:rPr>
        <w:t>工作原理</w:t>
      </w:r>
      <w:r>
        <w:t>：通过罗茨泵+机械泵组合将罐内真空度降至≤10Pa，红外加热管（功率30kW）升温至50-180℃（控温精度±2℃），保温8-16小时（根据产品规格调整）。为适配新能源变压器绝缘要求，部分设备增加氮气置换功能：干燥后期通入纯度≥99.99%的氮气，将氧含量控制在≤500ppm，防止绝缘材料高温氧化降解。干燥完成后，系统自动记录工艺曲线（温度-时间-真空度）并上传至MES系统存档。</w:t>
      </w:r>
    </w:p>
    <w:p w14:paraId="34B56BA9">
      <w:pPr>
        <w:pStyle w:val="4"/>
      </w:pPr>
      <w:r>
        <w:t>3.2 电气控制系统</w:t>
      </w:r>
    </w:p>
    <w:p w14:paraId="38D6B174">
      <w:pPr>
        <w:pStyle w:val="5"/>
      </w:pPr>
      <w:r>
        <w:t>3.2.1 工业物联网架构</w:t>
      </w:r>
    </w:p>
    <w:p w14:paraId="4316D4FB">
      <w:r>
        <w:t>产线采用“设备层-边缘层-云端”三级工业物联网架构，实现OT与IT深度融合：</w:t>
      </w:r>
    </w:p>
    <w:p w14:paraId="09073D25">
      <w:pPr>
        <w:numPr>
          <w:ilvl w:val="0"/>
          <w:numId w:val="19"/>
        </w:numPr>
        <w:spacing w:before="0" w:beforeAutospacing="1" w:after="0" w:afterAutospacing="1"/>
        <w:ind w:left="720" w:hanging="360"/>
      </w:pPr>
      <w:r>
        <w:rPr>
          <w:b/>
        </w:rPr>
        <w:t>设备层</w:t>
      </w:r>
      <w:r>
        <w:t>：包含PLC、机器人、传感器等，通过Profinet/CAN总线（传输速率100Mbps）通信，采样频率100Hz，确保实时控制信号快速传输。分布式IO模块（如西门子ET 200SP）接入传感器信号，模拟量精度12位，数字量响应时间≤10μs。</w:t>
      </w:r>
    </w:p>
    <w:p w14:paraId="50635BF4">
      <w:pPr>
        <w:numPr>
          <w:ilvl w:val="0"/>
          <w:numId w:val="19"/>
        </w:numPr>
        <w:spacing w:before="0" w:beforeAutospacing="1" w:after="0" w:afterAutospacing="1"/>
        <w:ind w:left="720" w:hanging="360"/>
      </w:pPr>
      <w:r>
        <w:rPr>
          <w:b/>
        </w:rPr>
        <w:t>边缘层</w:t>
      </w:r>
      <w:r>
        <w:t>：部署工业网关（如华为AR502H），完成数据预处理（滤波、协议转换）和边缘计算（如设备异常预警），支持Modbus TCP/IP、MQTT协议转换，数据处理延迟≤50ms。</w:t>
      </w:r>
    </w:p>
    <w:p w14:paraId="55D43802">
      <w:pPr>
        <w:numPr>
          <w:ilvl w:val="0"/>
          <w:numId w:val="19"/>
        </w:numPr>
        <w:spacing w:before="0" w:beforeAutospacing="1" w:after="0" w:afterAutospacing="1"/>
        <w:ind w:left="720" w:hanging="360"/>
      </w:pPr>
      <w:r>
        <w:rPr>
          <w:b/>
        </w:rPr>
        <w:t>云端</w:t>
      </w:r>
      <w:r>
        <w:t>：MES/WMS系统实现生产调度（工单管理、资源分配）、质量追溯（关键参数记录）和数据分析（OEE计算）。与ERP系统对接，接收销售订单生成生产工单，通过OPC UA协议下发工艺参数至控制层，数据更新周期≤1s。</w:t>
      </w:r>
    </w:p>
    <w:p w14:paraId="32C8945C">
      <w:r>
        <w:t>该架构覆盖95%以上生产环节，当绕组绕制张力异常（超出±3%）时，边缘层50ms内触发报警，推送维修工单至维护人员移动端，响应速度较传统人工巡检提升80%。</w:t>
      </w:r>
    </w:p>
    <w:p w14:paraId="786BB847">
      <w:pPr>
        <w:pStyle w:val="5"/>
      </w:pPr>
      <w:r>
        <w:t>3.2.2 数控编程与视觉检测系统</w:t>
      </w:r>
    </w:p>
    <w:p w14:paraId="07306CB6">
      <w:r>
        <w:rPr>
          <w:b/>
        </w:rPr>
        <w:t>数控编程系统</w:t>
      </w:r>
      <w:r>
        <w:t>：采用模块化程序设计，支持多产品工艺参数快速切换。操作人员通过HMI选择产品型号后，系统自动调用对应参数（如绕线匝数、张力、排线间距），存储容量≥100个版本，支持版本追溯（记录修改时间、人员）。以10kV级2500kVA变压器为例，调用参数后30秒内完成设备准备，换型效率提升60%。</w:t>
      </w:r>
    </w:p>
    <w:p w14:paraId="7E339C5E">
      <w:r>
        <w:rPr>
          <w:b/>
        </w:rPr>
        <w:t>视觉检测系统</w:t>
      </w:r>
      <w:r>
        <w:t>：</w:t>
      </w:r>
    </w:p>
    <w:p w14:paraId="7DF89B06">
      <w:pPr>
        <w:numPr>
          <w:ilvl w:val="0"/>
          <w:numId w:val="20"/>
        </w:numPr>
        <w:spacing w:before="0" w:beforeAutospacing="1" w:after="0" w:afterAutospacing="1"/>
        <w:ind w:left="720" w:hanging="360"/>
      </w:pPr>
      <w:r>
        <w:t>铁芯叠片检测：200万像素CCD相机拍摄叠片表面，SIFT算法识别错位（检测精度0.2mm）、缺片等缺陷，不合格品触发AGV转运至返修区。</w:t>
      </w:r>
    </w:p>
    <w:p w14:paraId="7CBC4C18">
      <w:pPr>
        <w:numPr>
          <w:ilvl w:val="0"/>
          <w:numId w:val="20"/>
        </w:numPr>
        <w:spacing w:before="0" w:beforeAutospacing="1" w:after="0" w:afterAutospacing="1"/>
        <w:ind w:left="720" w:hanging="360"/>
      </w:pPr>
      <w:r>
        <w:t>绕组外径检测：激光轮廓仪扫描线圈外径，精度±0.05mm，与设计值对比偏差超0.1mm时报警。</w:t>
      </w:r>
    </w:p>
    <w:p w14:paraId="65B1BF6B">
      <w:pPr>
        <w:numPr>
          <w:ilvl w:val="0"/>
          <w:numId w:val="20"/>
        </w:numPr>
        <w:spacing w:before="0" w:beforeAutospacing="1" w:after="0" w:afterAutospacing="1"/>
        <w:ind w:left="720" w:hanging="360"/>
      </w:pPr>
      <w:r>
        <w:t>绝缘层检测：紫外线成像技术识别破损或气泡（最小尺寸0.5mm×0.5mm），缺陷识别率≥95%。</w:t>
      </w:r>
    </w:p>
    <w:p w14:paraId="40748297">
      <w:r>
        <w:t>检测数据实时上传至MES系统，形成质量追溯档案，支持产品全生命周期数据查询。</w:t>
      </w:r>
    </w:p>
    <w:p w14:paraId="208D9533">
      <w:pPr>
        <w:pStyle w:val="5"/>
      </w:pPr>
      <w:r>
        <w:t>3.2.3 智能监测系统</w:t>
      </w:r>
    </w:p>
    <w:p w14:paraId="051084B6">
      <w:r>
        <w:t>智能监测系统通过多维度传感器网络实现设备与产品状态监测：</w:t>
      </w:r>
    </w:p>
    <w:p w14:paraId="3C82C9B9">
      <w:pPr>
        <w:numPr>
          <w:ilvl w:val="0"/>
          <w:numId w:val="21"/>
        </w:numPr>
        <w:spacing w:before="0" w:beforeAutospacing="1" w:after="0" w:afterAutospacing="1"/>
        <w:ind w:left="720" w:hanging="360"/>
      </w:pPr>
      <w:r>
        <w:rPr>
          <w:b/>
        </w:rPr>
        <w:t>状态监测</w:t>
      </w:r>
      <w:r>
        <w:t>：温度传感器（PT100，精度±0.5℃）监测绕组、铁芯、电机温度（绕组超140℃报警）；振动传感器（量程±50g）安装于轴承座，监测振动加速度（正常≤1.5g），通过频谱分析判断轴承磨损；电流传感器（霍尔式，精度±1%）识别电机过载或堵转。</w:t>
      </w:r>
    </w:p>
    <w:p w14:paraId="35BF7EF7">
      <w:pPr>
        <w:numPr>
          <w:ilvl w:val="0"/>
          <w:numId w:val="21"/>
        </w:numPr>
        <w:spacing w:before="0" w:beforeAutospacing="1" w:after="0" w:afterAutospacing="1"/>
        <w:ind w:left="720" w:hanging="360"/>
      </w:pPr>
      <w:r>
        <w:rPr>
          <w:b/>
        </w:rPr>
        <w:t>故障预警</w:t>
      </w:r>
      <w:r>
        <w:t>：基于历史数据训练的AI模型预测设备剩余寿命（轴承预测准确率≥90%）；异常时通过声光报警（85dB蜂鸣器+红色警示灯）和工单推送通知维护人员，工单包含故障位置、可能原因及处理建议，平均故障排查时间缩短40%。</w:t>
      </w:r>
    </w:p>
    <w:p w14:paraId="20999BE5">
      <w:pPr>
        <w:pStyle w:val="4"/>
      </w:pPr>
      <w:r>
        <w:t>3.3 智能仓储与物流系统</w:t>
      </w:r>
    </w:p>
    <w:p w14:paraId="19059DD1">
      <w:pPr>
        <w:pStyle w:val="5"/>
      </w:pPr>
      <w:r>
        <w:t>3.3.1 立体仓储系统</w:t>
      </w:r>
    </w:p>
    <w:p w14:paraId="611C81F0">
      <w:r>
        <w:t>由高位立体货架（横梁式，高度8-15m）、堆垛机及仓储管理系统（WMS）组成，用于原材料（硅钢片、铜线）、半成品及成品自动化存储。货架按“先进先出”管理，每个货位配备RFID标签（存储物料信息），堆垛机通过激光定位（精度±3mm）实现货位精准对接，存取效率≥20次/小时。</w:t>
      </w:r>
    </w:p>
    <w:p w14:paraId="2675EEE0">
      <w:r>
        <w:t>WMS系统与ERP、MES实时交互：根据生产计划提前1小时配送硅钢片至铁芯装配单元；实时更新库存数据（准确率≥99.5%），当某物料库存低于安全阈值（如铜线＜3天用量）时自动触发采购申请；支持批次管理，追溯每批物料的入库时间、供应商及质检报告。</w:t>
      </w:r>
    </w:p>
    <w:p w14:paraId="56754217">
      <w:pPr>
        <w:pStyle w:val="5"/>
      </w:pPr>
      <w:r>
        <w:t>3.3.2 AGV/RGV物流系统</w:t>
      </w:r>
    </w:p>
    <w:p w14:paraId="54AEA9C9">
      <w:r>
        <w:t>AGV（自动导引车）与RGV（轨道式穿梭车）负责工序间物料转运：</w:t>
      </w:r>
    </w:p>
    <w:p w14:paraId="40B0F7F9">
      <w:pPr>
        <w:numPr>
          <w:ilvl w:val="0"/>
          <w:numId w:val="22"/>
        </w:numPr>
        <w:spacing w:before="0" w:beforeAutospacing="1" w:after="0" w:afterAutospacing="1"/>
        <w:ind w:left="720" w:hanging="360"/>
      </w:pPr>
      <w:r>
        <w:rPr>
          <w:b/>
        </w:rPr>
        <w:t>AGV</w:t>
      </w:r>
      <w:r>
        <w:t>：激光SLAM导航（定位精度±10mm），负载能力1-5吨，运行速度1-2m/s，支持20台以上多车协同调度。通过A*算法规划最短路径，交叉路口采用“时间窗”机制分配通过时间段（如AGV1在t=10-12s通过，AGV2在t=15-17s通过），避免碰撞。</w:t>
      </w:r>
    </w:p>
    <w:p w14:paraId="6D79124F">
      <w:pPr>
        <w:numPr>
          <w:ilvl w:val="0"/>
          <w:numId w:val="22"/>
        </w:numPr>
        <w:spacing w:before="0" w:beforeAutospacing="1" w:after="0" w:afterAutospacing="1"/>
        <w:ind w:left="720" w:hanging="360"/>
      </w:pPr>
      <w:r>
        <w:rPr>
          <w:b/>
        </w:rPr>
        <w:t>RGV</w:t>
      </w:r>
      <w:r>
        <w:t>：沿轨道运行，定位精度±3mm，适用于长距离直线转运（如从固化单元到检测单元，距离＞100m），速度2-3m/s，输送效率≥30次/小时。</w:t>
      </w:r>
    </w:p>
    <w:p w14:paraId="1C6467D8">
      <w:r>
        <w:t>与生产工位对接时，采用滚筒输送线（高度差≤±2mm）或定位销（直径10mm，配合公差H7/g6），确保物料平稳转运，对接时间≤30秒。</w:t>
      </w:r>
    </w:p>
    <w:p w14:paraId="6632A421">
      <w:pPr>
        <w:pStyle w:val="4"/>
      </w:pPr>
      <w:r>
        <w:t>3.4 质量检测系统</w:t>
      </w:r>
    </w:p>
    <w:p w14:paraId="479C563A">
      <w:r>
        <w:t>质量检测系统覆盖全流程关键工序，确保产品符合标准：</w:t>
      </w:r>
    </w:p>
    <w:p w14:paraId="793F1CDE">
      <w:pPr>
        <w:numPr>
          <w:ilvl w:val="0"/>
          <w:numId w:val="23"/>
        </w:numPr>
        <w:spacing w:before="0" w:beforeAutospacing="1" w:after="0" w:afterAutospacing="1"/>
        <w:ind w:left="720" w:hanging="360"/>
      </w:pPr>
      <w:r>
        <w:rPr>
          <w:b/>
        </w:rPr>
        <w:t>铁芯检测</w:t>
      </w:r>
      <w:r>
        <w:t>：激光测厚仪（精度±1μm）检测硅钢片厚度均匀性；磁通测试仪测量铁芯磁导率（确保空载损耗≤1.0%额定容量）。</w:t>
      </w:r>
    </w:p>
    <w:p w14:paraId="0FCE2914">
      <w:pPr>
        <w:numPr>
          <w:ilvl w:val="0"/>
          <w:numId w:val="23"/>
        </w:numPr>
        <w:spacing w:before="0" w:beforeAutospacing="1" w:after="0" w:afterAutospacing="1"/>
        <w:ind w:left="720" w:hanging="360"/>
      </w:pPr>
      <w:r>
        <w:rPr>
          <w:b/>
        </w:rPr>
        <w:t>绕组检测</w:t>
      </w:r>
      <w:r>
        <w:t>：直流电阻测试仪（精度±0.1%）测量三相电阻不平衡度（≤±2%）；局部放电检测仪（灵敏度1PC）在1.73倍额定电压下检测局部放电量（≤5PC）。</w:t>
      </w:r>
    </w:p>
    <w:p w14:paraId="0B40FCF4">
      <w:pPr>
        <w:numPr>
          <w:ilvl w:val="0"/>
          <w:numId w:val="23"/>
        </w:numPr>
        <w:spacing w:before="0" w:beforeAutospacing="1" w:after="0" w:afterAutospacing="1"/>
        <w:ind w:left="720" w:hanging="360"/>
      </w:pPr>
      <w:r>
        <w:rPr>
          <w:b/>
        </w:rPr>
        <w:t>绝缘检测</w:t>
      </w:r>
      <w:r>
        <w:t>：2500V兆欧表测量绝缘电阻（≥1000MΩ）；介损测试仪（精度±0.1%）检测绝缘介质损耗角正切值（≤0.005）。</w:t>
      </w:r>
    </w:p>
    <w:p w14:paraId="126507D1">
      <w:r>
        <w:t>检测数据实时上传至MES系统，不合格品自动触发剔除流程（AGV转运至返修区），形成质量闭环控制。</w:t>
      </w:r>
    </w:p>
    <w:p w14:paraId="6223A3BA">
      <w:pPr>
        <w:pStyle w:val="3"/>
      </w:pPr>
      <w:r>
        <w:t>四、机械工作原理</w:t>
      </w:r>
    </w:p>
    <w:p w14:paraId="250BB700">
      <w:pPr>
        <w:pStyle w:val="4"/>
      </w:pPr>
      <w:r>
        <w:t>4.1 硅钢片自动定位与叠装原理</w:t>
      </w:r>
    </w:p>
    <w:p w14:paraId="2D97FBB5">
      <w:r>
        <w:t>硅钢片自动定位与叠装通过视觉系统与机械臂协同实现，核心流程：</w:t>
      </w:r>
    </w:p>
    <w:p w14:paraId="13210B94">
      <w:pPr>
        <w:numPr>
          <w:ilvl w:val="0"/>
          <w:numId w:val="24"/>
        </w:numPr>
        <w:spacing w:before="0" w:beforeAutospacing="1" w:after="0" w:afterAutospacing="1"/>
        <w:ind w:left="720" w:hanging="360"/>
      </w:pPr>
      <w:r>
        <w:rPr>
          <w:b/>
        </w:rPr>
        <w:t>视觉定位</w:t>
      </w:r>
      <w:r>
        <w:t>：工业相机（安装于机械臂末端）采集硅钢片图像，预处理（灰度化、滤波）后提取纹理特征和定位孔坐标，SIFT算法与标准模板匹配，计算位置偏差（Δx、Δy、Δθ）并发送至机械臂控制器。</w:t>
      </w:r>
    </w:p>
    <w:p w14:paraId="18450A08">
      <w:pPr>
        <w:numPr>
          <w:ilvl w:val="0"/>
          <w:numId w:val="24"/>
        </w:numPr>
        <w:spacing w:before="0" w:beforeAutospacing="1" w:after="0" w:afterAutospacing="1"/>
        <w:ind w:left="720" w:hanging="360"/>
      </w:pPr>
      <w:r>
        <w:rPr>
          <w:b/>
        </w:rPr>
        <w:t>运动补偿</w:t>
      </w:r>
      <w:r>
        <w:t>：机械臂根据偏差规划抓取-翻转-叠放轨迹：抓取时真空吸盘（吸力0.05-0.1MPa）吸附硅钢片，力传感器（精度±0.5N）检测吸附牢固性；翻转时绕Z轴旋转180°（速度0.5rad/s），确保纹理方向正确；叠放时压力传感器监测叠片压力（500N±50N），PID算法调节下压速度（0.1-0.3m/s），保证紧实度均匀。</w:t>
      </w:r>
    </w:p>
    <w:p w14:paraId="6AD2F3E3">
      <w:r>
        <w:rPr>
          <w:b/>
        </w:rPr>
        <w:t>45°全斜接缝工艺</w:t>
      </w:r>
      <w:r>
        <w:t>：相邻硅钢片45°斜切边搭接，降低铁芯磁阻，较直接缝结构减少空载损耗15%。叠片过程中，不冲孔拉板通过螺栓（预紧力150-200N·m）夹紧铁芯，避免松动导致磁导率不均匀。</w:t>
      </w:r>
    </w:p>
    <w:p w14:paraId="59CAC2CC">
      <w:pPr>
        <w:pStyle w:val="4"/>
      </w:pPr>
      <w:r>
        <w:t>4.2 绕组绕制张力闭环控制原理</w:t>
      </w:r>
    </w:p>
    <w:p w14:paraId="5B30C85E">
      <w:r>
        <w:t>绕组绕制张力闭环控制通过“设定值-检测值-调节值”闭环反馈实现：</w:t>
      </w:r>
    </w:p>
    <w:p w14:paraId="5BFC0A9D">
      <w:pPr>
        <w:numPr>
          <w:ilvl w:val="0"/>
          <w:numId w:val="25"/>
        </w:numPr>
        <w:spacing w:before="0" w:beforeAutospacing="1" w:after="0" w:afterAutospacing="1"/>
        <w:ind w:left="720" w:hanging="360"/>
      </w:pPr>
      <w:r>
        <w:rPr>
          <w:b/>
        </w:rPr>
        <w:t>设定值</w:t>
      </w:r>
      <w:r>
        <w:t>：操作人员根据线径设定目标张力（如线径2mm对应8N）。</w:t>
      </w:r>
    </w:p>
    <w:p w14:paraId="4E3188F7">
      <w:pPr>
        <w:numPr>
          <w:ilvl w:val="0"/>
          <w:numId w:val="25"/>
        </w:numPr>
        <w:spacing w:before="0" w:beforeAutospacing="1" w:after="0" w:afterAutospacing="1"/>
        <w:ind w:left="720" w:hanging="360"/>
      </w:pPr>
      <w:r>
        <w:rPr>
          <w:b/>
        </w:rPr>
        <w:t>检测值</w:t>
      </w:r>
      <w:r>
        <w:t>：张力传感器（安装于绕线机进线端）实时检测铜线张力，输出4-20mA模拟信号至PID控制器。</w:t>
      </w:r>
    </w:p>
    <w:p w14:paraId="3D1DE3C1">
      <w:pPr>
        <w:numPr>
          <w:ilvl w:val="0"/>
          <w:numId w:val="25"/>
        </w:numPr>
        <w:spacing w:before="0" w:beforeAutospacing="1" w:after="0" w:afterAutospacing="1"/>
        <w:ind w:left="720" w:hanging="360"/>
      </w:pPr>
      <w:r>
        <w:rPr>
          <w:b/>
        </w:rPr>
        <w:t>调节值</w:t>
      </w:r>
      <w:r>
        <w:t>：控制器计算偏差（ΔT=设定值-检测值），通过PID算法（比例带50-100%，积分时间0.5-2s）输出0-10V信号至磁粉制动器，调整制动力矩（0-50N·m），使实际张力快速跟踪设定值，稳态误差≤±0.2N。</w:t>
      </w:r>
    </w:p>
    <w:p w14:paraId="31E981E3">
      <w:r>
        <w:rPr>
          <w:b/>
        </w:rPr>
        <w:t>参数自整定</w:t>
      </w:r>
      <w:r>
        <w:t>：针对不同线径自动匹配PID参数——线径增大（如1mm→5mm）时增大比例系数Kp（0.5→1.0）加快响应；线径减小（如5mm→1mm）时增大积分系数Ki（0.1→0.5s⁻¹）消除静态误差，自整定耗时≤30秒，确保不同规格线圈绕制质量一致。</w:t>
      </w:r>
    </w:p>
    <w:p w14:paraId="25DCA9FC">
      <w:pPr>
        <w:pStyle w:val="4"/>
      </w:pPr>
      <w:r>
        <w:t>4.3 绝缘纸自动包绕机构运动学原理</w:t>
      </w:r>
    </w:p>
    <w:p w14:paraId="5564D2DA">
      <w:r>
        <w:t>绝缘纸自动包绕机构通过多轴协同实现均匀包绕，运动学模型基于笛卡尔坐标系：</w:t>
      </w:r>
    </w:p>
    <w:p w14:paraId="545549CE">
      <w:r>
        <w:t>[ x = R \cdot \cos\theta ]</w:t>
      </w:r>
    </w:p>
    <w:p w14:paraId="6AF07854">
      <w:r>
        <w:t>[ y = R \cdot \sin\theta ]</w:t>
      </w:r>
    </w:p>
    <w:p w14:paraId="3D2CD0CA">
      <w:r>
        <w:t>[ z = v \cdot t ]</w:t>
      </w:r>
    </w:p>
    <w:p w14:paraId="0A2987EE">
      <w:r>
        <w:t>其中，R为绕组半径，θ为包绕角度（0-360°连续变化），v为轴向进给速度，t为时间。通过控制θ和z协同变化，实现绝缘纸螺旋式包绕（重叠率15%-25%）。</w:t>
      </w:r>
    </w:p>
    <w:p w14:paraId="1D193B20">
      <w:r>
        <w:rPr>
          <w:b/>
        </w:rPr>
        <w:t>张力维持</w:t>
      </w:r>
      <w:r>
        <w:t>：采用气动阻尼器与摆杆结构，张力增大时摆杆上摆增加进气量（压力0.2-0.6MPa），增大阻力；张力减小时摆杆下摆排气减压，使张力波动控制在±3%以内，避免绝缘纸褶皱或撕裂。</w:t>
      </w:r>
    </w:p>
    <w:p w14:paraId="6B6B405C">
      <w:pPr>
        <w:pStyle w:val="4"/>
      </w:pPr>
      <w:r>
        <w:t>4.4 真空干燥罐传热与传质原理</w:t>
      </w:r>
    </w:p>
    <w:p w14:paraId="19137C38">
      <w:r>
        <w:t>真空干燥罐通过降低压力和升高温度加速水分蒸发，核心基于传热与传质理论：</w:t>
      </w:r>
    </w:p>
    <w:p w14:paraId="5699E997">
      <w:pPr>
        <w:numPr>
          <w:ilvl w:val="0"/>
          <w:numId w:val="26"/>
        </w:numPr>
        <w:spacing w:before="0" w:beforeAutospacing="1" w:after="0" w:afterAutospacing="1"/>
        <w:ind w:left="720" w:hanging="360"/>
      </w:pPr>
      <w:r>
        <w:rPr>
          <w:b/>
        </w:rPr>
        <w:t>传热</w:t>
      </w:r>
      <w:r>
        <w:t>：红外加热管（波长2-15μm）发射红外线，被绝缘材料吸收转化为热能，升温速率2-5℃/min，控温精度±2℃。</w:t>
      </w:r>
    </w:p>
    <w:p w14:paraId="0F2BB021">
      <w:pPr>
        <w:numPr>
          <w:ilvl w:val="0"/>
          <w:numId w:val="26"/>
        </w:numPr>
        <w:spacing w:before="0" w:beforeAutospacing="1" w:after="0" w:afterAutospacing="1"/>
        <w:ind w:left="720" w:hanging="360"/>
      </w:pPr>
      <w:r>
        <w:rPr>
          <w:b/>
        </w:rPr>
        <w:t>传质</w:t>
      </w:r>
      <w:r>
        <w:t>：真空度≤10Pa降低水的饱和蒸汽压（20℃时水饱和蒸汽压0.023MPa，10Pa时沸点降至约10℃），加速水分从材料内部向表面扩散（基于菲克定律），在表面蒸发为水蒸气后被真空泵抽走。</w:t>
      </w:r>
    </w:p>
    <w:p w14:paraId="7EB62E8E">
      <w:r>
        <w:rPr>
          <w:b/>
        </w:rPr>
        <w:t>氮气置换</w:t>
      </w:r>
      <w:r>
        <w:t>：干燥后期通入氮气（流速0.5m/s）带走残留水蒸气，氧含量≤500ppm抑制氧化反应，确保绝缘材料性能稳定（如环氧树脂Tg值≥120℃）。</w:t>
      </w:r>
    </w:p>
    <w:p w14:paraId="7D6C9C63">
      <w:pPr>
        <w:pStyle w:val="3"/>
      </w:pPr>
      <w:r>
        <w:t>五、控制原理</w:t>
      </w:r>
    </w:p>
    <w:p w14:paraId="46FFB15A">
      <w:pPr>
        <w:pStyle w:val="4"/>
      </w:pPr>
      <w:r>
        <w:t>5.1 产线控制系统整体架构</w:t>
      </w:r>
    </w:p>
    <w:p w14:paraId="104D86F9">
      <w:r>
        <w:t>产线采用“集中管理-分散控制”体系，分为管理层、控制层和设备层：</w:t>
      </w:r>
    </w:p>
    <w:p w14:paraId="4D38DA8D">
      <w:pPr>
        <w:numPr>
          <w:ilvl w:val="0"/>
          <w:numId w:val="27"/>
        </w:numPr>
        <w:spacing w:before="0" w:beforeAutospacing="1" w:after="0" w:afterAutospacing="1"/>
        <w:ind w:left="720" w:hanging="360"/>
      </w:pPr>
      <w:r>
        <w:rPr>
          <w:b/>
        </w:rPr>
        <w:t>管理层</w:t>
      </w:r>
      <w:r>
        <w:t>：MES与WMS系统负责生产计划下达、工艺参数管理、质量追溯及设备效率分析。MES与ERP对接接收订单，生成工单并通过OPC UA协议下发工艺参数至控制层。</w:t>
      </w:r>
    </w:p>
    <w:p w14:paraId="6FE773D6">
      <w:pPr>
        <w:numPr>
          <w:ilvl w:val="0"/>
          <w:numId w:val="27"/>
        </w:numPr>
        <w:spacing w:before="0" w:beforeAutospacing="1" w:after="0" w:afterAutospacing="1"/>
        <w:ind w:left="720" w:hanging="360"/>
      </w:pPr>
      <w:r>
        <w:rPr>
          <w:b/>
        </w:rPr>
        <w:t>控制层</w:t>
      </w:r>
      <w:r>
        <w:t>：核心为西门子S7-1500 PLC（主频1.5GHz，内存2MB），通过Profinet总线连接子系统，扫描周期≤1ms；机器人控制器、运动控制器执行逻辑联锁与运动控制（如机械臂轨迹规划）。</w:t>
      </w:r>
    </w:p>
    <w:p w14:paraId="690FD28D">
      <w:pPr>
        <w:numPr>
          <w:ilvl w:val="0"/>
          <w:numId w:val="27"/>
        </w:numPr>
        <w:spacing w:before="0" w:beforeAutospacing="1" w:after="0" w:afterAutospacing="1"/>
        <w:ind w:left="720" w:hanging="360"/>
      </w:pPr>
      <w:r>
        <w:rPr>
          <w:b/>
        </w:rPr>
        <w:t>设备层</w:t>
      </w:r>
      <w:r>
        <w:t>：传感器采集信号（模拟量精度12位，数字量响应≤10μs），执行器（电机、电磁阀）接收指令动作（伺服电机转速控制精度±0.1%，电磁阀响应≤20ms）。</w:t>
      </w:r>
    </w:p>
    <w:p w14:paraId="7BEEF30E">
      <w:r>
        <w:rPr>
          <w:b/>
        </w:rPr>
        <w:t>冗余设计</w:t>
      </w:r>
      <w:r>
        <w:t>：关键控制器双机热备（切换时间≤100ms），通信链路光纤冗余（主备自动切换），电源系统配置UPS（续航≥30分钟），防止数据丢失。</w:t>
      </w:r>
    </w:p>
    <w:p w14:paraId="2AD436F2">
      <w:pPr>
        <w:pStyle w:val="4"/>
      </w:pPr>
      <w:r>
        <w:t>5.2 运动控制与工艺参数闭环控制</w:t>
      </w:r>
    </w:p>
    <w:p w14:paraId="663E038E">
      <w:r>
        <w:rPr>
          <w:b/>
        </w:rPr>
        <w:t>运动控制</w:t>
      </w:r>
      <w:r>
        <w:t>：以铁芯叠装单元为例，机械臂末端位置通过编码器反馈，控制层采用PID+前馈算法：</w:t>
      </w:r>
    </w:p>
    <w:p w14:paraId="1AEF7BC0">
      <w:r>
        <w:t>[ u = K_p \cdot \Delta x + K_i \int \Delta x dt + K_d \frac{d\Delta x}{dt} + K_f \cdot v ]</w:t>
      </w:r>
    </w:p>
    <w:p w14:paraId="454C1111">
      <w:r>
        <w:t>其中，Kp=10-20（比例增益），Ki=0.1-0.5s⁻¹（积分系数），Kd=0-0.2s（微分系数），Kf=0.8-1.0（前馈系数），使定位误差≤±0.1mm，速度波动≤±0.5%。</w:t>
      </w:r>
    </w:p>
    <w:p w14:paraId="33204247">
      <w:r>
        <w:rPr>
          <w:b/>
        </w:rPr>
        <w:t>工艺参数控制</w:t>
      </w:r>
      <w:r>
        <w:t>：如真空干燥温度控制，设定120℃时，PT100传感器实时检测温度，PID算法调节加热管功率（0-30kW），比例带50-100%，积分时间5-10s，微分时间1-2s，控温精度±2℃。多变量耦合系统（如绕线张力与速度）采用解耦控制：建立模型T=k·v+b（k为耦合系数），实时补偿张力设定值，消除速度变化影响。</w:t>
      </w:r>
    </w:p>
    <w:p w14:paraId="402E774F">
      <w:pPr>
        <w:pStyle w:val="4"/>
      </w:pPr>
      <w:r>
        <w:t>5.3 生产调度与物流协同控制</w:t>
      </w:r>
    </w:p>
    <w:p w14:paraId="5093C7FB">
      <w:r>
        <w:rPr>
          <w:b/>
        </w:rPr>
        <w:t>生产调度</w:t>
      </w:r>
      <w:r>
        <w:t>：基于遗传算法优化生产顺序，目标函数最小化生产周期和最大化设备利用率。流程：输入工单→初始化种群→计算适应度（以周期和负载为指标）→选择、交叉、变异→迭代100次输出最优方案。</w:t>
      </w:r>
    </w:p>
    <w:p w14:paraId="27A706E9">
      <w:r>
        <w:rPr>
          <w:b/>
        </w:rPr>
        <w:t>物流协同</w:t>
      </w:r>
      <w:r>
        <w:t>：AGV调度系统实现任务分配（就近原则）、路径规划（A*算法）和交通管制（时间窗机制）。与生产工位衔接：当前工序完成后，工位控制器发送“物料需求”信号，调度系统指派AGV转运，对接完成后反馈“工序完成”信号触发下一工序启动。</w:t>
      </w:r>
    </w:p>
    <w:p w14:paraId="125751D2">
      <w:pPr>
        <w:pStyle w:val="4"/>
      </w:pPr>
      <w:r>
        <w:t>5.4 质量追溯与智能决策原理</w:t>
      </w:r>
    </w:p>
    <w:p w14:paraId="3B582929">
      <w:r>
        <w:rPr>
          <w:b/>
        </w:rPr>
        <w:t>质量追溯</w:t>
      </w:r>
      <w:r>
        <w:t>：每台变压器分配唯一二维码，各工序设备扫码记录加工参数（绕线张力、干燥温度）和检测数据（直流电阻、绝缘电阻），数据存储于MySQL数据库（容量≥1TB），保存期限≥5年，支持全生命周期追溯。</w:t>
      </w:r>
    </w:p>
    <w:p w14:paraId="61B655C4">
      <w:r>
        <w:rPr>
          <w:b/>
        </w:rPr>
        <w:t>智能决策</w:t>
      </w:r>
      <w:r>
        <w:t>：AI模型分析历史数据识别关键参数（如绕线张力与直流电阻相关性），参数偏离最优区间时自动调整工艺；缺陷预测模型根据张力波动预测绝缘层缺陷（准确率≥85%），提前干预减少不合格品。</w:t>
      </w:r>
    </w:p>
    <w:p w14:paraId="658A2C70">
      <w:pPr>
        <w:pStyle w:val="3"/>
      </w:pPr>
      <w:r>
        <w:t>六、操作与维护保养</w:t>
      </w:r>
    </w:p>
    <w:p w14:paraId="150FD574">
      <w:pPr>
        <w:pStyle w:val="4"/>
      </w:pPr>
      <w:r>
        <w:t>6.1 基本操作流程</w:t>
      </w:r>
    </w:p>
    <w:p w14:paraId="409B0208">
      <w:pPr>
        <w:pStyle w:val="5"/>
      </w:pPr>
      <w:r>
        <w:t>6.1.1 开机准备与系统启动</w:t>
      </w:r>
    </w:p>
    <w:p w14:paraId="3B1E474D">
      <w:r>
        <w:rPr>
          <w:b/>
        </w:rPr>
        <w:t>开机前检查（操作员执行，每班1次）</w:t>
      </w:r>
      <w:r>
        <w:t>：</w:t>
      </w:r>
    </w:p>
    <w:p w14:paraId="31638BA3">
      <w:pPr>
        <w:numPr>
          <w:ilvl w:val="0"/>
          <w:numId w:val="28"/>
        </w:numPr>
        <w:spacing w:before="0" w:beforeAutospacing="1" w:after="0" w:afterAutospacing="1"/>
        <w:ind w:left="720" w:hanging="360"/>
      </w:pPr>
      <w:r>
        <w:t>环境检查：温湿度（0-40℃、≤85%RH）、粉尘浓度（≤10mg/m³）、消防通道畅通。</w:t>
      </w:r>
    </w:p>
    <w:p w14:paraId="5C9F9860">
      <w:pPr>
        <w:numPr>
          <w:ilvl w:val="0"/>
          <w:numId w:val="28"/>
        </w:numPr>
        <w:spacing w:before="0" w:beforeAutospacing="1" w:after="0" w:afterAutospacing="1"/>
        <w:ind w:left="720" w:hanging="360"/>
      </w:pPr>
      <w:r>
        <w:t>设备检查：机械臂回零、AGV在位、硅钢片/铜线库存充足；程序参数调用正确产品型号；急停按钮复位、安全光幕无遮挡。</w:t>
      </w:r>
    </w:p>
    <w:p w14:paraId="4FE40DFA">
      <w:pPr>
        <w:numPr>
          <w:ilvl w:val="0"/>
          <w:numId w:val="28"/>
        </w:numPr>
        <w:spacing w:before="0" w:beforeAutospacing="1" w:after="0" w:afterAutospacing="1"/>
        <w:ind w:left="720" w:hanging="360"/>
      </w:pPr>
      <w:r>
        <w:t>电气检查：总电源电压380V±10%，控制柜指示灯正常，电池电量SOC≥20%。</w:t>
      </w:r>
    </w:p>
    <w:p w14:paraId="3A34EED8">
      <w:r>
        <w:rPr>
          <w:b/>
        </w:rPr>
        <w:t>系统启动流程</w:t>
      </w:r>
      <w:r>
        <w:t>：</w:t>
      </w:r>
    </w:p>
    <w:p w14:paraId="7CD43B59">
      <w:pPr>
        <w:numPr>
          <w:ilvl w:val="0"/>
          <w:numId w:val="29"/>
        </w:numPr>
        <w:spacing w:before="0" w:beforeAutospacing="1" w:after="0" w:afterAutospacing="1"/>
        <w:ind w:left="720" w:hanging="360"/>
      </w:pPr>
      <w:r>
        <w:t>合上总电源开关→依次启动控制柜电源（PLC、驱动器）→各子系统初始化（机械臂回零、AGV启动）。</w:t>
      </w:r>
    </w:p>
    <w:p w14:paraId="299F265B">
      <w:pPr>
        <w:numPr>
          <w:ilvl w:val="0"/>
          <w:numId w:val="29"/>
        </w:numPr>
        <w:spacing w:before="0" w:beforeAutospacing="1" w:after="0" w:afterAutospacing="1"/>
        <w:ind w:left="720" w:hanging="360"/>
      </w:pPr>
      <w:r>
        <w:t>HMI确认“系统就绪”→启动空载试运行（各设备单动测试30秒，无异响）。</w:t>
      </w:r>
    </w:p>
    <w:p w14:paraId="2454C5E1">
      <w:pPr>
        <w:numPr>
          <w:ilvl w:val="0"/>
          <w:numId w:val="29"/>
        </w:numPr>
        <w:spacing w:before="0" w:beforeAutospacing="1" w:after="0" w:afterAutospacing="1"/>
        <w:ind w:left="720" w:hanging="360"/>
      </w:pPr>
      <w:r>
        <w:t>试运行正常后，MES下发工单→启动自动生产。</w:t>
      </w:r>
    </w:p>
    <w:p w14:paraId="1E857C6C">
      <w:r>
        <w:rPr>
          <w:b/>
        </w:rPr>
        <w:t>初始化失败处理</w:t>
      </w:r>
      <w:r>
        <w:t>：机械臂回零失败检查编码器线缆（插头紧固）和零点开关；AGV通信失败检查Wi-Fi信号（RSSI≥-75dBm）和IP地址（无冲突）。</w:t>
      </w:r>
    </w:p>
    <w:p w14:paraId="64428459">
      <w:pPr>
        <w:pStyle w:val="5"/>
      </w:pPr>
      <w:r>
        <w:t>6.1.2 生产任务执行与监控</w:t>
      </w:r>
    </w:p>
    <w:p w14:paraId="6FE8C789">
      <w:r>
        <w:rPr>
          <w:b/>
        </w:rPr>
        <w:t>任务执行</w:t>
      </w:r>
      <w:r>
        <w:t>：工单下发后，系统自动调用工艺参数（绕线张力、干燥温度），各设备按顺序执行铁芯叠装→绕组绕制→真空干燥→质量检测→入库。</w:t>
      </w:r>
    </w:p>
    <w:p w14:paraId="5FE13430">
      <w:r>
        <w:rPr>
          <w:b/>
        </w:rPr>
        <w:t>实时监控</w:t>
      </w:r>
      <w:r>
        <w:t>：HMI显示生产进度（工单完成百分比）、设备状态（绿色运行、黄色待机、红色故障）、关键参数（绕线张力波动±2%、干燥温度±2℃）。故障时显示代码（如“E012”张力传感器故障），触发声光报警。</w:t>
      </w:r>
    </w:p>
    <w:p w14:paraId="6FA24BEF">
      <w:r>
        <w:rPr>
          <w:b/>
        </w:rPr>
        <w:t>异常处理</w:t>
      </w:r>
      <w:r>
        <w:t>：参数超差时系统自动暂停，操作人员检查传感器和执行器；质量缺陷时HMI下达“返工”指令，AGV转运至返修区，系统记录缺陷信息（时间、设备、参数）。</w:t>
      </w:r>
    </w:p>
    <w:p w14:paraId="4D09DCF1">
      <w:pPr>
        <w:pStyle w:val="5"/>
      </w:pPr>
      <w:r>
        <w:t>6.1.3 停机与关机流程</w:t>
      </w:r>
    </w:p>
    <w:p w14:paraId="608EE673">
      <w:r>
        <w:rPr>
          <w:b/>
        </w:rPr>
        <w:t>正常停机</w:t>
      </w:r>
      <w:r>
        <w:t>：工单完成后，系统执行“结束流程”（物料清空、设备复位）→依次停止子系统→关闭控制柜电源→断开总电源。</w:t>
      </w:r>
    </w:p>
    <w:p w14:paraId="337C20E4">
      <w:r>
        <w:rPr>
          <w:b/>
        </w:rPr>
        <w:t>紧急停机</w:t>
      </w:r>
      <w:r>
        <w:t>：遇故障或安全事件按下急停按钮，系统切断所有运动部件电源，检查故障后复位急停并重启。</w:t>
      </w:r>
    </w:p>
    <w:p w14:paraId="688879DB">
      <w:r>
        <w:rPr>
          <w:b/>
        </w:rPr>
        <w:t>长期停机（＞7天）</w:t>
      </w:r>
      <w:r>
        <w:t>：清洁设备表面和传感器镜头；断开电源并悬挂警示牌；运动部件加注润滑脂（锂基NLGI 2级）；密封裸露接口防止灰尘进入。</w:t>
      </w:r>
    </w:p>
    <w:p w14:paraId="1617F438">
      <w:pPr>
        <w:pStyle w:val="4"/>
      </w:pPr>
      <w:r>
        <w:t>6.2 维护保养规范</w:t>
      </w:r>
    </w:p>
    <w:p w14:paraId="3ED69D77">
      <w:pPr>
        <w:pStyle w:val="5"/>
      </w:pPr>
      <w:r>
        <w:t>6.2.1 日常与月度维护</w:t>
      </w:r>
    </w:p>
    <w:p w14:paraId="2045E9F4">
      <w:r>
        <w:rPr>
          <w:b/>
        </w:rPr>
        <w:t>日常维护（每班1次）</w:t>
      </w:r>
      <w:r>
        <w:t>：</w:t>
      </w:r>
    </w:p>
    <w:p w14:paraId="6588EE05">
      <w:pPr>
        <w:numPr>
          <w:ilvl w:val="0"/>
          <w:numId w:val="30"/>
        </w:numPr>
        <w:spacing w:before="0" w:beforeAutospacing="1" w:after="0" w:afterAutospacing="1"/>
        <w:ind w:left="720" w:hanging="360"/>
      </w:pPr>
      <w:r>
        <w:t>清洁：干布擦拭操作面板、传感器镜头，压缩空气（0.4-0.6MPa）吹扫车体缝隙灰尘。</w:t>
      </w:r>
    </w:p>
    <w:p w14:paraId="60DDD72E">
      <w:pPr>
        <w:numPr>
          <w:ilvl w:val="0"/>
          <w:numId w:val="30"/>
        </w:numPr>
        <w:spacing w:before="0" w:beforeAutospacing="1" w:after="0" w:afterAutospacing="1"/>
        <w:ind w:left="720" w:hanging="360"/>
      </w:pPr>
      <w:r>
        <w:t>检查：电池电压（SOC≥20%）、液压系统无渗漏、轮胎气压（0.6-0.8MPa）、制动踏板行程（20-30mm）。</w:t>
      </w:r>
    </w:p>
    <w:p w14:paraId="3585A83C">
      <w:pPr>
        <w:numPr>
          <w:ilvl w:val="0"/>
          <w:numId w:val="30"/>
        </w:numPr>
        <w:spacing w:before="0" w:beforeAutospacing="1" w:after="0" w:afterAutospacing="1"/>
        <w:ind w:left="720" w:hanging="360"/>
      </w:pPr>
      <w:r>
        <w:t>功能测试：急停按钮、喇叭、前后灯正常；货叉升降、转向动作顺畅。</w:t>
      </w:r>
    </w:p>
    <w:p w14:paraId="16F91CBA">
      <w:r>
        <w:rPr>
          <w:b/>
        </w:rPr>
        <w:t>月度维护（技术员执行）</w:t>
      </w:r>
      <w:r>
        <w:t>：</w:t>
      </w:r>
    </w:p>
    <w:p w14:paraId="5EA8BDA8">
      <w:pPr>
        <w:numPr>
          <w:ilvl w:val="0"/>
          <w:numId w:val="31"/>
        </w:numPr>
        <w:spacing w:before="0" w:beforeAutospacing="1" w:after="0" w:afterAutospacing="1"/>
        <w:ind w:left="720" w:hanging="360"/>
      </w:pPr>
      <w:r>
        <w:t>电气：电池连接端子紧固（扭矩15-20N·m），控制器散热风扇清洁（转速≥2000r/min）。</w:t>
      </w:r>
    </w:p>
    <w:p w14:paraId="3728DB0F">
      <w:pPr>
        <w:numPr>
          <w:ilvl w:val="0"/>
          <w:numId w:val="31"/>
        </w:numPr>
        <w:spacing w:before="0" w:beforeAutospacing="1" w:after="0" w:afterAutospacing="1"/>
        <w:ind w:left="720" w:hanging="360"/>
      </w:pPr>
      <w:r>
        <w:t>机械：门架滚轮润滑（锂基脂NLGI 2级，每个0.5g）；链条张紧度（下垂量20-30mm/1m跨度）；制动片厚度（≥5mm）。</w:t>
      </w:r>
    </w:p>
    <w:p w14:paraId="4D80EAA4">
      <w:pPr>
        <w:numPr>
          <w:ilvl w:val="0"/>
          <w:numId w:val="31"/>
        </w:numPr>
        <w:spacing w:before="0" w:beforeAutospacing="1" w:after="0" w:afterAutospacing="1"/>
        <w:ind w:left="720" w:hanging="360"/>
      </w:pPr>
      <w:r>
        <w:t>液压：液压油位（油镜1/2-2/3），多路阀阀芯动作灵活，无异响。</w:t>
      </w:r>
    </w:p>
    <w:p w14:paraId="0636AF76">
      <w:pPr>
        <w:pStyle w:val="5"/>
      </w:pPr>
      <w:r>
        <w:t>6.2.2 季度与年度维护</w:t>
      </w:r>
    </w:p>
    <w:p w14:paraId="56824883">
      <w:r>
        <w:rPr>
          <w:b/>
        </w:rPr>
        <w:t>季度维护（工程师执行）</w:t>
      </w:r>
      <w:r>
        <w:t>：</w:t>
      </w:r>
    </w:p>
    <w:p w14:paraId="2A10BB31">
      <w:pPr>
        <w:numPr>
          <w:ilvl w:val="0"/>
          <w:numId w:val="32"/>
        </w:numPr>
        <w:spacing w:before="0" w:beforeAutospacing="1" w:after="0" w:afterAutospacing="1"/>
        <w:ind w:left="720" w:hanging="360"/>
      </w:pPr>
      <w:r>
        <w:t>电气：电机绝缘电阻（冷态≥1MΩ）；传感器校准（高度编码器零点、激光扫描仪距离）；CAN总线通信测试（信号强度≥-75dBm）。</w:t>
      </w:r>
    </w:p>
    <w:p w14:paraId="2B2E0FA5">
      <w:pPr>
        <w:numPr>
          <w:ilvl w:val="0"/>
          <w:numId w:val="32"/>
        </w:numPr>
        <w:spacing w:before="0" w:beforeAutospacing="1" w:after="0" w:afterAutospacing="1"/>
        <w:ind w:left="720" w:hanging="360"/>
      </w:pPr>
      <w:r>
        <w:t>机械：转向角校准（左右偏差≤±1°）；货叉水平度（左右高度差≤10mm）；轴承游隙（驱动轮≤0.1mm）。</w:t>
      </w:r>
    </w:p>
    <w:p w14:paraId="780B6031">
      <w:pPr>
        <w:numPr>
          <w:ilvl w:val="0"/>
          <w:numId w:val="32"/>
        </w:numPr>
        <w:spacing w:before="0" w:beforeAutospacing="1" w:after="0" w:afterAutospacing="1"/>
        <w:ind w:left="720" w:hanging="360"/>
      </w:pPr>
      <w:r>
        <w:t>液压：更换回油滤芯（10μm，压差＞0.15MPa提前更换）；系统压力测试（起升压力16MPa）。</w:t>
      </w:r>
    </w:p>
    <w:p w14:paraId="596F852D">
      <w:r>
        <w:rPr>
          <w:b/>
        </w:rPr>
        <w:t>年度维护（专业团队执行）</w:t>
      </w:r>
      <w:r>
        <w:t>：</w:t>
      </w:r>
    </w:p>
    <w:p w14:paraId="71951892">
      <w:pPr>
        <w:numPr>
          <w:ilvl w:val="0"/>
          <w:numId w:val="33"/>
        </w:numPr>
        <w:spacing w:before="0" w:beforeAutospacing="1" w:after="0" w:afterAutospacing="1"/>
        <w:ind w:left="720" w:hanging="360"/>
      </w:pPr>
      <w:r>
        <w:t>电机检修：清理换向器碳粉，更换轴承（7310C角接触球轴承），电枢绕组电阻偏差≤5%。</w:t>
      </w:r>
    </w:p>
    <w:p w14:paraId="1685585A">
      <w:pPr>
        <w:numPr>
          <w:ilvl w:val="0"/>
          <w:numId w:val="33"/>
        </w:numPr>
        <w:spacing w:before="0" w:beforeAutospacing="1" w:after="0" w:afterAutospacing="1"/>
        <w:ind w:left="720" w:hanging="360"/>
      </w:pPr>
      <w:r>
        <w:t>液压系统：更换液压油（ISO VG46抗磨液压油），清洗油箱；油缸密封件更换（氟橡胶，耐温-20-120℃）。</w:t>
      </w:r>
    </w:p>
    <w:p w14:paraId="6365104E">
      <w:pPr>
        <w:numPr>
          <w:ilvl w:val="0"/>
          <w:numId w:val="33"/>
        </w:numPr>
        <w:spacing w:before="0" w:beforeAutospacing="1" w:after="0" w:afterAutospacing="1"/>
        <w:ind w:left="720" w:hanging="360"/>
      </w:pPr>
      <w:r>
        <w:t>电气系统：BMS参数校准（SOC、SOH）；电池容量测试（放电至20%，容量＜80%时维护或更换）。</w:t>
      </w:r>
    </w:p>
    <w:p w14:paraId="20E0BF27">
      <w:pPr>
        <w:pStyle w:val="4"/>
      </w:pPr>
      <w:r>
        <w:t>6.3 关键部件维护要点</w:t>
      </w:r>
    </w:p>
    <w:p w14:paraId="0BA3EF13">
      <w:pPr>
        <w:pStyle w:val="5"/>
      </w:pPr>
      <w:r>
        <w:t>6.3.1 电池维护</w:t>
      </w:r>
    </w:p>
    <w:p w14:paraId="07A4F782">
      <w:pPr>
        <w:numPr>
          <w:ilvl w:val="0"/>
          <w:numId w:val="34"/>
        </w:numPr>
        <w:spacing w:before="0" w:beforeAutospacing="1" w:after="0" w:afterAutospacing="1"/>
        <w:ind w:left="720" w:hanging="360"/>
      </w:pPr>
      <w:r>
        <w:t>充电：使用原厂充电器，环境温度15-35℃，避免过充（充满后断电）和过放（SOC＜20%时停止使用）。</w:t>
      </w:r>
    </w:p>
    <w:p w14:paraId="6FD7A4F7">
      <w:pPr>
        <w:numPr>
          <w:ilvl w:val="0"/>
          <w:numId w:val="34"/>
        </w:numPr>
        <w:spacing w:before="0" w:beforeAutospacing="1" w:after="0" w:afterAutospacing="1"/>
        <w:ind w:left="720" w:hanging="360"/>
      </w:pPr>
      <w:r>
        <w:t>均衡：每月均衡充电1次，消除单体电压差（≤50mV）。</w:t>
      </w:r>
    </w:p>
    <w:p w14:paraId="77EE1877">
      <w:pPr>
        <w:numPr>
          <w:ilvl w:val="0"/>
          <w:numId w:val="34"/>
        </w:numPr>
        <w:spacing w:before="0" w:beforeAutospacing="1" w:after="0" w:afterAutospacing="1"/>
        <w:ind w:left="720" w:hanging="360"/>
      </w:pPr>
      <w:r>
        <w:t>清洁：每周擦拭电池表面，检查端子无腐蚀（涂抹凡士林防氧化），电缆无破损（绝缘层完好）。</w:t>
      </w:r>
    </w:p>
    <w:p w14:paraId="6DBFEEE2">
      <w:pPr>
        <w:pStyle w:val="5"/>
      </w:pPr>
      <w:r>
        <w:t>6.3.2 液压系统维护</w:t>
      </w:r>
    </w:p>
    <w:p w14:paraId="3AB0C334">
      <w:pPr>
        <w:numPr>
          <w:ilvl w:val="0"/>
          <w:numId w:val="35"/>
        </w:numPr>
        <w:spacing w:before="0" w:beforeAutospacing="1" w:after="0" w:afterAutospacing="1"/>
        <w:ind w:left="720" w:hanging="360"/>
      </w:pPr>
      <w:r>
        <w:t>油液管理：使用ISO VG46抗磨液压油，过滤后加入（精度≤10μm），污染度NAS 8级以下。</w:t>
      </w:r>
    </w:p>
    <w:p w14:paraId="21C49858">
      <w:pPr>
        <w:numPr>
          <w:ilvl w:val="0"/>
          <w:numId w:val="35"/>
        </w:numPr>
        <w:spacing w:before="0" w:beforeAutospacing="1" w:after="0" w:afterAutospacing="1"/>
        <w:ind w:left="720" w:hanging="360"/>
      </w:pPr>
      <w:r>
        <w:t>泄漏处理：接头渗漏时紧固（扭矩15-20N·m）或更换密封件；油缸渗漏时更换防尘罩和活塞密封件。</w:t>
      </w:r>
    </w:p>
    <w:p w14:paraId="347415A9">
      <w:pPr>
        <w:numPr>
          <w:ilvl w:val="0"/>
          <w:numId w:val="35"/>
        </w:numPr>
        <w:spacing w:before="0" w:beforeAutospacing="1" w:after="0" w:afterAutospacing="1"/>
        <w:ind w:left="720" w:hanging="360"/>
      </w:pPr>
      <w:r>
        <w:t>排气：空载升降货叉3-5次，从油箱透气孔排出空气，油位不足时补充。</w:t>
      </w:r>
    </w:p>
    <w:p w14:paraId="14058AB4">
      <w:pPr>
        <w:pStyle w:val="5"/>
      </w:pPr>
      <w:r>
        <w:t>6.3.3 电气系统维护</w:t>
      </w:r>
    </w:p>
    <w:p w14:paraId="2A0F6D5C">
      <w:pPr>
        <w:numPr>
          <w:ilvl w:val="0"/>
          <w:numId w:val="36"/>
        </w:numPr>
        <w:spacing w:before="0" w:beforeAutospacing="1" w:after="0" w:afterAutospacing="1"/>
        <w:ind w:left="720" w:hanging="360"/>
      </w:pPr>
      <w:r>
        <w:t>PLC与驱动器：每月检查PLC电池电压（≥3V），备份程序；清洁驱动器散热片，风扇转速≥2000r/min。</w:t>
      </w:r>
    </w:p>
    <w:p w14:paraId="5E0CC81A">
      <w:pPr>
        <w:numPr>
          <w:ilvl w:val="0"/>
          <w:numId w:val="36"/>
        </w:numPr>
        <w:spacing w:before="0" w:beforeAutospacing="1" w:after="0" w:afterAutospacing="1"/>
        <w:ind w:left="720" w:hanging="360"/>
      </w:pPr>
      <w:r>
        <w:t>传感器：每周清洁镜头，每月校准（高度编码器、激光扫描仪），确保检测精度。</w:t>
      </w:r>
    </w:p>
    <w:p w14:paraId="04516413">
      <w:pPr>
        <w:numPr>
          <w:ilvl w:val="0"/>
          <w:numId w:val="36"/>
        </w:numPr>
        <w:spacing w:before="0" w:beforeAutospacing="1" w:after="0" w:afterAutospacing="1"/>
        <w:ind w:left="720" w:hanging="360"/>
      </w:pPr>
      <w:r>
        <w:t>网络：检查Profinet光纤链路（光功率≥-15dBm），交换机端口无错误帧，流量≤70%带宽。</w:t>
      </w:r>
    </w:p>
    <w:p w14:paraId="58A17480">
      <w:pPr>
        <w:pStyle w:val="3"/>
      </w:pPr>
      <w:r>
        <w:t>七、常见故障诊断与处理</w:t>
      </w:r>
    </w:p>
    <w:p w14:paraId="7D20186B">
      <w:pPr>
        <w:pStyle w:val="4"/>
      </w:pPr>
      <w:r>
        <w:t>7.1 机械系统故障</w:t>
      </w:r>
    </w:p>
    <w:p w14:paraId="2B94D81E">
      <w:pPr>
        <w:pStyle w:val="5"/>
      </w:pPr>
      <w:r>
        <w:t>7.1.1 铁芯叠装定位偏差（＞±0.1mm）</w:t>
      </w:r>
    </w:p>
    <w:p w14:paraId="66AA9615">
      <w:r>
        <w:rPr>
          <w:b/>
        </w:rPr>
        <w:t>现象</w:t>
      </w:r>
      <w:r>
        <w:t>：视觉系统报“定位失败”，叠片边缘错位超0.2mm，故障代码“E001”。</w:t>
      </w:r>
    </w:p>
    <w:p w14:paraId="12F1C6EE">
      <w:r>
        <w:rPr>
          <w:b/>
        </w:rPr>
        <w:t>成因</w:t>
      </w:r>
      <w:r>
        <w:t>：相机镜头污染（粉尘覆盖）、硅钢片油污（影响特征提取）、机械臂关节松动（重复定位精度下降）、定位模板老化。</w:t>
      </w:r>
    </w:p>
    <w:p w14:paraId="2AA38DE3">
      <w:r>
        <w:rPr>
          <w:b/>
        </w:rPr>
        <w:t>处理</w:t>
      </w:r>
      <w:r>
        <w:t>：</w:t>
      </w:r>
    </w:p>
    <w:p w14:paraId="218C9F59">
      <w:pPr>
        <w:numPr>
          <w:ilvl w:val="0"/>
          <w:numId w:val="37"/>
        </w:numPr>
        <w:spacing w:before="0" w:beforeAutospacing="1" w:after="0" w:afterAutospacing="1"/>
        <w:ind w:left="720" w:hanging="360"/>
      </w:pPr>
      <w:r>
        <w:t>清洁镜头：专用镜头纸蘸无水乙醇顺时针擦拭，去除粉尘。</w:t>
      </w:r>
    </w:p>
    <w:p w14:paraId="0B1EADE4">
      <w:pPr>
        <w:numPr>
          <w:ilvl w:val="0"/>
          <w:numId w:val="37"/>
        </w:numPr>
        <w:spacing w:before="0" w:beforeAutospacing="1" w:after="0" w:afterAutospacing="1"/>
        <w:ind w:left="720" w:hanging="360"/>
      </w:pPr>
      <w:r>
        <w:t>校准机械臂：激光跟踪仪补偿关节间隙，恢复重复定位精度至±0.０5mm。</w:t>
      </w:r>
    </w:p>
    <w:p w14:paraId="716A2DF2">
      <w:pPr>
        <w:numPr>
          <w:ilvl w:val="0"/>
          <w:numId w:val="37"/>
        </w:numPr>
        <w:spacing w:before="0" w:beforeAutospacing="1" w:after="0" w:afterAutospacing="1"/>
        <w:ind w:left="720" w:hanging="360"/>
      </w:pPr>
      <w:r>
        <w:t>更新模板：拍摄新硅钢片图像，重新训练特征模型。</w:t>
      </w:r>
    </w:p>
    <w:p w14:paraId="2AF2B1F5">
      <w:r>
        <w:rPr>
          <w:b/>
        </w:rPr>
        <w:t>预防</w:t>
      </w:r>
      <w:r>
        <w:t>：每日清洁镜头，每周检查机械臂关节螺栓（扭矩25N·m），每月更新模板。</w:t>
      </w:r>
    </w:p>
    <w:p w14:paraId="41BA6823">
      <w:pPr>
        <w:pStyle w:val="5"/>
      </w:pPr>
      <w:r>
        <w:t>7.1.2 绕组绕线张力波动（偏差＞±3%）</w:t>
      </w:r>
    </w:p>
    <w:p w14:paraId="3B2B6BE2">
      <w:r>
        <w:rPr>
          <w:b/>
        </w:rPr>
        <w:t>现象</w:t>
      </w:r>
      <w:r>
        <w:t>：HMI显示张力波动大（如设定8N，实际6-10N），绕组表面松垮或拉伸，代码“E012”。</w:t>
      </w:r>
    </w:p>
    <w:p w14:paraId="7A2C717D">
      <w:r>
        <w:rPr>
          <w:b/>
        </w:rPr>
        <w:t>成因</w:t>
      </w:r>
      <w:r>
        <w:t>：磁粉制动器老化（线性度变差）、张力传感器漂移、导轮卡顿（轴承缺油）、PID参数不匹配。</w:t>
      </w:r>
    </w:p>
    <w:p w14:paraId="7E7A935D">
      <w:r>
        <w:rPr>
          <w:b/>
        </w:rPr>
        <w:t>处理</w:t>
      </w:r>
      <w:r>
        <w:t>：</w:t>
      </w:r>
    </w:p>
    <w:p w14:paraId="50DF7BD2">
      <w:pPr>
        <w:numPr>
          <w:ilvl w:val="0"/>
          <w:numId w:val="38"/>
        </w:numPr>
        <w:spacing w:before="0" w:beforeAutospacing="1" w:after="0" w:afterAutospacing="1"/>
        <w:ind w:left="720" w:hanging="360"/>
      </w:pPr>
      <w:r>
        <w:t>测试制动器：施加0-10V信号，测量制动力矩线性度（偏差＞5%时更换）。</w:t>
      </w:r>
    </w:p>
    <w:p w14:paraId="217C7CEB">
      <w:pPr>
        <w:numPr>
          <w:ilvl w:val="0"/>
          <w:numId w:val="38"/>
        </w:numPr>
        <w:spacing w:before="0" w:beforeAutospacing="1" w:after="0" w:afterAutospacing="1"/>
        <w:ind w:left="720" w:hanging="360"/>
      </w:pPr>
      <w:r>
        <w:t>校准传感器：空载按“校准”按钮，加载标准砝码5N、10N，误差≤±0.1N。</w:t>
      </w:r>
    </w:p>
    <w:p w14:paraId="1E8AAD71">
      <w:pPr>
        <w:numPr>
          <w:ilvl w:val="0"/>
          <w:numId w:val="38"/>
        </w:numPr>
        <w:spacing w:before="0" w:beforeAutospacing="1" w:after="0" w:afterAutospacing="1"/>
        <w:ind w:left="720" w:hanging="360"/>
      </w:pPr>
      <w:r>
        <w:t>润滑导轮：轴承加注锂基脂（NLGI 2级），确保转动灵活。</w:t>
      </w:r>
    </w:p>
    <w:p w14:paraId="0659227D">
      <w:r>
        <w:rPr>
          <w:b/>
        </w:rPr>
        <w:t>预防</w:t>
      </w:r>
      <w:r>
        <w:t>：每半年检查制动器，每月校准传感器，每周润滑导轮。</w:t>
      </w:r>
    </w:p>
    <w:p w14:paraId="4CB86113">
      <w:pPr>
        <w:pStyle w:val="4"/>
      </w:pPr>
      <w:r>
        <w:t>7.2 电气系统故障</w:t>
      </w:r>
    </w:p>
    <w:p w14:paraId="41372CD5">
      <w:pPr>
        <w:pStyle w:val="5"/>
      </w:pPr>
      <w:r>
        <w:t>7.2.1 工业网络通信中断</w:t>
      </w:r>
    </w:p>
    <w:p w14:paraId="76C99D88">
      <w:r>
        <w:rPr>
          <w:b/>
        </w:rPr>
        <w:t>现象</w:t>
      </w:r>
      <w:r>
        <w:t>：设备离线，HMI显示“通信超时”，代码“E025”。</w:t>
      </w:r>
    </w:p>
    <w:p w14:paraId="792633F5">
      <w:r>
        <w:rPr>
          <w:b/>
        </w:rPr>
        <w:t>成因</w:t>
      </w:r>
      <w:r>
        <w:t>：光缆破损（光功率衰减＞10dB）、交换机端口故障、IP地址冲突、总线配置错误。</w:t>
      </w:r>
    </w:p>
    <w:p w14:paraId="5552E33A">
      <w:r>
        <w:rPr>
          <w:b/>
        </w:rPr>
        <w:t>处理</w:t>
      </w:r>
      <w:r>
        <w:t>：</w:t>
      </w:r>
    </w:p>
    <w:p w14:paraId="2CE92A41">
      <w:pPr>
        <w:numPr>
          <w:ilvl w:val="0"/>
          <w:numId w:val="39"/>
        </w:numPr>
        <w:spacing w:before="0" w:beforeAutospacing="1" w:after="0" w:afterAutospacing="1"/>
        <w:ind w:left="720" w:hanging="360"/>
      </w:pPr>
      <w:r>
        <w:t>检测光功率：发射端-5dBm，接收端≥-15dBm，破损时更换光纤（单模1310nm）。</w:t>
      </w:r>
    </w:p>
    <w:p w14:paraId="43A3D26E">
      <w:pPr>
        <w:numPr>
          <w:ilvl w:val="0"/>
          <w:numId w:val="39"/>
        </w:numPr>
        <w:spacing w:before="0" w:beforeAutospacing="1" w:after="0" w:afterAutospacing="1"/>
        <w:ind w:left="720" w:hanging="360"/>
      </w:pPr>
      <w:r>
        <w:t>排查IP冲突：命令“arp -a”定位冲突设备，重新分配IP（如AGV IP从192.168.1.10改为192.168.1.11）。</w:t>
      </w:r>
    </w:p>
    <w:p w14:paraId="7A61556C">
      <w:r>
        <w:rPr>
          <w:b/>
        </w:rPr>
        <w:t>预防</w:t>
      </w:r>
      <w:r>
        <w:t>：每月检查光缆弯曲半径≥30mm，每季度备份交换机配置。</w:t>
      </w:r>
    </w:p>
    <w:p w14:paraId="7F4D48F8">
      <w:pPr>
        <w:pStyle w:val="5"/>
      </w:pPr>
      <w:r>
        <w:t>7.2.2 伺服驱动器过载报警（代码F02）</w:t>
      </w:r>
    </w:p>
    <w:p w14:paraId="4081CC8A">
      <w:r>
        <w:rPr>
          <w:b/>
        </w:rPr>
        <w:t>现象</w:t>
      </w:r>
      <w:r>
        <w:t>：电机停转，驱动器报“过载”，电流超额定值150%。</w:t>
      </w:r>
    </w:p>
    <w:p w14:paraId="3FBED4E0">
      <w:r>
        <w:rPr>
          <w:b/>
        </w:rPr>
        <w:t>成因</w:t>
      </w:r>
      <w:r>
        <w:t>：机械卡滞（导轨异物）、电机轴承损坏（空载电流＞30%额定值）、参数错误（过载阈值设低）。</w:t>
      </w:r>
    </w:p>
    <w:p w14:paraId="165EDF42">
      <w:r>
        <w:rPr>
          <w:b/>
        </w:rPr>
        <w:t>处理</w:t>
      </w:r>
      <w:r>
        <w:t>：</w:t>
      </w:r>
    </w:p>
    <w:p w14:paraId="7A4C7249">
      <w:pPr>
        <w:numPr>
          <w:ilvl w:val="0"/>
          <w:numId w:val="40"/>
        </w:numPr>
        <w:spacing w:before="0" w:beforeAutospacing="1" w:after="0" w:afterAutospacing="1"/>
        <w:ind w:left="720" w:hanging="360"/>
      </w:pPr>
      <w:r>
        <w:t>清除异物：手动盘动电机轴，阻力≤5N·m，清理导轨铁屑。</w:t>
      </w:r>
    </w:p>
    <w:p w14:paraId="797CF0CA">
      <w:pPr>
        <w:numPr>
          <w:ilvl w:val="0"/>
          <w:numId w:val="40"/>
        </w:numPr>
        <w:spacing w:before="0" w:beforeAutospacing="1" w:after="0" w:afterAutospacing="1"/>
        <w:ind w:left="720" w:hanging="360"/>
      </w:pPr>
      <w:r>
        <w:t>更换轴承：测量电机空载电流（1.5kW电机≤1.8A），超差时更换轴承（7310C，游隙0.01-0.02mm）。</w:t>
      </w:r>
    </w:p>
    <w:p w14:paraId="42F107F9">
      <w:r>
        <w:rPr>
          <w:b/>
        </w:rPr>
        <w:t>预防</w:t>
      </w:r>
      <w:r>
        <w:t>：每周检查电机温度≤70℃，每月测量绝缘电阻≥1MΩ。</w:t>
      </w:r>
    </w:p>
    <w:p w14:paraId="37C1E365">
      <w:pPr>
        <w:pStyle w:val="4"/>
      </w:pPr>
      <w:r>
        <w:t>7.3 工艺质量故障</w:t>
      </w:r>
    </w:p>
    <w:p w14:paraId="2AF5BFCF">
      <w:pPr>
        <w:pStyle w:val="5"/>
      </w:pPr>
      <w:r>
        <w:t>7.3.1 真空干燥后绝缘电阻偏低（＜1000MΩ）</w:t>
      </w:r>
    </w:p>
    <w:p w14:paraId="47C37166">
      <w:r>
        <w:rPr>
          <w:b/>
        </w:rPr>
        <w:t>现象</w:t>
      </w:r>
      <w:r>
        <w:t>：2500V兆欧表测量绝缘电阻＜1000MΩ，不符合标准。</w:t>
      </w:r>
    </w:p>
    <w:p w14:paraId="3A0BD459">
      <w:r>
        <w:rPr>
          <w:b/>
        </w:rPr>
        <w:t>成因</w:t>
      </w:r>
      <w:r>
        <w:t>：干燥温度曲线异常（保温时间不足）、真空度泄漏（泄漏率＞0.5Pa/min）、材料受潮（存储湿度＞85%）。</w:t>
      </w:r>
    </w:p>
    <w:p w14:paraId="2266E321">
      <w:r>
        <w:rPr>
          <w:b/>
        </w:rPr>
        <w:t>处理</w:t>
      </w:r>
      <w:r>
        <w:t>：</w:t>
      </w:r>
    </w:p>
    <w:p w14:paraId="61FA8213">
      <w:pPr>
        <w:numPr>
          <w:ilvl w:val="0"/>
          <w:numId w:val="41"/>
        </w:numPr>
        <w:spacing w:before="0" w:beforeAutospacing="1" w:after="0" w:afterAutospacing="1"/>
        <w:ind w:left="720" w:hanging="360"/>
      </w:pPr>
      <w:r>
        <w:t>优化工艺：延长保温时间2小时（如从8小时至10小时），温度维持120℃。</w:t>
      </w:r>
    </w:p>
    <w:p w14:paraId="2A355F21">
      <w:pPr>
        <w:numPr>
          <w:ilvl w:val="0"/>
          <w:numId w:val="41"/>
        </w:numPr>
        <w:spacing w:before="0" w:beforeAutospacing="1" w:after="0" w:afterAutospacing="1"/>
        <w:ind w:left="720" w:hanging="360"/>
      </w:pPr>
      <w:r>
        <w:t>检修真空系统：更换干燥罐密封圈（氟橡胶），检查真空泵油位（油镜1/2-2/3）。</w:t>
      </w:r>
    </w:p>
    <w:p w14:paraId="469AA360">
      <w:r>
        <w:rPr>
          <w:b/>
        </w:rPr>
        <w:t>预防</w:t>
      </w:r>
      <w:r>
        <w:t>：监控干燥曲线，每日检查真空密封性（30分钟压降≤10Pa），原材料存储湿度≤60%。</w:t>
      </w:r>
    </w:p>
    <w:p w14:paraId="5226B2FD">
      <w:pPr>
        <w:pStyle w:val="5"/>
      </w:pPr>
      <w:r>
        <w:t>7.3.2 线圈直流电阻不平衡度超标（＞±2%）</w:t>
      </w:r>
    </w:p>
    <w:p w14:paraId="6220CEFE">
      <w:r>
        <w:rPr>
          <w:b/>
        </w:rPr>
        <w:t>现象</w:t>
      </w:r>
      <w:r>
        <w:t>：三相电阻差超平均值2%，如A相2.5Ω、B相2.6Ω、C相2.3Ω（平均值2.47Ω，不平衡度12.1%）。</w:t>
      </w:r>
    </w:p>
    <w:p w14:paraId="139B7E4D">
      <w:r>
        <w:rPr>
          <w:b/>
        </w:rPr>
        <w:t>成因</w:t>
      </w:r>
      <w:r>
        <w:t>：分接开关触头氧化、绕组匝数误差、焊接接头虚接（接触电阻＞50μΩ）。</w:t>
      </w:r>
    </w:p>
    <w:p w14:paraId="2B8D770B">
      <w:r>
        <w:rPr>
          <w:b/>
        </w:rPr>
        <w:t>处理</w:t>
      </w:r>
      <w:r>
        <w:t>：</w:t>
      </w:r>
    </w:p>
    <w:p w14:paraId="74F2987C">
      <w:pPr>
        <w:numPr>
          <w:ilvl w:val="0"/>
          <w:numId w:val="42"/>
        </w:numPr>
        <w:spacing w:before="0" w:beforeAutospacing="1" w:after="0" w:afterAutospacing="1"/>
        <w:ind w:left="720" w:hanging="360"/>
      </w:pPr>
      <w:r>
        <w:t>清洁触头：000号砂纸打磨氧化层，涂抹导电膏，测量接触电阻≤50μΩ。</w:t>
      </w:r>
    </w:p>
    <w:p w14:paraId="2D437B5B">
      <w:pPr>
        <w:numPr>
          <w:ilvl w:val="0"/>
          <w:numId w:val="42"/>
        </w:numPr>
        <w:spacing w:before="0" w:beforeAutospacing="1" w:after="0" w:afterAutospacing="1"/>
        <w:ind w:left="720" w:hanging="360"/>
      </w:pPr>
      <w:r>
        <w:t>返工焊接：氩弧焊重焊接头，确保三相引线电阻差≤10μΩ。</w:t>
      </w:r>
    </w:p>
    <w:p w14:paraId="570C7F4C">
      <w:r>
        <w:rPr>
          <w:b/>
        </w:rPr>
        <w:t>预防</w:t>
      </w:r>
      <w:r>
        <w:t>：每月测量分接开关电阻，绕制后校验匝数，焊接后100%检测接触电阻。</w:t>
      </w:r>
    </w:p>
    <w:p w14:paraId="315137F4">
      <w:pPr>
        <w:pStyle w:val="3"/>
      </w:pPr>
      <w:r>
        <w:t>八、附录</w:t>
      </w:r>
    </w:p>
    <w:p w14:paraId="67507A50">
      <w:pPr>
        <w:pStyle w:val="4"/>
      </w:pPr>
      <w:r>
        <w:t>8.1 技术参数汇总表</w:t>
      </w:r>
    </w:p>
    <w:tbl>
      <w:tblPr>
        <w:tblStyle w:val="50"/>
        <w:tblW w:w="0" w:type="auto"/>
        <w:tblInd w:w="0" w:type="dxa"/>
        <w:tblLayout w:type="fixed"/>
        <w:tblCellMar>
          <w:top w:w="0" w:type="dxa"/>
          <w:left w:w="0" w:type="dxa"/>
          <w:bottom w:w="0" w:type="dxa"/>
          <w:right w:w="0" w:type="dxa"/>
        </w:tblCellMar>
      </w:tblPr>
      <w:tblGrid>
        <w:gridCol w:w="4320"/>
        <w:gridCol w:w="4320"/>
      </w:tblGrid>
      <w:tr w14:paraId="29CD51B8">
        <w:tblPrEx>
          <w:tblCellMar>
            <w:top w:w="0" w:type="dxa"/>
            <w:left w:w="0" w:type="dxa"/>
            <w:bottom w:w="0" w:type="dxa"/>
            <w:right w:w="0" w:type="dxa"/>
          </w:tblCellMar>
        </w:tblPrEx>
        <w:tc>
          <w:tcPr>
            <w:tcW w:w="0" w:type="auto"/>
            <w:vAlign w:val="center"/>
          </w:tcPr>
          <w:p w14:paraId="7F3C11C5">
            <w:pPr>
              <w:jc w:val="center"/>
              <w:rPr>
                <w:b/>
              </w:rPr>
            </w:pPr>
            <w:r>
              <w:rPr>
                <w:b/>
              </w:rPr>
              <w:t>模块</w:t>
            </w:r>
          </w:p>
        </w:tc>
        <w:tc>
          <w:tcPr>
            <w:tcW w:w="0" w:type="auto"/>
            <w:vAlign w:val="center"/>
          </w:tcPr>
          <w:p w14:paraId="61AE4AAF">
            <w:pPr>
              <w:jc w:val="center"/>
              <w:rPr>
                <w:b/>
              </w:rPr>
            </w:pPr>
            <w:r>
              <w:rPr>
                <w:b/>
              </w:rPr>
              <w:t>核心参数</w:t>
            </w:r>
          </w:p>
        </w:tc>
      </w:tr>
      <w:tr w14:paraId="7C45DB64">
        <w:tblPrEx>
          <w:tblCellMar>
            <w:top w:w="0" w:type="dxa"/>
            <w:left w:w="0" w:type="dxa"/>
            <w:bottom w:w="0" w:type="dxa"/>
            <w:right w:w="0" w:type="dxa"/>
          </w:tblCellMar>
        </w:tblPrEx>
        <w:tc>
          <w:tcPr>
            <w:tcW w:w="0" w:type="auto"/>
            <w:vAlign w:val="center"/>
          </w:tcPr>
          <w:p w14:paraId="46B93536">
            <w:r>
              <w:t>铁芯装配单元</w:t>
            </w:r>
          </w:p>
        </w:tc>
        <w:tc>
          <w:tcPr>
            <w:tcW w:w="0" w:type="auto"/>
            <w:vAlign w:val="center"/>
          </w:tcPr>
          <w:p w14:paraId="19D8CEF7">
            <w:r>
              <w:t>定位精度±0.1mm，叠片效率15-20片/分钟，叠片系数≥0.96</w:t>
            </w:r>
          </w:p>
        </w:tc>
      </w:tr>
      <w:tr w14:paraId="1C82C3CD">
        <w:tblPrEx>
          <w:tblCellMar>
            <w:top w:w="0" w:type="dxa"/>
            <w:left w:w="0" w:type="dxa"/>
            <w:bottom w:w="0" w:type="dxa"/>
            <w:right w:w="0" w:type="dxa"/>
          </w:tblCellMar>
        </w:tblPrEx>
        <w:tc>
          <w:tcPr>
            <w:tcW w:w="0" w:type="auto"/>
            <w:vAlign w:val="center"/>
          </w:tcPr>
          <w:p w14:paraId="3E2C56E8">
            <w:r>
              <w:t>绕组绕线机组</w:t>
            </w:r>
          </w:p>
        </w:tc>
        <w:tc>
          <w:tcPr>
            <w:tcW w:w="0" w:type="auto"/>
            <w:vAlign w:val="center"/>
          </w:tcPr>
          <w:p w14:paraId="5593BDAB">
            <w:r>
              <w:t>排线精度±0.1mm，张力5-15N（波动±2%），适配线径0.8-5mm</w:t>
            </w:r>
          </w:p>
        </w:tc>
      </w:tr>
      <w:tr w14:paraId="51406CC5">
        <w:tc>
          <w:tcPr>
            <w:tcW w:w="0" w:type="auto"/>
            <w:vAlign w:val="center"/>
          </w:tcPr>
          <w:p w14:paraId="3C0B0133">
            <w:r>
              <w:t>真空干燥罐</w:t>
            </w:r>
          </w:p>
        </w:tc>
        <w:tc>
          <w:tcPr>
            <w:tcW w:w="0" w:type="auto"/>
            <w:vAlign w:val="center"/>
          </w:tcPr>
          <w:p w14:paraId="252A3ED8">
            <w:r>
              <w:t>真空度≤10Pa，温度50-180℃±2℃，搁架承重≥500kg/层</w:t>
            </w:r>
          </w:p>
        </w:tc>
      </w:tr>
      <w:tr w14:paraId="3DE11532">
        <w:tblPrEx>
          <w:tblCellMar>
            <w:top w:w="0" w:type="dxa"/>
            <w:left w:w="0" w:type="dxa"/>
            <w:bottom w:w="0" w:type="dxa"/>
            <w:right w:w="0" w:type="dxa"/>
          </w:tblCellMar>
        </w:tblPrEx>
        <w:tc>
          <w:tcPr>
            <w:tcW w:w="0" w:type="auto"/>
            <w:vAlign w:val="center"/>
          </w:tcPr>
          <w:p w14:paraId="2ADDAC92">
            <w:r>
              <w:t>AGV物流系统</w:t>
            </w:r>
          </w:p>
        </w:tc>
        <w:tc>
          <w:tcPr>
            <w:tcW w:w="0" w:type="auto"/>
            <w:vAlign w:val="center"/>
          </w:tcPr>
          <w:p w14:paraId="6A7ABB9B">
            <w:r>
              <w:t>定位±10mm，速度1-2m/s，负载1-5吨，调度数量≤20台</w:t>
            </w:r>
          </w:p>
        </w:tc>
      </w:tr>
      <w:tr w14:paraId="18417CB2">
        <w:tblPrEx>
          <w:tblCellMar>
            <w:top w:w="0" w:type="dxa"/>
            <w:left w:w="0" w:type="dxa"/>
            <w:bottom w:w="0" w:type="dxa"/>
            <w:right w:w="0" w:type="dxa"/>
          </w:tblCellMar>
        </w:tblPrEx>
        <w:tc>
          <w:tcPr>
            <w:tcW w:w="0" w:type="auto"/>
            <w:vAlign w:val="center"/>
          </w:tcPr>
          <w:p w14:paraId="30515992">
            <w:r>
              <w:t>视觉检测</w:t>
            </w:r>
          </w:p>
        </w:tc>
        <w:tc>
          <w:tcPr>
            <w:tcW w:w="0" w:type="auto"/>
            <w:vAlign w:val="center"/>
          </w:tcPr>
          <w:p w14:paraId="380D6508">
            <w:r>
              <w:t>分辨率≥200万像素，缺陷识别率≥95%，检测速度≥10帧/秒</w:t>
            </w:r>
          </w:p>
        </w:tc>
      </w:tr>
    </w:tbl>
    <w:p w14:paraId="7E7BF1EB">
      <w:pPr>
        <w:pStyle w:val="4"/>
      </w:pPr>
      <w:r>
        <w:t>8.2 常用备件清单与更换周期</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3F9CC547">
        <w:tblPrEx>
          <w:tblCellMar>
            <w:top w:w="0" w:type="dxa"/>
            <w:left w:w="0" w:type="dxa"/>
            <w:bottom w:w="0" w:type="dxa"/>
            <w:right w:w="0" w:type="dxa"/>
          </w:tblCellMar>
        </w:tblPrEx>
        <w:tc>
          <w:tcPr>
            <w:tcW w:w="0" w:type="auto"/>
            <w:vAlign w:val="center"/>
          </w:tcPr>
          <w:p w14:paraId="00F996A0">
            <w:pPr>
              <w:jc w:val="center"/>
              <w:rPr>
                <w:b/>
              </w:rPr>
            </w:pPr>
            <w:r>
              <w:rPr>
                <w:b/>
              </w:rPr>
              <w:t>备件名称</w:t>
            </w:r>
          </w:p>
        </w:tc>
        <w:tc>
          <w:tcPr>
            <w:tcW w:w="0" w:type="auto"/>
            <w:vAlign w:val="center"/>
          </w:tcPr>
          <w:p w14:paraId="6C02EB7B">
            <w:pPr>
              <w:jc w:val="center"/>
              <w:rPr>
                <w:b/>
              </w:rPr>
            </w:pPr>
            <w:r>
              <w:rPr>
                <w:b/>
              </w:rPr>
              <w:t>型号规格</w:t>
            </w:r>
          </w:p>
        </w:tc>
        <w:tc>
          <w:tcPr>
            <w:tcW w:w="0" w:type="auto"/>
            <w:vAlign w:val="center"/>
          </w:tcPr>
          <w:p w14:paraId="459B9F5C">
            <w:pPr>
              <w:jc w:val="center"/>
              <w:rPr>
                <w:b/>
              </w:rPr>
            </w:pPr>
            <w:r>
              <w:rPr>
                <w:b/>
              </w:rPr>
              <w:t>更换周期/条件</w:t>
            </w:r>
          </w:p>
        </w:tc>
      </w:tr>
      <w:tr w14:paraId="48CFC9AA">
        <w:tblPrEx>
          <w:tblCellMar>
            <w:top w:w="0" w:type="dxa"/>
            <w:left w:w="0" w:type="dxa"/>
            <w:bottom w:w="0" w:type="dxa"/>
            <w:right w:w="0" w:type="dxa"/>
          </w:tblCellMar>
        </w:tblPrEx>
        <w:tc>
          <w:tcPr>
            <w:tcW w:w="0" w:type="auto"/>
            <w:vAlign w:val="center"/>
          </w:tcPr>
          <w:p w14:paraId="6A84DFCA">
            <w:r>
              <w:t>机械臂轴承</w:t>
            </w:r>
          </w:p>
        </w:tc>
        <w:tc>
          <w:tcPr>
            <w:tcW w:w="0" w:type="auto"/>
            <w:vAlign w:val="center"/>
          </w:tcPr>
          <w:p w14:paraId="279B6A9F">
            <w:r>
              <w:t>7310C P5级</w:t>
            </w:r>
          </w:p>
        </w:tc>
        <w:tc>
          <w:tcPr>
            <w:tcW w:w="0" w:type="auto"/>
            <w:vAlign w:val="center"/>
          </w:tcPr>
          <w:p w14:paraId="54465964">
            <w:r>
              <w:t>2000小时或振动＞1.5g</w:t>
            </w:r>
          </w:p>
        </w:tc>
      </w:tr>
      <w:tr w14:paraId="620C00E2">
        <w:tblPrEx>
          <w:tblCellMar>
            <w:top w:w="0" w:type="dxa"/>
            <w:left w:w="0" w:type="dxa"/>
            <w:bottom w:w="0" w:type="dxa"/>
            <w:right w:w="0" w:type="dxa"/>
          </w:tblCellMar>
        </w:tblPrEx>
        <w:tc>
          <w:tcPr>
            <w:tcW w:w="0" w:type="auto"/>
            <w:vAlign w:val="center"/>
          </w:tcPr>
          <w:p w14:paraId="795AC208">
            <w:r>
              <w:t>真空吸盘膜片</w:t>
            </w:r>
          </w:p>
        </w:tc>
        <w:tc>
          <w:tcPr>
            <w:tcW w:w="0" w:type="auto"/>
            <w:vAlign w:val="center"/>
          </w:tcPr>
          <w:p w14:paraId="38287905">
            <w:r>
              <w:t>氟橡胶φ100mm</w:t>
            </w:r>
          </w:p>
        </w:tc>
        <w:tc>
          <w:tcPr>
            <w:tcW w:w="0" w:type="auto"/>
            <w:vAlign w:val="center"/>
          </w:tcPr>
          <w:p w14:paraId="76C8319E">
            <w:r>
              <w:t>5000次循环或破损</w:t>
            </w:r>
          </w:p>
        </w:tc>
      </w:tr>
      <w:tr w14:paraId="0B5105DC">
        <w:tc>
          <w:tcPr>
            <w:tcW w:w="0" w:type="auto"/>
            <w:vAlign w:val="center"/>
          </w:tcPr>
          <w:p w14:paraId="61714E26">
            <w:r>
              <w:t>张力传感器</w:t>
            </w:r>
          </w:p>
        </w:tc>
        <w:tc>
          <w:tcPr>
            <w:tcW w:w="0" w:type="auto"/>
            <w:vAlign w:val="center"/>
          </w:tcPr>
          <w:p w14:paraId="36327D85">
            <w:r>
              <w:t>LX-050（0-50N）</w:t>
            </w:r>
          </w:p>
        </w:tc>
        <w:tc>
          <w:tcPr>
            <w:tcW w:w="0" w:type="auto"/>
            <w:vAlign w:val="center"/>
          </w:tcPr>
          <w:p w14:paraId="51FCF91F">
            <w:r>
              <w:t>1年或校准误差＞±0.2N</w:t>
            </w:r>
          </w:p>
        </w:tc>
      </w:tr>
      <w:tr w14:paraId="18160BAC">
        <w:tblPrEx>
          <w:tblCellMar>
            <w:top w:w="0" w:type="dxa"/>
            <w:left w:w="0" w:type="dxa"/>
            <w:bottom w:w="0" w:type="dxa"/>
            <w:right w:w="0" w:type="dxa"/>
          </w:tblCellMar>
        </w:tblPrEx>
        <w:tc>
          <w:tcPr>
            <w:tcW w:w="0" w:type="auto"/>
            <w:vAlign w:val="center"/>
          </w:tcPr>
          <w:p w14:paraId="394E726F">
            <w:r>
              <w:t>液压油滤芯</w:t>
            </w:r>
          </w:p>
        </w:tc>
        <w:tc>
          <w:tcPr>
            <w:tcW w:w="0" w:type="auto"/>
            <w:vAlign w:val="center"/>
          </w:tcPr>
          <w:p w14:paraId="1981AEC9">
            <w:r>
              <w:t>10μm M22×1.5</w:t>
            </w:r>
          </w:p>
        </w:tc>
        <w:tc>
          <w:tcPr>
            <w:tcW w:w="0" w:type="auto"/>
            <w:vAlign w:val="center"/>
          </w:tcPr>
          <w:p w14:paraId="4B15E746">
            <w:r>
              <w:t>500小时或压差＞0.3MPa</w:t>
            </w:r>
          </w:p>
        </w:tc>
      </w:tr>
      <w:tr w14:paraId="4E23BEDD">
        <w:tblPrEx>
          <w:tblCellMar>
            <w:top w:w="0" w:type="dxa"/>
            <w:left w:w="0" w:type="dxa"/>
            <w:bottom w:w="0" w:type="dxa"/>
            <w:right w:w="0" w:type="dxa"/>
          </w:tblCellMar>
        </w:tblPrEx>
        <w:tc>
          <w:tcPr>
            <w:tcW w:w="0" w:type="auto"/>
            <w:vAlign w:val="center"/>
          </w:tcPr>
          <w:p w14:paraId="7DB394AB">
            <w:r>
              <w:t>激光雷达</w:t>
            </w:r>
          </w:p>
        </w:tc>
        <w:tc>
          <w:tcPr>
            <w:tcW w:w="0" w:type="auto"/>
            <w:vAlign w:val="center"/>
          </w:tcPr>
          <w:p w14:paraId="0FC25542">
            <w:r>
              <w:t>SICK TIM561</w:t>
            </w:r>
          </w:p>
        </w:tc>
        <w:tc>
          <w:tcPr>
            <w:tcW w:w="0" w:type="auto"/>
            <w:vAlign w:val="center"/>
          </w:tcPr>
          <w:p w14:paraId="21060300">
            <w:r>
              <w:t>5年或功率衰减＞30%</w:t>
            </w:r>
          </w:p>
        </w:tc>
      </w:tr>
    </w:tbl>
    <w:p w14:paraId="7E0BCF7F">
      <w:pPr>
        <w:pStyle w:val="4"/>
      </w:pPr>
      <w:r>
        <w:t>8.3 相关技术标准与规范</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2F6175BC">
        <w:tblPrEx>
          <w:tblCellMar>
            <w:top w:w="0" w:type="dxa"/>
            <w:left w:w="0" w:type="dxa"/>
            <w:bottom w:w="0" w:type="dxa"/>
            <w:right w:w="0" w:type="dxa"/>
          </w:tblCellMar>
        </w:tblPrEx>
        <w:tc>
          <w:tcPr>
            <w:tcW w:w="0" w:type="auto"/>
            <w:vAlign w:val="center"/>
          </w:tcPr>
          <w:p w14:paraId="4845CBEA">
            <w:pPr>
              <w:jc w:val="center"/>
              <w:rPr>
                <w:b/>
              </w:rPr>
            </w:pPr>
            <w:r>
              <w:rPr>
                <w:b/>
              </w:rPr>
              <w:t>标准编号</w:t>
            </w:r>
          </w:p>
        </w:tc>
        <w:tc>
          <w:tcPr>
            <w:tcW w:w="0" w:type="auto"/>
            <w:vAlign w:val="center"/>
          </w:tcPr>
          <w:p w14:paraId="1C0F6F62">
            <w:pPr>
              <w:jc w:val="center"/>
              <w:rPr>
                <w:b/>
              </w:rPr>
            </w:pPr>
            <w:r>
              <w:rPr>
                <w:b/>
              </w:rPr>
              <w:t>名称</w:t>
            </w:r>
          </w:p>
        </w:tc>
        <w:tc>
          <w:tcPr>
            <w:tcW w:w="0" w:type="auto"/>
            <w:vAlign w:val="center"/>
          </w:tcPr>
          <w:p w14:paraId="7819CED0">
            <w:pPr>
              <w:jc w:val="center"/>
              <w:rPr>
                <w:b/>
              </w:rPr>
            </w:pPr>
            <w:r>
              <w:rPr>
                <w:b/>
              </w:rPr>
              <w:t>核心条款摘要</w:t>
            </w:r>
          </w:p>
        </w:tc>
      </w:tr>
      <w:tr w14:paraId="015DB43F">
        <w:tblPrEx>
          <w:tblCellMar>
            <w:top w:w="0" w:type="dxa"/>
            <w:left w:w="0" w:type="dxa"/>
            <w:bottom w:w="0" w:type="dxa"/>
            <w:right w:w="0" w:type="dxa"/>
          </w:tblCellMar>
        </w:tblPrEx>
        <w:tc>
          <w:tcPr>
            <w:tcW w:w="0" w:type="auto"/>
            <w:vAlign w:val="center"/>
          </w:tcPr>
          <w:p w14:paraId="4ADEE2F6">
            <w:r>
              <w:t>GB/T 1094.11-2022</w:t>
            </w:r>
          </w:p>
        </w:tc>
        <w:tc>
          <w:tcPr>
            <w:tcW w:w="0" w:type="auto"/>
            <w:vAlign w:val="center"/>
          </w:tcPr>
          <w:p w14:paraId="31D2A09D">
            <w:r>
              <w:t>《电力变压器 第11部分：干式变压器》</w:t>
            </w:r>
          </w:p>
        </w:tc>
        <w:tc>
          <w:tcPr>
            <w:tcW w:w="0" w:type="auto"/>
            <w:vAlign w:val="center"/>
          </w:tcPr>
          <w:p w14:paraId="3A6E7972">
            <w:r>
              <w:t>绝缘电阻≥1000MΩ，温升限值100K（H级）</w:t>
            </w:r>
          </w:p>
        </w:tc>
      </w:tr>
      <w:tr w14:paraId="5DB709AF">
        <w:tblPrEx>
          <w:tblCellMar>
            <w:top w:w="0" w:type="dxa"/>
            <w:left w:w="0" w:type="dxa"/>
            <w:bottom w:w="0" w:type="dxa"/>
            <w:right w:w="0" w:type="dxa"/>
          </w:tblCellMar>
        </w:tblPrEx>
        <w:tc>
          <w:tcPr>
            <w:tcW w:w="0" w:type="auto"/>
            <w:vAlign w:val="center"/>
          </w:tcPr>
          <w:p w14:paraId="6AACE132">
            <w:r>
              <w:t>JB/T 3837-2010</w:t>
            </w:r>
          </w:p>
        </w:tc>
        <w:tc>
          <w:tcPr>
            <w:tcW w:w="0" w:type="auto"/>
            <w:vAlign w:val="center"/>
          </w:tcPr>
          <w:p w14:paraId="31B8E9C6">
            <w:r>
              <w:t>《变压器类产品型号编制方法》</w:t>
            </w:r>
          </w:p>
        </w:tc>
        <w:tc>
          <w:tcPr>
            <w:tcW w:w="0" w:type="auto"/>
            <w:vAlign w:val="center"/>
          </w:tcPr>
          <w:p w14:paraId="1EE2E677">
            <w:r>
              <w:t>型号命名规则（如“SCB14-2500/10”含义）</w:t>
            </w:r>
          </w:p>
        </w:tc>
      </w:tr>
      <w:tr w14:paraId="17E3654E">
        <w:tc>
          <w:tcPr>
            <w:tcW w:w="0" w:type="auto"/>
            <w:vAlign w:val="center"/>
          </w:tcPr>
          <w:p w14:paraId="141B13E3">
            <w:r>
              <w:t>ISO 3691-4:2020</w:t>
            </w:r>
          </w:p>
        </w:tc>
        <w:tc>
          <w:tcPr>
            <w:tcW w:w="0" w:type="auto"/>
            <w:vAlign w:val="center"/>
          </w:tcPr>
          <w:p w14:paraId="52BEC632">
            <w:r>
              <w:t>《工业车辆安全要求》</w:t>
            </w:r>
          </w:p>
        </w:tc>
        <w:tc>
          <w:tcPr>
            <w:tcW w:w="0" w:type="auto"/>
            <w:vAlign w:val="center"/>
          </w:tcPr>
          <w:p w14:paraId="2D51A866">
            <w:r>
              <w:t>AGV激光扫描仪检测距离、急停响应≤100ms</w:t>
            </w:r>
          </w:p>
        </w:tc>
      </w:tr>
      <w:tr w14:paraId="36D236D2">
        <w:tblPrEx>
          <w:tblCellMar>
            <w:top w:w="0" w:type="dxa"/>
            <w:left w:w="0" w:type="dxa"/>
            <w:bottom w:w="0" w:type="dxa"/>
            <w:right w:w="0" w:type="dxa"/>
          </w:tblCellMar>
        </w:tblPrEx>
        <w:tc>
          <w:tcPr>
            <w:tcW w:w="0" w:type="auto"/>
            <w:vAlign w:val="center"/>
          </w:tcPr>
          <w:p w14:paraId="75D330FB">
            <w:r>
              <w:t>EN ISO 13849-1:2015</w:t>
            </w:r>
          </w:p>
        </w:tc>
        <w:tc>
          <w:tcPr>
            <w:tcW w:w="0" w:type="auto"/>
            <w:vAlign w:val="center"/>
          </w:tcPr>
          <w:p w14:paraId="06517394">
            <w:r>
              <w:t>《机械安全 控制系统安全相关部件》</w:t>
            </w:r>
          </w:p>
        </w:tc>
        <w:tc>
          <w:tcPr>
            <w:tcW w:w="0" w:type="auto"/>
            <w:vAlign w:val="center"/>
          </w:tcPr>
          <w:p w14:paraId="4B580CE9">
            <w:r>
              <w:t>PLd等级安全完整性（MTBF≥100000小时）</w:t>
            </w:r>
          </w:p>
        </w:tc>
      </w:tr>
      <w:tr w14:paraId="1A9A7FF9">
        <w:tblPrEx>
          <w:tblCellMar>
            <w:top w:w="0" w:type="dxa"/>
            <w:left w:w="0" w:type="dxa"/>
            <w:bottom w:w="0" w:type="dxa"/>
            <w:right w:w="0" w:type="dxa"/>
          </w:tblCellMar>
        </w:tblPrEx>
        <w:tc>
          <w:tcPr>
            <w:tcW w:w="0" w:type="auto"/>
            <w:vAlign w:val="center"/>
          </w:tcPr>
          <w:p w14:paraId="50415FDF">
            <w:r>
              <w:t>GB 50490-2009</w:t>
            </w:r>
          </w:p>
        </w:tc>
        <w:tc>
          <w:tcPr>
            <w:tcW w:w="0" w:type="auto"/>
            <w:vAlign w:val="center"/>
          </w:tcPr>
          <w:p w14:paraId="22989EC8">
            <w:r>
              <w:t>《智能建筑工程质量验收规范》</w:t>
            </w:r>
          </w:p>
        </w:tc>
        <w:tc>
          <w:tcPr>
            <w:tcW w:w="0" w:type="auto"/>
            <w:vAlign w:val="center"/>
          </w:tcPr>
          <w:p w14:paraId="0E0F28A0">
            <w:r>
              <w:t>工业网络延迟≤1ms，丢包率＜0.1%</w:t>
            </w:r>
          </w:p>
        </w:tc>
      </w:tr>
    </w:tbl>
    <w:p w14:paraId="7638B0E5">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6C44F"/>
    <w:multiLevelType w:val="singleLevel"/>
    <w:tmpl w:val="9F76C44F"/>
    <w:lvl w:ilvl="0" w:tentative="0">
      <w:start w:val="1"/>
      <w:numFmt w:val="bullet"/>
      <w:lvlText w:val=""/>
      <w:lvlJc w:val="left"/>
      <w:pPr>
        <w:ind w:left="720" w:hanging="360"/>
      </w:pPr>
      <w:rPr>
        <w:rFonts w:hint="default" w:ascii="Symbol" w:hAnsi="Symbol" w:cs="Symbol"/>
        <w:sz w:val="20"/>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1C68568"/>
    <w:multiLevelType w:val="singleLevel"/>
    <w:tmpl w:val="B1C68568"/>
    <w:lvl w:ilvl="0" w:tentative="0">
      <w:start w:val="1"/>
      <w:numFmt w:val="bullet"/>
      <w:lvlText w:val=""/>
      <w:lvlJc w:val="left"/>
      <w:pPr>
        <w:ind w:left="720" w:hanging="360"/>
      </w:pPr>
      <w:rPr>
        <w:rFonts w:hint="default" w:ascii="Symbol" w:hAnsi="Symbol" w:cs="Symbol"/>
        <w:sz w:val="20"/>
      </w:rPr>
    </w:lvl>
  </w:abstractNum>
  <w:abstractNum w:abstractNumId="4">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5">
    <w:nsid w:val="B7E5BCBE"/>
    <w:multiLevelType w:val="singleLevel"/>
    <w:tmpl w:val="B7E5BCBE"/>
    <w:lvl w:ilvl="0" w:tentative="0">
      <w:start w:val="1"/>
      <w:numFmt w:val="bullet"/>
      <w:lvlText w:val=""/>
      <w:lvlJc w:val="left"/>
      <w:pPr>
        <w:ind w:left="720" w:hanging="360"/>
      </w:pPr>
      <w:rPr>
        <w:rFonts w:hint="default" w:ascii="Symbol" w:hAnsi="Symbol" w:cs="Symbol"/>
        <w:sz w:val="20"/>
      </w:rPr>
    </w:lvl>
  </w:abstractNum>
  <w:abstractNum w:abstractNumId="6">
    <w:nsid w:val="BB2D32FD"/>
    <w:multiLevelType w:val="singleLevel"/>
    <w:tmpl w:val="BB2D32FD"/>
    <w:lvl w:ilvl="0" w:tentative="0">
      <w:start w:val="1"/>
      <w:numFmt w:val="decimal"/>
      <w:lvlText w:val="%1."/>
      <w:lvlJc w:val="left"/>
      <w:pPr>
        <w:ind w:left="720" w:hanging="360"/>
      </w:pPr>
      <w:rPr>
        <w:sz w:val="24"/>
      </w:rPr>
    </w:lvl>
  </w:abstractNum>
  <w:abstractNum w:abstractNumId="7">
    <w:nsid w:val="BBEF84F8"/>
    <w:multiLevelType w:val="singleLevel"/>
    <w:tmpl w:val="BBEF84F8"/>
    <w:lvl w:ilvl="0" w:tentative="0">
      <w:start w:val="1"/>
      <w:numFmt w:val="bullet"/>
      <w:lvlText w:val=""/>
      <w:lvlJc w:val="left"/>
      <w:pPr>
        <w:ind w:left="720" w:hanging="360"/>
      </w:pPr>
      <w:rPr>
        <w:rFonts w:hint="default" w:ascii="Symbol" w:hAnsi="Symbol" w:cs="Symbol"/>
        <w:sz w:val="20"/>
      </w:rPr>
    </w:lvl>
  </w:abstractNum>
  <w:abstractNum w:abstractNumId="8">
    <w:nsid w:val="BF61E090"/>
    <w:multiLevelType w:val="singleLevel"/>
    <w:tmpl w:val="BF61E090"/>
    <w:lvl w:ilvl="0" w:tentative="0">
      <w:start w:val="1"/>
      <w:numFmt w:val="bullet"/>
      <w:lvlText w:val=""/>
      <w:lvlJc w:val="left"/>
      <w:pPr>
        <w:ind w:left="720" w:hanging="360"/>
      </w:pPr>
      <w:rPr>
        <w:rFonts w:hint="default" w:ascii="Symbol" w:hAnsi="Symbol" w:cs="Symbol"/>
        <w:sz w:val="20"/>
      </w:rPr>
    </w:lvl>
  </w:abstractNum>
  <w:abstractNum w:abstractNumId="9">
    <w:nsid w:val="BFEEB655"/>
    <w:multiLevelType w:val="singleLevel"/>
    <w:tmpl w:val="BFEEB655"/>
    <w:lvl w:ilvl="0" w:tentative="0">
      <w:start w:val="1"/>
      <w:numFmt w:val="bullet"/>
      <w:lvlText w:val=""/>
      <w:lvlJc w:val="left"/>
      <w:pPr>
        <w:ind w:left="720" w:hanging="360"/>
      </w:pPr>
      <w:rPr>
        <w:rFonts w:hint="default" w:ascii="Symbol" w:hAnsi="Symbol" w:cs="Symbol"/>
        <w:sz w:val="20"/>
      </w:rPr>
    </w:lvl>
  </w:abstractNum>
  <w:abstractNum w:abstractNumId="10">
    <w:nsid w:val="BFFAF8FF"/>
    <w:multiLevelType w:val="singleLevel"/>
    <w:tmpl w:val="BFFAF8FF"/>
    <w:lvl w:ilvl="0" w:tentative="0">
      <w:start w:val="1"/>
      <w:numFmt w:val="bullet"/>
      <w:lvlText w:val=""/>
      <w:lvlJc w:val="left"/>
      <w:pPr>
        <w:ind w:left="720" w:hanging="360"/>
      </w:pPr>
      <w:rPr>
        <w:rFonts w:hint="default" w:ascii="Symbol" w:hAnsi="Symbol" w:cs="Symbol"/>
        <w:sz w:val="20"/>
      </w:rPr>
    </w:lvl>
  </w:abstractNum>
  <w:abstractNum w:abstractNumId="11">
    <w:nsid w:val="E7BA3738"/>
    <w:multiLevelType w:val="singleLevel"/>
    <w:tmpl w:val="E7BA3738"/>
    <w:lvl w:ilvl="0" w:tentative="0">
      <w:start w:val="1"/>
      <w:numFmt w:val="bullet"/>
      <w:lvlText w:val=""/>
      <w:lvlJc w:val="left"/>
      <w:pPr>
        <w:ind w:left="720" w:hanging="360"/>
      </w:pPr>
      <w:rPr>
        <w:rFonts w:hint="default" w:ascii="Symbol" w:hAnsi="Symbol" w:cs="Symbol"/>
        <w:sz w:val="20"/>
      </w:rPr>
    </w:lvl>
  </w:abstractNum>
  <w:abstractNum w:abstractNumId="12">
    <w:nsid w:val="ED654435"/>
    <w:multiLevelType w:val="singleLevel"/>
    <w:tmpl w:val="ED654435"/>
    <w:lvl w:ilvl="0" w:tentative="0">
      <w:start w:val="1"/>
      <w:numFmt w:val="bullet"/>
      <w:lvlText w:val=""/>
      <w:lvlJc w:val="left"/>
      <w:pPr>
        <w:ind w:left="720" w:hanging="360"/>
      </w:pPr>
      <w:rPr>
        <w:rFonts w:hint="default" w:ascii="Symbol" w:hAnsi="Symbol" w:cs="Symbol"/>
        <w:sz w:val="20"/>
      </w:rPr>
    </w:lvl>
  </w:abstractNum>
  <w:abstractNum w:abstractNumId="13">
    <w:nsid w:val="EFE4396E"/>
    <w:multiLevelType w:val="singleLevel"/>
    <w:tmpl w:val="EFE4396E"/>
    <w:lvl w:ilvl="0" w:tentative="0">
      <w:start w:val="1"/>
      <w:numFmt w:val="bullet"/>
      <w:lvlText w:val=""/>
      <w:lvlJc w:val="left"/>
      <w:pPr>
        <w:ind w:left="720" w:hanging="360"/>
      </w:pPr>
      <w:rPr>
        <w:rFonts w:hint="default" w:ascii="Symbol" w:hAnsi="Symbol" w:cs="Symbol"/>
        <w:sz w:val="20"/>
      </w:rPr>
    </w:lvl>
  </w:abstractNum>
  <w:abstractNum w:abstractNumId="14">
    <w:nsid w:val="EFF1EBDE"/>
    <w:multiLevelType w:val="singleLevel"/>
    <w:tmpl w:val="EFF1EBDE"/>
    <w:lvl w:ilvl="0" w:tentative="0">
      <w:start w:val="1"/>
      <w:numFmt w:val="bullet"/>
      <w:lvlText w:val=""/>
      <w:lvlJc w:val="left"/>
      <w:pPr>
        <w:ind w:left="720" w:hanging="360"/>
      </w:pPr>
      <w:rPr>
        <w:rFonts w:hint="default" w:ascii="Symbol" w:hAnsi="Symbol" w:cs="Symbol"/>
        <w:sz w:val="20"/>
      </w:rPr>
    </w:lvl>
  </w:abstractNum>
  <w:abstractNum w:abstractNumId="15">
    <w:nsid w:val="EFFE520C"/>
    <w:multiLevelType w:val="singleLevel"/>
    <w:tmpl w:val="EFFE520C"/>
    <w:lvl w:ilvl="0" w:tentative="0">
      <w:start w:val="1"/>
      <w:numFmt w:val="bullet"/>
      <w:lvlText w:val=""/>
      <w:lvlJc w:val="left"/>
      <w:pPr>
        <w:ind w:left="720" w:hanging="360"/>
      </w:pPr>
      <w:rPr>
        <w:rFonts w:hint="default" w:ascii="Symbol" w:hAnsi="Symbol" w:cs="Symbol"/>
        <w:sz w:val="20"/>
      </w:rPr>
    </w:lvl>
  </w:abstractNum>
  <w:abstractNum w:abstractNumId="16">
    <w:nsid w:val="F3F68E70"/>
    <w:multiLevelType w:val="singleLevel"/>
    <w:tmpl w:val="F3F68E70"/>
    <w:lvl w:ilvl="0" w:tentative="0">
      <w:start w:val="1"/>
      <w:numFmt w:val="bullet"/>
      <w:lvlText w:val=""/>
      <w:lvlJc w:val="left"/>
      <w:pPr>
        <w:ind w:left="720" w:hanging="360"/>
      </w:pPr>
      <w:rPr>
        <w:rFonts w:hint="default" w:ascii="Symbol" w:hAnsi="Symbol" w:cs="Symbol"/>
        <w:sz w:val="20"/>
      </w:rPr>
    </w:lvl>
  </w:abstractNum>
  <w:abstractNum w:abstractNumId="17">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8">
    <w:nsid w:val="F5EE344A"/>
    <w:multiLevelType w:val="singleLevel"/>
    <w:tmpl w:val="F5EE344A"/>
    <w:lvl w:ilvl="0" w:tentative="0">
      <w:start w:val="1"/>
      <w:numFmt w:val="bullet"/>
      <w:lvlText w:val=""/>
      <w:lvlJc w:val="left"/>
      <w:pPr>
        <w:ind w:left="720" w:hanging="360"/>
      </w:pPr>
      <w:rPr>
        <w:rFonts w:hint="default" w:ascii="Symbol" w:hAnsi="Symbol" w:cs="Symbol"/>
        <w:sz w:val="20"/>
      </w:rPr>
    </w:lvl>
  </w:abstractNum>
  <w:abstractNum w:abstractNumId="19">
    <w:nsid w:val="F9E3156E"/>
    <w:multiLevelType w:val="singleLevel"/>
    <w:tmpl w:val="F9E3156E"/>
    <w:lvl w:ilvl="0" w:tentative="0">
      <w:start w:val="1"/>
      <w:numFmt w:val="bullet"/>
      <w:lvlText w:val=""/>
      <w:lvlJc w:val="left"/>
      <w:pPr>
        <w:ind w:left="720" w:hanging="360"/>
      </w:pPr>
      <w:rPr>
        <w:rFonts w:hint="default" w:ascii="Symbol" w:hAnsi="Symbol" w:cs="Symbol"/>
        <w:sz w:val="20"/>
      </w:rPr>
    </w:lvl>
  </w:abstractNum>
  <w:abstractNum w:abstractNumId="20">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1">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22">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23">
    <w:nsid w:val="FFBE770D"/>
    <w:multiLevelType w:val="singleLevel"/>
    <w:tmpl w:val="FFBE770D"/>
    <w:lvl w:ilvl="0" w:tentative="0">
      <w:start w:val="1"/>
      <w:numFmt w:val="bullet"/>
      <w:lvlText w:val=""/>
      <w:lvlJc w:val="left"/>
      <w:pPr>
        <w:ind w:left="720" w:hanging="360"/>
      </w:pPr>
      <w:rPr>
        <w:rFonts w:hint="default" w:ascii="Symbol" w:hAnsi="Symbol" w:cs="Symbol"/>
        <w:sz w:val="20"/>
      </w:rPr>
    </w:lvl>
  </w:abstractNum>
  <w:abstractNum w:abstractNumId="24">
    <w:nsid w:val="FFDB3701"/>
    <w:multiLevelType w:val="singleLevel"/>
    <w:tmpl w:val="FFDB3701"/>
    <w:lvl w:ilvl="0" w:tentative="0">
      <w:start w:val="1"/>
      <w:numFmt w:val="decimal"/>
      <w:lvlText w:val="%1."/>
      <w:lvlJc w:val="left"/>
      <w:pPr>
        <w:ind w:left="720" w:hanging="360"/>
      </w:pPr>
      <w:rPr>
        <w:sz w:val="24"/>
      </w:rPr>
    </w:lvl>
  </w:abstractNum>
  <w:abstractNum w:abstractNumId="25">
    <w:nsid w:val="FFEB5902"/>
    <w:multiLevelType w:val="singleLevel"/>
    <w:tmpl w:val="FFEB5902"/>
    <w:lvl w:ilvl="0" w:tentative="0">
      <w:start w:val="1"/>
      <w:numFmt w:val="bullet"/>
      <w:lvlText w:val=""/>
      <w:lvlJc w:val="left"/>
      <w:pPr>
        <w:ind w:left="720" w:hanging="360"/>
      </w:pPr>
      <w:rPr>
        <w:rFonts w:hint="default" w:ascii="Symbol" w:hAnsi="Symbol" w:cs="Symbol"/>
        <w:sz w:val="20"/>
      </w:rPr>
    </w:lvl>
  </w:abstractNum>
  <w:abstractNum w:abstractNumId="26">
    <w:nsid w:val="FFFE1B32"/>
    <w:multiLevelType w:val="singleLevel"/>
    <w:tmpl w:val="FFFE1B32"/>
    <w:lvl w:ilvl="0" w:tentative="0">
      <w:start w:val="1"/>
      <w:numFmt w:val="bullet"/>
      <w:lvlText w:val=""/>
      <w:lvlJc w:val="left"/>
      <w:pPr>
        <w:ind w:left="720" w:hanging="360"/>
      </w:pPr>
      <w:rPr>
        <w:rFonts w:hint="default" w:ascii="Symbol" w:hAnsi="Symbol" w:cs="Symbol"/>
        <w:sz w:val="20"/>
      </w:rPr>
    </w:lvl>
  </w:abstractNum>
  <w:abstractNum w:abstractNumId="27">
    <w:nsid w:val="FFFF32AE"/>
    <w:multiLevelType w:val="singleLevel"/>
    <w:tmpl w:val="FFFF32AE"/>
    <w:lvl w:ilvl="0" w:tentative="0">
      <w:start w:val="1"/>
      <w:numFmt w:val="bullet"/>
      <w:lvlText w:val=""/>
      <w:lvlJc w:val="left"/>
      <w:pPr>
        <w:ind w:left="720" w:hanging="360"/>
      </w:pPr>
      <w:rPr>
        <w:rFonts w:hint="default" w:ascii="Symbol" w:hAnsi="Symbol" w:cs="Symbol"/>
        <w:sz w:val="20"/>
      </w:rPr>
    </w:lvl>
  </w:abstractNum>
  <w:abstractNum w:abstractNumId="28">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29">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0">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1">
    <w:nsid w:val="3B9F0708"/>
    <w:multiLevelType w:val="singleLevel"/>
    <w:tmpl w:val="3B9F0708"/>
    <w:lvl w:ilvl="0" w:tentative="0">
      <w:start w:val="1"/>
      <w:numFmt w:val="bullet"/>
      <w:lvlText w:val=""/>
      <w:lvlJc w:val="left"/>
      <w:pPr>
        <w:ind w:left="720" w:hanging="360"/>
      </w:pPr>
      <w:rPr>
        <w:rFonts w:hint="default" w:ascii="Symbol" w:hAnsi="Symbol" w:cs="Symbol"/>
        <w:sz w:val="20"/>
      </w:rPr>
    </w:lvl>
  </w:abstractNum>
  <w:abstractNum w:abstractNumId="32">
    <w:nsid w:val="3BFE255F"/>
    <w:multiLevelType w:val="singleLevel"/>
    <w:tmpl w:val="3BFE255F"/>
    <w:lvl w:ilvl="0" w:tentative="0">
      <w:start w:val="1"/>
      <w:numFmt w:val="bullet"/>
      <w:lvlText w:val=""/>
      <w:lvlJc w:val="left"/>
      <w:pPr>
        <w:ind w:left="720" w:hanging="360"/>
      </w:pPr>
      <w:rPr>
        <w:rFonts w:hint="default" w:ascii="Symbol" w:hAnsi="Symbol" w:cs="Symbol"/>
        <w:sz w:val="20"/>
      </w:rPr>
    </w:lvl>
  </w:abstractNum>
  <w:abstractNum w:abstractNumId="33">
    <w:nsid w:val="56F05D5C"/>
    <w:multiLevelType w:val="singleLevel"/>
    <w:tmpl w:val="56F05D5C"/>
    <w:lvl w:ilvl="0" w:tentative="0">
      <w:start w:val="1"/>
      <w:numFmt w:val="bullet"/>
      <w:lvlText w:val=""/>
      <w:lvlJc w:val="left"/>
      <w:pPr>
        <w:ind w:left="720" w:hanging="360"/>
      </w:pPr>
      <w:rPr>
        <w:rFonts w:hint="default" w:ascii="Symbol" w:hAnsi="Symbol" w:cs="Symbol"/>
        <w:sz w:val="20"/>
      </w:rPr>
    </w:lvl>
  </w:abstractNum>
  <w:abstractNum w:abstractNumId="34">
    <w:nsid w:val="5DA7B75B"/>
    <w:multiLevelType w:val="singleLevel"/>
    <w:tmpl w:val="5DA7B75B"/>
    <w:lvl w:ilvl="0" w:tentative="0">
      <w:start w:val="1"/>
      <w:numFmt w:val="bullet"/>
      <w:lvlText w:val=""/>
      <w:lvlJc w:val="left"/>
      <w:pPr>
        <w:ind w:left="720" w:hanging="360"/>
      </w:pPr>
      <w:rPr>
        <w:rFonts w:hint="default" w:ascii="Symbol" w:hAnsi="Symbol" w:cs="Symbol"/>
        <w:sz w:val="20"/>
      </w:rPr>
    </w:lvl>
  </w:abstractNum>
  <w:abstractNum w:abstractNumId="35">
    <w:nsid w:val="6FDC2F82"/>
    <w:multiLevelType w:val="singleLevel"/>
    <w:tmpl w:val="6FDC2F82"/>
    <w:lvl w:ilvl="0" w:tentative="0">
      <w:start w:val="1"/>
      <w:numFmt w:val="bullet"/>
      <w:lvlText w:val=""/>
      <w:lvlJc w:val="left"/>
      <w:pPr>
        <w:ind w:left="720" w:hanging="360"/>
      </w:pPr>
      <w:rPr>
        <w:rFonts w:hint="default" w:ascii="Symbol" w:hAnsi="Symbol" w:cs="Symbol"/>
        <w:sz w:val="20"/>
      </w:rPr>
    </w:lvl>
  </w:abstractNum>
  <w:abstractNum w:abstractNumId="36">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37">
    <w:nsid w:val="75FFD4B0"/>
    <w:multiLevelType w:val="singleLevel"/>
    <w:tmpl w:val="75FFD4B0"/>
    <w:lvl w:ilvl="0" w:tentative="0">
      <w:start w:val="1"/>
      <w:numFmt w:val="bullet"/>
      <w:lvlText w:val=""/>
      <w:lvlJc w:val="left"/>
      <w:pPr>
        <w:ind w:left="720" w:hanging="360"/>
      </w:pPr>
      <w:rPr>
        <w:rFonts w:hint="default" w:ascii="Symbol" w:hAnsi="Symbol" w:cs="Symbol"/>
        <w:sz w:val="20"/>
      </w:rPr>
    </w:lvl>
  </w:abstractNum>
  <w:abstractNum w:abstractNumId="38">
    <w:nsid w:val="77EE00DD"/>
    <w:multiLevelType w:val="singleLevel"/>
    <w:tmpl w:val="77EE00DD"/>
    <w:lvl w:ilvl="0" w:tentative="0">
      <w:start w:val="1"/>
      <w:numFmt w:val="bullet"/>
      <w:lvlText w:val=""/>
      <w:lvlJc w:val="left"/>
      <w:pPr>
        <w:ind w:left="720" w:hanging="360"/>
      </w:pPr>
      <w:rPr>
        <w:rFonts w:hint="default" w:ascii="Symbol" w:hAnsi="Symbol" w:cs="Symbol"/>
        <w:sz w:val="20"/>
      </w:rPr>
    </w:lvl>
  </w:abstractNum>
  <w:abstractNum w:abstractNumId="39">
    <w:nsid w:val="7DEEA347"/>
    <w:multiLevelType w:val="singleLevel"/>
    <w:tmpl w:val="7DEEA347"/>
    <w:lvl w:ilvl="0" w:tentative="0">
      <w:start w:val="1"/>
      <w:numFmt w:val="bullet"/>
      <w:lvlText w:val=""/>
      <w:lvlJc w:val="left"/>
      <w:pPr>
        <w:ind w:left="720" w:hanging="360"/>
      </w:pPr>
      <w:rPr>
        <w:rFonts w:hint="default" w:ascii="Symbol" w:hAnsi="Symbol" w:cs="Symbol"/>
        <w:sz w:val="20"/>
      </w:rPr>
    </w:lvl>
  </w:abstractNum>
  <w:abstractNum w:abstractNumId="40">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41">
    <w:nsid w:val="7F5E4DA6"/>
    <w:multiLevelType w:val="singleLevel"/>
    <w:tmpl w:val="7F5E4DA6"/>
    <w:lvl w:ilvl="0" w:tentative="0">
      <w:start w:val="1"/>
      <w:numFmt w:val="bullet"/>
      <w:lvlText w:val=""/>
      <w:lvlJc w:val="left"/>
      <w:pPr>
        <w:ind w:left="720" w:hanging="360"/>
      </w:pPr>
      <w:rPr>
        <w:rFonts w:hint="default" w:ascii="Symbol" w:hAnsi="Symbol" w:cs="Symbol"/>
        <w:sz w:val="20"/>
      </w:rPr>
    </w:lvl>
  </w:abstractNum>
  <w:num w:numId="1">
    <w:abstractNumId w:val="30"/>
  </w:num>
  <w:num w:numId="2">
    <w:abstractNumId w:val="40"/>
  </w:num>
  <w:num w:numId="3">
    <w:abstractNumId w:val="2"/>
  </w:num>
  <w:num w:numId="4">
    <w:abstractNumId w:val="28"/>
  </w:num>
  <w:num w:numId="5">
    <w:abstractNumId w:val="20"/>
  </w:num>
  <w:num w:numId="6">
    <w:abstractNumId w:val="36"/>
  </w:num>
  <w:num w:numId="7">
    <w:abstractNumId w:val="17"/>
  </w:num>
  <w:num w:numId="8">
    <w:abstractNumId w:val="29"/>
  </w:num>
  <w:num w:numId="9">
    <w:abstractNumId w:val="21"/>
  </w:num>
  <w:num w:numId="10">
    <w:abstractNumId w:val="22"/>
  </w:num>
  <w:num w:numId="11">
    <w:abstractNumId w:val="4"/>
  </w:num>
  <w:num w:numId="12">
    <w:abstractNumId w:val="1"/>
  </w:num>
  <w:num w:numId="13">
    <w:abstractNumId w:val="33"/>
  </w:num>
  <w:num w:numId="14">
    <w:abstractNumId w:val="12"/>
  </w:num>
  <w:num w:numId="15">
    <w:abstractNumId w:val="23"/>
  </w:num>
  <w:num w:numId="16">
    <w:abstractNumId w:val="25"/>
  </w:num>
  <w:num w:numId="17">
    <w:abstractNumId w:val="37"/>
  </w:num>
  <w:num w:numId="18">
    <w:abstractNumId w:val="3"/>
  </w:num>
  <w:num w:numId="19">
    <w:abstractNumId w:val="27"/>
  </w:num>
  <w:num w:numId="20">
    <w:abstractNumId w:val="11"/>
  </w:num>
  <w:num w:numId="21">
    <w:abstractNumId w:val="0"/>
  </w:num>
  <w:num w:numId="22">
    <w:abstractNumId w:val="32"/>
  </w:num>
  <w:num w:numId="23">
    <w:abstractNumId w:val="15"/>
  </w:num>
  <w:num w:numId="24">
    <w:abstractNumId w:val="24"/>
  </w:num>
  <w:num w:numId="25">
    <w:abstractNumId w:val="39"/>
  </w:num>
  <w:num w:numId="26">
    <w:abstractNumId w:val="26"/>
  </w:num>
  <w:num w:numId="27">
    <w:abstractNumId w:val="8"/>
  </w:num>
  <w:num w:numId="28">
    <w:abstractNumId w:val="35"/>
  </w:num>
  <w:num w:numId="29">
    <w:abstractNumId w:val="6"/>
  </w:num>
  <w:num w:numId="30">
    <w:abstractNumId w:val="10"/>
  </w:num>
  <w:num w:numId="31">
    <w:abstractNumId w:val="7"/>
  </w:num>
  <w:num w:numId="32">
    <w:abstractNumId w:val="31"/>
  </w:num>
  <w:num w:numId="33">
    <w:abstractNumId w:val="34"/>
  </w:num>
  <w:num w:numId="34">
    <w:abstractNumId w:val="19"/>
  </w:num>
  <w:num w:numId="35">
    <w:abstractNumId w:val="18"/>
  </w:num>
  <w:num w:numId="36">
    <w:abstractNumId w:val="41"/>
  </w:num>
  <w:num w:numId="37">
    <w:abstractNumId w:val="9"/>
  </w:num>
  <w:num w:numId="38">
    <w:abstractNumId w:val="38"/>
  </w:num>
  <w:num w:numId="39">
    <w:abstractNumId w:val="16"/>
  </w:num>
  <w:num w:numId="40">
    <w:abstractNumId w:val="13"/>
  </w:num>
  <w:num w:numId="41">
    <w:abstractNumId w:val="14"/>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C5E508"/>
    <w:rsid w:val="7FF6C12C"/>
    <w:rsid w:val="AFFE4F68"/>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23</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2025-09-30T20:10:17Z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41F0FA271C99140EA9C8DB680A8C35AB_43</vt:lpwstr>
  </property>
  <property fmtid="{D5CDD505-2E9C-101B-9397-08002B2CF9AE}" pid="4" name="KSOTemplateDocerSaveRecord">
    <vt:lpwstr>eyJoZGlkIjoiNzI4YmNmYThhZjA0NTVhODllNDhjMGZiNmFkMDJjN2YiLCJ1c2VySWQiOiIxNjA5OTI0MDI0In0=</vt:lpwstr>
  </property>
</Properties>
</file>