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73781">
      <w:pPr>
        <w:pStyle w:val="2"/>
      </w:pPr>
    </w:p>
    <w:p w14:paraId="13E991D0">
      <w:pPr>
        <w:pStyle w:val="2"/>
      </w:pPr>
      <w:r>
        <w:t>干式变压器绕线车间卧式绕线机风扇技术手册</w:t>
      </w:r>
    </w:p>
    <w:p w14:paraId="51A3916D">
      <w:pPr>
        <w:pStyle w:val="3"/>
      </w:pPr>
      <w:r>
        <w:t>一、概述</w:t>
      </w:r>
    </w:p>
    <w:p w14:paraId="1E4BC99C">
      <w:pPr>
        <w:pStyle w:val="4"/>
      </w:pPr>
      <w:r>
        <w:t>1.1 手册目的与适用范围</w:t>
      </w:r>
    </w:p>
    <w:p w14:paraId="65463591">
      <w:r>
        <w:t>本手册旨在为干式变压器绕线车间的设备工程师、维修技术人员及操作人员提供关于卧式绕线机风扇系统的专业技术指导，内容涵盖结构组成、功能原理、故障诊断、维护保养等全生命周期管理要点。手册适用于主流卧式绕线机风扇系统，尤其针对RX系列（如RX-1、RX-5、RX-10型等）及同类规格设备，可作为日常操作、故障排除及预防性维护的标准化参考文件。使用本手册时，需结合设备具体型号的技术说明书，确保操作符合原厂设计规范。</w:t>
      </w:r>
    </w:p>
    <w:p w14:paraId="48A72289">
      <w:pPr>
        <w:pStyle w:val="4"/>
      </w:pPr>
      <w:r>
        <w:t>1.2 风扇系统在绕线机中的作用与重要性</w:t>
      </w:r>
    </w:p>
    <w:p w14:paraId="3A43F0FA">
      <w:r>
        <w:t>干式变压器卧式绕线机在运行过程中，线圈绕制区域会因电流通过、机械摩擦产生大量热量，若热量积聚将导致绕组绝缘老化加速、设备运行精度下降，甚至引发线圈短路等严重故障。风扇系统作为实现强迫空气冷却（AF）的核心部件，通过定向气流将绕组及关键部件的热量及时带走，是保障设备在额定工况下连续稳定运行的关键。根据干式变压器绝缘等级（F级允许最高温度155℃，H级180℃）要求，风扇系统需将绕组温升严格控制在40K以内，确保绕制过程中绝缘性能不受温度影响。对于高转速（主轴转速0-150r/min）、大负载（如绕制35kV及以上变压器线圈）的工况，风扇系统的散热效率直接决定了设备的生产效率与产品质量。</w:t>
      </w:r>
    </w:p>
    <w:p w14:paraId="3A13D25F">
      <w:pPr>
        <w:pStyle w:val="3"/>
      </w:pPr>
      <w:r>
        <w:t>二、风扇系统结构组成</w:t>
      </w:r>
    </w:p>
    <w:p w14:paraId="13B8382D">
      <w:pPr>
        <w:pStyle w:val="4"/>
      </w:pPr>
      <w:r>
        <w:t>2.1 风扇类型与选型依据</w:t>
      </w:r>
    </w:p>
    <w:p w14:paraId="40DEEA4F">
      <w:r>
        <w:t>卧式绕线机风扇系统主要采用轴流风机，其选型需满足散热效率、安装空间及环境适应性要求。按叶轮材质分为金属（铝合金6061-T6）和工程塑料（PA6+GF30）两类：金属叶轮适用于高温、多粉尘车间，具备更高强度和耐磨性；塑料叶轮则重量轻、噪声低，适用于对振动控制要求较高的精密绕线场景。电机功率根据设备规格从0.37kW（小型RX-1型）到1.5kW（大型RX-10型）不等，适配380V三相电源，转速范围覆盖1450-2800r/min，可通过变频器实现无级调速。选型时需匹配绕线机额定负载下的散热需求，例如绕制直径1.2m、长度2.5m的线圈时，需配置风量≥850m³/h的风扇，以确保空气流速达到1.2m/s以上，满足强迫冷却要求。</w:t>
      </w:r>
    </w:p>
    <w:p w14:paraId="581B65F3">
      <w:pPr>
        <w:pStyle w:val="4"/>
      </w:pPr>
      <w:r>
        <w:t>2.2 安装位置与布局设计</w:t>
      </w:r>
    </w:p>
    <w:p w14:paraId="3ED68F12">
      <w:r>
        <w:t>风扇系统的安装位置需形成沿线圈轴向的高效对流通道。主机箱两侧的主风扇（每侧1-2台）负责从外部吸入冷空气，经导流罩引导后沿线圈径向吹向绕组表面；后尾座上方的辅助风扇则加速热空气排出，形成“吸入-冷却-排出”的闭环气流路径。对于RX-10及以上大型机型，导轨下方增设2台低噪声轴流风机，通过机架内部风道将气流导向主轴箱和变速箱，避免传动部件过热。风扇与线圈的距离设计为叶轮直径的1.5-2倍（约300-450mm），既保证气流均匀覆盖绕组表面，又避免气流扰动影响绕线张力稳定性。安装布局需满足GB/T 10068-2020《轴流通风机》中关于气流组织的要求，确保无明显涡流区。</w:t>
      </w:r>
    </w:p>
    <w:p w14:paraId="4BAD331C">
      <w:pPr>
        <w:pStyle w:val="4"/>
      </w:pPr>
      <w:r>
        <w:t>2.3 主要部件结构与技术参数</w:t>
      </w:r>
    </w:p>
    <w:p w14:paraId="3CABE0E6">
      <w:r>
        <w:t>风扇系统由风机主体、导流罩、温控传感器及电机驱动模块组成。风机主体包括叶轮、电机及轴承组件：叶轮采用3-4片不等厚扭曲设计，叶片安装角15°-20°，弦长从叶根到叶尖线性递减，以降低气流分离噪声；电机为三相异步电机，防护等级IP54，绝缘等级F级，配置过热保护装置（内置双金属片，动作温度120℃）；轴承采用哈尔滨轴承厂深沟球轴承（型号6205用于小型风机，6306用于大型风机），配合迷宫式密封结构，防止粉尘进入。导流罩为流线型设计，材质为冷轧钢板喷塑，内壁光滑以减少风阻，出风口风速均匀度误差≤±5%。温控传感器采用PT100铂电阻，测量范围-50-200℃，精度±0.5℃，安装于线圈表面10mm处，实时反馈温度信号至控制系统。电机驱动模块包含变频器（如三菱FR-D740系列）和继电器，支持0-50Hz频率调节，响应时间≤100ms。</w:t>
      </w:r>
    </w:p>
    <w:p w14:paraId="40EDFC33">
      <w:pPr>
        <w:pStyle w:val="3"/>
      </w:pPr>
      <w:r>
        <w:t>三、风扇系统功能作用</w:t>
      </w:r>
    </w:p>
    <w:p w14:paraId="7744A159">
      <w:pPr>
        <w:pStyle w:val="4"/>
      </w:pPr>
      <w:r>
        <w:t>3.1 强迫空气冷却（AF）功能实现</w:t>
      </w:r>
    </w:p>
    <w:p w14:paraId="2B072E3F">
      <w:r>
        <w:t>风扇系统通过以下过程实现强迫空气冷却：电机驱动叶轮旋转产生轴向气流，经导流罩整流后形成均匀气流束，垂直吹向绕制中的线圈表面；气流与高温绕组进行对流换热，吸收热量后温度升高，再由尾座风扇抽出并排出机外，完成散热循环。散热效率与风量、气流速度及换热面积直接相关：当风量为850m³/h、气流速度1.2m/s时，可使10kW损耗产生的热量在30分钟内将绕组温升控制在40K以内，满足F级绝缘的温度要求。系统还具备温度自适应调节功能，当PT100传感器检测到绕组温度超过65℃时，自动提升风扇转速（如从1450r/min升至2200r/min），直至温度降至55℃以下恢复基础转速，实现节能与散热的动态平衡。</w:t>
      </w:r>
    </w:p>
    <w:p w14:paraId="778FBE2A">
      <w:pPr>
        <w:pStyle w:val="4"/>
      </w:pPr>
      <w:r>
        <w:t>3.2 与绕线机工况的适配性</w:t>
      </w:r>
    </w:p>
    <w:p w14:paraId="34FFF7BD">
      <w:r>
        <w:t>风扇系统需与绕线机的运行工况实时匹配，确保不同绕制阶段的散热需求得到满足。在启动阶段（主轴转速0-30r/min），线圈发热量低，风扇以1450r/min的基础转速运行；当进入稳定绕制阶段（转速30-150r/min），随着绕线速度提升，线圈通过电流增大，风扇转速同步升至1800-2800r/min，风量线性增加。对于特殊工艺（如多层叠绕），系统支持手动模式调节风量，操作人员可通过触摸屏设置目标转速（如2500r/min），适应局部高温区域的强化散热需求。此外，风扇与主轴系统联锁：当主轴因故障停机时，风扇继续运行30秒，确保绕组余热充分散发，避免局部过热导致绝缘损伤。</w:t>
      </w:r>
    </w:p>
    <w:p w14:paraId="2F401EA9">
      <w:pPr>
        <w:pStyle w:val="4"/>
      </w:pPr>
      <w:r>
        <w:t>3.3 安全防护功能</w:t>
      </w:r>
    </w:p>
    <w:p w14:paraId="174C6976">
      <w:r>
        <w:t>风扇系统的安全防护设计涵盖机械防护与电气保护两方面。机械防护通过金属防护网罩实现，网孔直径≤8mm，防止操作过程中线头、工具等异物进入叶轮；网罩与风机主体采用卡扣式连接，拆卸方便且具备防松设计，确保运行中不脱落。电气保护包括电机过载保护（通过热继电器实现，动作电流1.2倍额定值）、缺相保护（变频器内置检测功能，响应时间≤0.1s）及短路保护（空气开关瞬时脱扣电流10倍额定值）。此外，风扇系统与绕线机急停系统联动，当按下急停按钮时，风扇电机立即断电，避免故障状态下持续运转扩大风险；故障排除后，需手动复位急停按钮并重启风扇，防止误启动。</w:t>
      </w:r>
    </w:p>
    <w:p w14:paraId="1F19C472">
      <w:pPr>
        <w:pStyle w:val="3"/>
      </w:pPr>
      <w:r>
        <w:t>四、机械工作原理</w:t>
      </w:r>
    </w:p>
    <w:p w14:paraId="37D30548">
      <w:pPr>
        <w:pStyle w:val="4"/>
      </w:pPr>
      <w:r>
        <w:t>4.1 传动机构与动力传递</w:t>
      </w:r>
    </w:p>
    <w:p w14:paraId="7A63DD1D">
      <w:r>
        <w:t>风扇系统的传动机构与绕线机主轴动力系统协同设计，实现动力的高效传递与转速匹配。主电机通过联轴器连接蜗杆-蜗轮减速器（减速比1:5），输出轴经链传动（链条型号08B-1）带动风扇传动轴，传动轴两端通过键连接驱动两侧主风扇叶轮旋转。对于多风扇布局（如RX-5型配置4台风扇），采用分动箱结构将动力分配至各风扇轴，确保转速一致（误差≤2%）。传动过程中，张紧轮装置自动调节链条张力，避免因振动导致跳齿；轴承座采用铸铁材质，通过螺栓刚性固定于机架，减少传动过程中的挠度变形。动力传递路径为：主电机→减速器→链传动→分动箱→风扇轴→叶轮，整个系统机械效率≥90%，确保输入功率有效转化为气流动能。</w:t>
      </w:r>
    </w:p>
    <w:p w14:paraId="5678FBF9">
      <w:pPr>
        <w:pStyle w:val="4"/>
      </w:pPr>
      <w:r>
        <w:t>4.2 轴承系统与润滑机制</w:t>
      </w:r>
    </w:p>
    <w:p w14:paraId="2F06674B">
      <w:r>
        <w:t>风扇轴承系统采用深沟球轴承，承受径向载荷为主，同时承受少量轴向窜动。轴承内圈与风扇轴过盈配合（配合公差H7/k6），外圈与轴承座过渡配合（H7/g6），通过弹性挡圈实现轴向定位。润滑采用锂基润滑脂（型号ZL-3），具备良好的高低温性能（适用温度-20-120℃）和抗水性，填充量为轴承空腔的1/3-1/2：填充量过少会导致润滑不良，过多则因搅拌发热加剧温度升高。润滑周期根据运行时间设定：每日运行8小时的工况下，每3个月补充一次润滑脂，每次用量0.5-1g（小型轴承）或1-2g（大型轴承）；每年进行彻底清洗并更换新脂，清除老化油脂及磨屑。轴承正常运行温度≤75℃，当温升超过40K时，需检查润滑状态或更换轴承。</w:t>
      </w:r>
    </w:p>
    <w:p w14:paraId="50629BC7">
      <w:pPr>
        <w:pStyle w:val="4"/>
      </w:pPr>
      <w:r>
        <w:t>4.3 叶轮设计与气流动力学特性</w:t>
      </w:r>
    </w:p>
    <w:p w14:paraId="08A82DA3">
      <w:r>
        <w:t>叶轮设计需兼顾风量、风压与噪声控制，采用3-4片不等厚扭曲叶片，叶型按NACA翼型优化，最大升力系数达1.2。叶片安装角从叶根15°向叶尖20°渐变，减少气流在叶尖处的分离损失；弦长从叶根（80mm）到叶尖（40mm）线性递减，使叶片各截面保持最佳攻角。叶轮经动平衡校正，残余不平衡量≤5g·mm，确保运行时振动速度≤4.5mm/s（符合ISO 10816-3标准）。叶轮与防护罩间隙设计为叶轮直径的5%（约15mm），过小会产生气流阻塞噪声，过大则导致气流回流损失，降低风量约10%。通过CFD流场模拟优化，叶轮在1450r/min转速下可产生120Pa全压，满足长距离风道（如机架内部3m长风道）的送风需求，同时将运行噪声控制在75dB(A)以下（距离1m处测量）。</w:t>
      </w:r>
    </w:p>
    <w:p w14:paraId="6B3F8330">
      <w:pPr>
        <w:pStyle w:val="3"/>
      </w:pPr>
      <w:r>
        <w:t>五、电气控制原理</w:t>
      </w:r>
    </w:p>
    <w:p w14:paraId="1C24E36F">
      <w:pPr>
        <w:pStyle w:val="4"/>
      </w:pPr>
      <w:r>
        <w:t>5.1 电机控制回路组成</w:t>
      </w:r>
    </w:p>
    <w:p w14:paraId="360AB6AC">
      <w:r>
        <w:t>风扇电机控制回路以PLC为核心，由三相异步电机、变频器、继电器及信号检测元件组成。主回路中，三相电源经空气开关QF3（额定电流10A）接入变频器输入端（R、S、T端子），变频器输出端（U、V、W）连接电机，通过调节输出频率（0-50Hz）实现电机无级调速。控制回路中，PLC（三菱FX5U系列）数字量输出模块（Y0-Y3）控制变频器启停及正反转，模拟量输出模块（DA模块）输出4-20mA电流信号对应0-50Hz频率指令。电机配置增量式编码器（线数1024），实时反馈转速信号至PLC高速计数模块，形成速度闭环控制。操作面板设置“手动/自动”切换开关及转速调节旋钮，自动模式下由温控传感器信号控制转速，手动模式下可通过旋钮直接设定目标转速。</w:t>
      </w:r>
    </w:p>
    <w:p w14:paraId="4B22F340">
      <w:pPr>
        <w:pStyle w:val="4"/>
      </w:pPr>
      <w:r>
        <w:t>5.2 调速系统与闭环控制</w:t>
      </w:r>
    </w:p>
    <w:p w14:paraId="6A061F77">
      <w:r>
        <w:t>调速系统采用双闭环控制结构：外环为温度环，PLC将PT100传感器检测的绕组温度（4-20mA模拟量信号）与设定温度（默认65℃）比较，通过PID算法输出转速指令（如温度每升高5℃，转速提升200r/min）；内环为速度环，变频器接收PLC的转速指令后，通过编码器反馈的实际转速（脉冲信号）进行PID调节，确保转速控制精度±1r/min。当主轴转速变化时（如从30r/min升至60r/min），PLC从主轴编码器获取转速信号，按预设比例（主轴转速每增加10r/min，风扇转速增加300r/min）调整转速指令，实现风扇与主轴的动态匹配。调速响应时间≤0.5s，确保突发负载变化时温度不超调。</w:t>
      </w:r>
    </w:p>
    <w:p w14:paraId="20DA4B46">
      <w:pPr>
        <w:pStyle w:val="4"/>
      </w:pPr>
      <w:r>
        <w:t>5.3 保护装置与联锁逻辑</w:t>
      </w:r>
    </w:p>
    <w:p w14:paraId="286F296F">
      <w:r>
        <w:t>风扇系统保护装置涵盖电气与机械多重防护。电气保护包括：过流保护（变频器检测输出电流超过额定值150%时，0.5s内停机并报“E01”故障）；过载保护（热继电器动作电流设定为电机额定电流的1.1倍，动作后切断控制回路）；过热保护（电机内置PTC热敏电阻，温度超过120℃时反馈信号至PLC，触发停机并报“E02”故障）。机械联锁逻辑包括：主轴未启动时，风扇仅能以最低转速（1450r/min）运行；急停按钮按下时，PLC切断变频器使能信号，电机自由停车；防护罩打开时，限位开关触发，风扇立即停机并锁定，需关闭防护罩后手动复位。控制程序中设置“故障记忆”功能，可记录最近5次故障代码及发生时间，便于故障追溯。</w:t>
      </w:r>
    </w:p>
    <w:p w14:paraId="051450FF">
      <w:pPr>
        <w:pStyle w:val="3"/>
      </w:pPr>
      <w:r>
        <w:t>六、常见故障现象与成因分析</w:t>
      </w:r>
    </w:p>
    <w:p w14:paraId="2E3991AB">
      <w:pPr>
        <w:pStyle w:val="4"/>
      </w:pPr>
      <w:r>
        <w:t>6.1 异响故障</w:t>
      </w:r>
    </w:p>
    <w:p w14:paraId="4DCA2D0D">
      <w:r>
        <w:t>异响是风扇系统最常见故障，不同声音特征对应不同成因。“哒哒”声且伴随周期性振动，多为扇叶固定螺丝松动（扭矩不足25N·m）或叶片变形（如因碰撞导致叶尖弯曲），使叶轮旋转时与防护罩间隙不均匀（局部间隙＜5mm）；“吱吱”连续摩擦声，源于轴承润滑不良（润滑脂老化或填充量不足），金属摩擦加剧产生高频噪声；突然出现的撞击声，通常是防护网破损后异物（如金属碎屑、线头）进入叶轮，与叶片碰撞所致；不规则杂音伴随转速波动，则可能是电机转子动平衡失效（如鼠笼条断裂）或编码器信号干扰，导致转速忽高忽低。环境粉尘浓度过高（＞10mg/m³）时，扇叶积尘形成偏心质量，也会引发低频嗡鸣。</w:t>
      </w:r>
    </w:p>
    <w:p w14:paraId="27B8DBD8">
      <w:pPr>
        <w:pStyle w:val="4"/>
      </w:pPr>
      <w:r>
        <w:t>6.2 振动异常故障</w:t>
      </w:r>
    </w:p>
    <w:p w14:paraId="728D2C78">
      <w:r>
        <w:t>振动异常表现为机身振幅超过0.08mm（位移传感器检测），主要成因包括：转子不平衡，叶片积尘（每平方厘米附着0.5g粉尘可导致不平衡量增加3g·mm）、磨损（叶尖缺损5mm以上）或异物附着（如缠绕的漆包线线头），使质量分布不均；轴承损坏，内圈滚道剥落或滚珠磨损（径向间隙＞0.1mm），导致旋转中心偏移；联轴器不对中，安装时轴向偏差＞0.1mm或角向偏差＞0.5°，产生周期性径向力；地脚螺栓松动（扭矩降至15N·m以下），使风扇与机架共振频率接近运行频率（1450r/min对应24.2Hz），引发共振。振动频谱分析显示，1倍频（与转速同频）振动幅值占比超过70%时，多为转子不平衡或联轴器不对中；高频振动（10倍频以上）则指向轴承故障。</w:t>
      </w:r>
    </w:p>
    <w:p w14:paraId="7F23566B">
      <w:pPr>
        <w:pStyle w:val="4"/>
      </w:pPr>
      <w:r>
        <w:t>6.3 过热故障</w:t>
      </w:r>
    </w:p>
    <w:p w14:paraId="1DC66145">
      <w:r>
        <w:t>过热故障可通过红外测温仪检测：轴承温度超过75℃或电机外壳温度超过85℃即为异常。轴承过热常见成因：润滑脂劣化（使用超过6个月后滴点下降，流动性变差）、填充量不足（＜轴承空腔1/3）或过多（＞2/3），导致摩擦热无法及时散发；轴承安装过紧（内圈与轴过盈量＞0.03mm），游隙减小引发发热。电机过热原因包括：电源缺相（三相电流不平衡度＞10%），导致绕组局部过流；散热通道堵塞，风机进风口被粉尘覆盖（遮挡面积＞20%），或电机散热片积灰（厚度＞1mm），散热效率下降40%；电机过载，实际运行电流超过额定值（如0.75kW电机电流＞1.5A），长时间运行导致绕组温度升高；绕组绝缘老化，匝间短路使局部涡流增大，温度异常升高（局部热点温度可达150℃以上）。</w:t>
      </w:r>
    </w:p>
    <w:p w14:paraId="7E0BB52F">
      <w:pPr>
        <w:pStyle w:val="4"/>
      </w:pPr>
      <w:r>
        <w:t>6.4 停转故障</w:t>
      </w:r>
    </w:p>
    <w:p w14:paraId="4F240F14">
      <w:r>
        <w:t>风扇停转表现为电机无输出或叶轮卡死，需从机械与电气两方面排查。机械原因：轴承缺油卡死（润滑脂完全干涸，转动阻力矩＞5N·m）；扇叶被异物卡住，如缠绕的线头（长度超过50mm）或金属碎片卡入叶片与防护罩间隙；叶轮与轴连接键松动或断裂，动力传递失效。电气原因：电机烧毁，绕组对地绝缘电阻＜0.5MΩ（万用表检测）或匝间短路（三相直流电阻不平衡度＞5%）；控制信号丢失，PLC输出模块故障（Y0端子无24V输出）或变频器故障（报“无指令”故障代码）；传感器误报，温控传感器断线（输出信号＜4mA）导致PLC误判“温度过低”，发出停转指令；电源故障，空气开关QF3跳闸（因过载或短路）或变频器输入电压＜320V（欠压保护动作）。新更换电机后停转，需检查接线是否正确（如星三角接线错误）或电机型号与变频器不匹配（如电机极数6极错配4极变频器）。</w:t>
      </w:r>
    </w:p>
    <w:p w14:paraId="566A2E1B">
      <w:pPr>
        <w:pStyle w:val="3"/>
      </w:pPr>
      <w:r>
        <w:t>七、故障排除对策与实例</w:t>
      </w:r>
    </w:p>
    <w:p w14:paraId="60DB70CE">
      <w:pPr>
        <w:pStyle w:val="4"/>
      </w:pPr>
      <w:r>
        <w:t>7.1 异响故障排除步骤</w:t>
      </w:r>
    </w:p>
    <w:p w14:paraId="598D2B2E">
      <w:r>
        <w:t>针对“哒哒”声故障，首先停机检查扇叶固定螺丝，使用扭矩扳手按25-30N·m扭矩重新紧固，若叶片变形，需用百分表校正（径向跳动≤0.1mm）或更换新叶轮；“吱吱”摩擦声处理时，拆卸轴承端盖，用煤油清洗旧脂后，加注ZL-3锂基润滑脂（填充量为轴承空腔1/2），手动转动叶轮感受阻力是否均匀；撞击声故障需拆除防护网，用压缩空气（0.4MPa）吹扫内部异物，检查网罩是否破损，破损处需焊接修复或更换；不规则杂音排除时，先清理扇叶积尘（用软毛刷配合吸尘器），再检查编码器线缆屏蔽层是否接地良好，消除电磁干扰。实例：RX-5型绕线机风扇“哒哒”声排除，紧固螺丝后振动幅度从0.12mm降至0.05mm，异响消失。</w:t>
      </w:r>
    </w:p>
    <w:p w14:paraId="069940D0">
      <w:pPr>
        <w:pStyle w:val="4"/>
      </w:pPr>
      <w:r>
        <w:t>7.2 振动异常排除方法</w:t>
      </w:r>
    </w:p>
    <w:p w14:paraId="76389DCC">
      <w:r>
        <w:t>转子不平衡校正：将叶轮拆下，在动平衡机上检测，通过在叶片配重孔添加铅合金块（重量≤5g），使残余不平衡量≤5g·mm；轴承损坏时，使用拉马拆卸旧轴承，更换同型号6205/6306轴承（注意型号后缀，如2RS表示双面胶封），安装时用铜棒敲击内圈，避免直接冲击滚动体；联轴器不对中调整：采用百分表找正，轴向偏差控制在0.05mm以内，角向偏差≤0.2°；地脚螺栓紧固需按对角线顺序，用扭矩扳手分三次均匀施加至25-30N·m。案例：某RX-10型风扇振动幅值0.15mm，检测发现联轴器角向偏差0.8°，校正后振动降至0.06mm，满足运行要求。</w:t>
      </w:r>
    </w:p>
    <w:p w14:paraId="1E7ADE91">
      <w:pPr>
        <w:pStyle w:val="4"/>
      </w:pPr>
      <w:r>
        <w:t>7.3 过热故障处理措施</w:t>
      </w:r>
    </w:p>
    <w:p w14:paraId="2E01EBEC">
      <w:r>
        <w:t>轴承过热处理：彻底清洗轴承座，更换新ZL-3润滑脂（每台用量约20g），确保填充均匀无气泡；若轴承磨损，直接更换并控制安装过盈量（0.01-0.02mm）。电机过热排除：先用压缩空气吹扫散热片，再用万用表检测三相电流（不平衡度需＜5%），若缺相检查空开QF3触点是否氧化，打磨或更换；绕组绝缘下降时，对电机进行烘烤（温度80℃，持续4小时），恢复绝缘电阻至≥500MΩ。实例：某风扇电机温度达92℃，检测发现散热片积尘厚度2mm，清理后温度降至70℃，恢复正常。</w:t>
      </w:r>
    </w:p>
    <w:p w14:paraId="0F53FB36">
      <w:pPr>
        <w:pStyle w:val="4"/>
      </w:pPr>
      <w:r>
        <w:t>7.4 停转故障应急处理</w:t>
      </w:r>
    </w:p>
    <w:p w14:paraId="27C16532">
      <w:r>
        <w:t>机械卡死应急：立即切断电源，拆卸防护罩，手动转动叶轮排查异物，若为线头缠绕需用剪刀小心清除，轴承抱死时可滴入少量机油润滑后尝试转动，无效则需更换轴承。电气故障排查：用万用表测量电机绕组三相电阻（平衡度应＜2%），绝缘电阻≥0.5MΩ为正常；检查PLC输出端子（Y0）是否有24V信号，无信号则检查程序或更换模块；变频器报“OC”故障时，检测电机线缆是否接地或短路。应急措施：若短时间无法修复，可外接临时轴流风扇（风量≥500m³/h）对准绕组强制散热，维持设备低负荷运行（主轴转速≤60r/min），避免影响生产进度。</w:t>
      </w:r>
    </w:p>
    <w:p w14:paraId="28258333">
      <w:pPr>
        <w:pStyle w:val="3"/>
      </w:pPr>
      <w:r>
        <w:t>八、维护保养技术规范</w:t>
      </w:r>
    </w:p>
    <w:p w14:paraId="2DC59E2D">
      <w:pPr>
        <w:pStyle w:val="4"/>
      </w:pPr>
      <w:r>
        <w:t>8.1 日常检查项目与方法</w:t>
      </w:r>
    </w:p>
    <w:p w14:paraId="7292E374">
      <w:r>
        <w:t>每日开机前执行“四查”：查外观，目视扇叶有无变形、防护网是否完好，线缆有无破损；查转动，手动盘动叶轮3圈以上，感受阻力是否均匀，有无卡滞或异响；查连接，检查插头插座（如控制柜X3端子排）是否松动，螺丝有无锈蚀；查信号，启动后观察触摸屏显示转速是否与实际一致（误差≤5r/min）。每周进行“一扫”：用压缩空气（压力0.4-0.6MPa，距离300mm）吹扫风扇表面及进风口粉尘，重点清理防护罩网孔堵塞物；每月“一测”：用红外测温仪检测轴承温度（≤75℃），用转速表核对实际转速与设定值偏差（≤10r/min）。检查需填写《风扇系统日常检查表》，记录异常情况并及时处理。</w:t>
      </w:r>
    </w:p>
    <w:p w14:paraId="001BC3E1">
      <w:pPr>
        <w:pStyle w:val="4"/>
      </w:pPr>
      <w:r>
        <w:t>8.2 定期维护周期与内容</w:t>
      </w:r>
    </w:p>
    <w:p w14:paraId="1F5825FA">
      <w:r>
        <w:t>月度维护（运行200小时）：测量电机绕组绝缘电阻（使用500V绝缘电阻表，读数≥0.5MΩ）；检查编码器线缆屏蔽层接地电阻（≤4Ω）；校准温控传感器（将传感器放入恒温油槽，0℃时输出4mA，100℃时输出20mA，误差超±0.5℃需调整）。季度维护（运行600小时）：轴承加注润滑脂（ZL-3锂基脂，每台用量10-15g），注脂后运转30分钟，排出旧脂；紧固所有连接螺丝（包括扇叶、轴承座、地脚螺栓，扭矩25-30N·m）；清洁变频器散热片，检查风扇滤网。年度大修（运行2000小时）：拆解风扇总成，清洗轴承座，测量轴承间隙（径向间隙＞0.1mm时更换）；叶轮动平衡校正（残余不平衡量≤5g·mm）；电机解体保养，更换老化密封圈，烘烤绕组（若绝缘电阻＜0.5MΩ）。</w:t>
      </w:r>
    </w:p>
    <w:p w14:paraId="3BF6C47D">
      <w:pPr>
        <w:pStyle w:val="4"/>
      </w:pPr>
      <w:r>
        <w:t>8.3 备品备件管理</w:t>
      </w:r>
    </w:p>
    <w:p w14:paraId="4AC068E6">
      <w:r>
        <w:t>建立风扇系统关键备件库，确保以下备件最低库存：轴承（6205-2RS 5套，6306-2RS 3套）、叶轮（金属/塑料各2件）、温控传感器（PT100 3支）、润滑脂（ZL-3锂基脂 5kg/桶，2桶）、防护网罩（2件）。备件入库前需验证参数：轴承型号、精度等级（P6级），叶轮动平衡报告，传感器精度证书。存放环境需干燥（相对湿度＜60%）、通风，远离腐蚀性气体，轴承需油封包装并定期检查（每6个月转动一次，防止锈蚀）。建立备件更换记录，记录型号、更换日期、供应商信息，通过统计故障周期（如轴承平均寿命18个月）制定采购计划，避免备件短缺。</w:t>
      </w:r>
    </w:p>
    <w:p w14:paraId="2C8A3B6C">
      <w:pPr>
        <w:pStyle w:val="3"/>
      </w:pPr>
      <w:r>
        <w:t>九、操作注意事项与安全规范</w:t>
      </w:r>
    </w:p>
    <w:p w14:paraId="056FE62D">
      <w:pPr>
        <w:pStyle w:val="4"/>
      </w:pPr>
      <w:r>
        <w:t>9.1 开机前准备与检查要点</w:t>
      </w:r>
    </w:p>
    <w:p w14:paraId="2A576C95">
      <w:r>
        <w:t>开机前执行“三确认”：确认电源正常，三相电压380V±5%，接地电阻≤4Ω；确认环境安全，风扇周围1m内无杂物，防护网无破损，操作通道畅通；确认参数设置正确，温控传感器设定温度（65℃）、转速上下限（1450-2800r/min）符合工艺要求。特殊检查：长期停机（超过7天）后启动，需先拆卸防护罩，手动盘车排除轴承卡滞，测量电机绝缘电阻≥0.5MΩ；更换电机或编码器后，需进行转速校准（通过触摸屏“校准”功能，输入实际转速与反馈转速偏差值）。严禁在防护罩未安装或螺丝未紧固状态下启动风扇，防止叶轮甩出伤人。</w:t>
      </w:r>
    </w:p>
    <w:p w14:paraId="114F9E53">
      <w:pPr>
        <w:pStyle w:val="4"/>
      </w:pPr>
      <w:r>
        <w:t>9.2 运行中监控与记录要求</w:t>
      </w:r>
    </w:p>
    <w:p w14:paraId="74C7D975">
      <w:r>
        <w:t>运行中需实时监控“三参数”：转速（触摸屏显示值，每小时记录一次）、温度（轴承温度用红外测温仪测量，每班至少3次）、声音（监听有无异常异响，可使用噪声计检测，超过80dB(A)需停机检查）。建立《风扇运行记录表》，记录内容包括日期、班次、运行时间、转速、温度、异常现象及处理措施。当出现以下情况时立即停机：转速突然波动超过±50r/min；轴承温度5分钟内上升超过10℃；出现金属摩擦声或撞击声；振动幅度超过0.1mm。记录数据需保存至少1年，作为故障分析与维护周期优化的依据。</w:t>
      </w:r>
    </w:p>
    <w:p w14:paraId="7FDDDFD4">
      <w:pPr>
        <w:pStyle w:val="4"/>
      </w:pPr>
      <w:r>
        <w:t>9.3 停机与紧急处理操作</w:t>
      </w:r>
    </w:p>
    <w:p w14:paraId="735E24B1">
      <w:r>
        <w:t>正常停机：按“停止”按钮，风扇将延迟30秒后自动关闭（确保余热散发），待叶轮完全静止后切断总电源。紧急停机：发生异响、冒烟、剧烈振动等紧急情况时，立即按下红色急停按钮（位于操作面板及机身两侧），并旋转锁定，防止误启动；切断对应空气开关（QF3），悬挂“禁止合闸”警示牌。故障处理时严格执行“LOTO”程序（上锁挂牌）：操作人员将个人锁具锁在电源开关上，钥匙由本人保管，多人作业时使用集体锁箱。维修完成后，需清理现场工具，确认防护罩安装到位，方可解锁送电，启动前需通知周围人员远离设备。</w:t>
      </w:r>
    </w:p>
    <w:p w14:paraId="1A81C860">
      <w:pPr>
        <w:pStyle w:val="3"/>
      </w:pPr>
      <w:r>
        <w:t>十、维护保养实例与案例分析</w:t>
      </w:r>
    </w:p>
    <w:p w14:paraId="0F75F6AE">
      <w:pPr>
        <w:pStyle w:val="4"/>
      </w:pPr>
      <w:r>
        <w:t>10.1 典型故障排除案例</w:t>
      </w:r>
    </w:p>
    <w:p w14:paraId="494AB0CD">
      <w:r>
        <w:t>案例1：RX-8型绕线机风扇过热停机</w:t>
      </w:r>
    </w:p>
    <w:p w14:paraId="452FE2FD">
      <w:r>
        <w:t>现象：运行中触摸屏报“E02电机过热”，轴承温度达85℃，停机冷却后重启故障依旧。</w:t>
      </w:r>
    </w:p>
    <w:p w14:paraId="41CC4C5E">
      <w:r>
        <w:t>排查过程：1. 检测电机三相电流：U相1.8A，V相1.7A，W相0.5A，判断W相缺相；2. 检查接线端子排（X3-5端子），发现W相导线与端子排接触不良，氧化层导致接触电阻增大；3. 测量电机绕组绝缘电阻：三相均≥2MΩ，排除绕组故障。</w:t>
      </w:r>
    </w:p>
    <w:p w14:paraId="0F0E7FC6">
      <w:r>
        <w:t>处理措施：用砂纸打磨端子排及导线接头，重新压接后扭矩紧固（1.5N·m），测试三相电流平衡（1.7-1.8A），运行2小时后轴承温度稳定在65℃，故障排除。</w:t>
      </w:r>
    </w:p>
    <w:p w14:paraId="0014E6CA">
      <w:r>
        <w:t>结论：电源缺相是导致电机过热的常见原因，定期检查接线端子状态可有效预防。</w:t>
      </w:r>
    </w:p>
    <w:p w14:paraId="6BEBAC96">
      <w:r>
        <w:t>案例2：风扇振动超标导致绕线精度下降</w:t>
      </w:r>
    </w:p>
    <w:p w14:paraId="16D03F78">
      <w:r>
        <w:t>现象：RX-5型绕线机绕制线圈时出现排线不均匀，检测发现风扇振动幅度达0.15mm，主轴径向跳动0.08mm（正常≤0.03mm）。</w:t>
      </w:r>
    </w:p>
    <w:p w14:paraId="7CEDFB3D">
      <w:r>
        <w:t>排查过程：1. 振动频谱分析显示1倍频幅值占比82%，判断转子不平衡；2. 拆卸叶轮检测动平衡，发现叶尖附着金属粉尘（总质量3.5g）；3. 清理粉尘后重新平衡，残余不平衡量2g·mm。</w:t>
      </w:r>
    </w:p>
    <w:p w14:paraId="4DB57893">
      <w:r>
        <w:t>处理措施：动平衡校正后，风扇振动降至0.04mm，主轴径向跳动恢复至0.02mm，排线精度（节距误差≤±0.1mm）达标。</w:t>
      </w:r>
    </w:p>
    <w:p w14:paraId="3738E59E">
      <w:r>
        <w:t>结论：风扇振动会传递至主轴系统，影响绕线精度，定期清理叶轮可避免此类问题。</w:t>
      </w:r>
    </w:p>
    <w:p w14:paraId="7B2F2289">
      <w:pPr>
        <w:pStyle w:val="4"/>
      </w:pPr>
      <w:r>
        <w:t>10.2 预防性维护效果分析</w:t>
      </w:r>
    </w:p>
    <w:p w14:paraId="01323CE0">
      <w:r>
        <w:t>某车间对10台RX系列绕线机风扇实施预防性维护（按本手册规范）前后数据对比：</w:t>
      </w:r>
    </w:p>
    <w:p w14:paraId="57DBA4E9">
      <w:r>
        <w:t>维护前（2023年1-6月）：月均故障3.2次，单次故障处理时间2.5小时，月停机时间8小时，备件消耗成本1.2万元/月；</w:t>
      </w:r>
    </w:p>
    <w:p w14:paraId="1FD5EB4A">
      <w:r>
        <w:t>维护后（2023年7-12月）：月均故障0.4次，单次故障处理时间1.0小时，月停机时间0.4小时，备件消耗成本0.5万元/月。</w:t>
      </w:r>
    </w:p>
    <w:p w14:paraId="6B012456">
      <w:r>
        <w:t>效果提升：设备利用率从85%提升至98%，年减少停机时间91.2小时，按每小时产值5000元计算，年增加产值45.6万元；备件成本年节约8.4万元，维护投入产出比达1:5.2。</w:t>
      </w:r>
    </w:p>
    <w:p w14:paraId="5235FCC3">
      <w:r>
        <w:t>结论：规范的预防性维护可显著降低故障频率，提升设备综合效率（OEE），为车间创造显著经济效益。</w:t>
      </w:r>
    </w:p>
    <w:p w14:paraId="325216DF">
      <w:pPr>
        <w:pStyle w:val="3"/>
      </w:pPr>
      <w:r>
        <w:t>附录</w:t>
      </w:r>
    </w:p>
    <w:p w14:paraId="1DF13182">
      <w:pPr>
        <w:pStyle w:val="4"/>
      </w:pPr>
      <w:r>
        <w:t>附录A 技术参数汇总表</w:t>
      </w:r>
    </w:p>
    <w:tbl>
      <w:tblPr>
        <w:tblStyle w:val="50"/>
        <w:tblW w:w="0" w:type="auto"/>
        <w:tblInd w:w="0" w:type="dxa"/>
        <w:tblLayout w:type="fixed"/>
        <w:tblCellMar>
          <w:top w:w="0" w:type="dxa"/>
          <w:left w:w="0" w:type="dxa"/>
          <w:bottom w:w="0" w:type="dxa"/>
          <w:right w:w="0" w:type="dxa"/>
        </w:tblCellMar>
      </w:tblPr>
      <w:tblGrid>
        <w:gridCol w:w="1080"/>
        <w:gridCol w:w="1080"/>
        <w:gridCol w:w="1080"/>
        <w:gridCol w:w="1080"/>
        <w:gridCol w:w="1080"/>
        <w:gridCol w:w="1080"/>
        <w:gridCol w:w="1080"/>
        <w:gridCol w:w="1080"/>
      </w:tblGrid>
      <w:tr w14:paraId="6F8FF906">
        <w:tblPrEx>
          <w:tblCellMar>
            <w:top w:w="0" w:type="dxa"/>
            <w:left w:w="0" w:type="dxa"/>
            <w:bottom w:w="0" w:type="dxa"/>
            <w:right w:w="0" w:type="dxa"/>
          </w:tblCellMar>
        </w:tblPrEx>
        <w:tc>
          <w:tcPr>
            <w:tcW w:w="0" w:type="auto"/>
            <w:vAlign w:val="center"/>
          </w:tcPr>
          <w:p w14:paraId="5EAA0B5B">
            <w:pPr>
              <w:jc w:val="center"/>
              <w:rPr>
                <w:b/>
              </w:rPr>
            </w:pPr>
            <w:r>
              <w:rPr>
                <w:b/>
              </w:rPr>
              <w:t>设备型号</w:t>
            </w:r>
          </w:p>
        </w:tc>
        <w:tc>
          <w:tcPr>
            <w:tcW w:w="0" w:type="auto"/>
            <w:vAlign w:val="center"/>
          </w:tcPr>
          <w:p w14:paraId="0AA0836E">
            <w:pPr>
              <w:jc w:val="center"/>
              <w:rPr>
                <w:b/>
              </w:rPr>
            </w:pPr>
            <w:r>
              <w:rPr>
                <w:b/>
              </w:rPr>
              <w:t>风扇类型</w:t>
            </w:r>
          </w:p>
        </w:tc>
        <w:tc>
          <w:tcPr>
            <w:tcW w:w="0" w:type="auto"/>
            <w:vAlign w:val="center"/>
          </w:tcPr>
          <w:p w14:paraId="2C81138A">
            <w:pPr>
              <w:jc w:val="center"/>
              <w:rPr>
                <w:b/>
              </w:rPr>
            </w:pPr>
            <w:r>
              <w:rPr>
                <w:b/>
              </w:rPr>
              <w:t>电机功率（kW）</w:t>
            </w:r>
          </w:p>
        </w:tc>
        <w:tc>
          <w:tcPr>
            <w:tcW w:w="0" w:type="auto"/>
            <w:vAlign w:val="center"/>
          </w:tcPr>
          <w:p w14:paraId="1476633A">
            <w:pPr>
              <w:jc w:val="center"/>
              <w:rPr>
                <w:b/>
              </w:rPr>
            </w:pPr>
            <w:r>
              <w:rPr>
                <w:b/>
              </w:rPr>
              <w:t>转速范围（r/min）</w:t>
            </w:r>
          </w:p>
        </w:tc>
        <w:tc>
          <w:tcPr>
            <w:tcW w:w="0" w:type="auto"/>
            <w:vAlign w:val="center"/>
          </w:tcPr>
          <w:p w14:paraId="5FD32E4C">
            <w:pPr>
              <w:jc w:val="center"/>
              <w:rPr>
                <w:b/>
              </w:rPr>
            </w:pPr>
            <w:r>
              <w:rPr>
                <w:b/>
              </w:rPr>
              <w:t>风量（m³/h）</w:t>
            </w:r>
          </w:p>
        </w:tc>
        <w:tc>
          <w:tcPr>
            <w:tcW w:w="0" w:type="auto"/>
            <w:vAlign w:val="center"/>
          </w:tcPr>
          <w:p w14:paraId="5F81F60D">
            <w:pPr>
              <w:jc w:val="center"/>
              <w:rPr>
                <w:b/>
              </w:rPr>
            </w:pPr>
            <w:r>
              <w:rPr>
                <w:b/>
              </w:rPr>
              <w:t>轴承型号</w:t>
            </w:r>
          </w:p>
        </w:tc>
        <w:tc>
          <w:tcPr>
            <w:tcW w:w="0" w:type="auto"/>
            <w:vAlign w:val="center"/>
          </w:tcPr>
          <w:p w14:paraId="4DBD4E73">
            <w:pPr>
              <w:jc w:val="center"/>
              <w:rPr>
                <w:b/>
              </w:rPr>
            </w:pPr>
            <w:r>
              <w:rPr>
                <w:b/>
              </w:rPr>
              <w:t>叶轮材质</w:t>
            </w:r>
          </w:p>
        </w:tc>
        <w:tc>
          <w:tcPr>
            <w:tcW w:w="0" w:type="auto"/>
            <w:vAlign w:val="center"/>
          </w:tcPr>
          <w:p w14:paraId="01401AB5">
            <w:pPr>
              <w:jc w:val="center"/>
              <w:rPr>
                <w:b/>
              </w:rPr>
            </w:pPr>
            <w:r>
              <w:rPr>
                <w:b/>
              </w:rPr>
              <w:t>防护等级</w:t>
            </w:r>
          </w:p>
        </w:tc>
      </w:tr>
      <w:tr w14:paraId="77E4526E">
        <w:tblPrEx>
          <w:tblCellMar>
            <w:top w:w="0" w:type="dxa"/>
            <w:left w:w="0" w:type="dxa"/>
            <w:bottom w:w="0" w:type="dxa"/>
            <w:right w:w="0" w:type="dxa"/>
          </w:tblCellMar>
        </w:tblPrEx>
        <w:tc>
          <w:tcPr>
            <w:tcW w:w="0" w:type="auto"/>
            <w:vAlign w:val="center"/>
          </w:tcPr>
          <w:p w14:paraId="6A70E1DC">
            <w:r>
              <w:t>RX-1</w:t>
            </w:r>
          </w:p>
        </w:tc>
        <w:tc>
          <w:tcPr>
            <w:tcW w:w="0" w:type="auto"/>
            <w:vAlign w:val="center"/>
          </w:tcPr>
          <w:p w14:paraId="11A7222E">
            <w:r>
              <w:t>轴流风机</w:t>
            </w:r>
          </w:p>
        </w:tc>
        <w:tc>
          <w:tcPr>
            <w:tcW w:w="0" w:type="auto"/>
            <w:vAlign w:val="center"/>
          </w:tcPr>
          <w:p w14:paraId="7F2C4005">
            <w:r>
              <w:t>0.37</w:t>
            </w:r>
          </w:p>
        </w:tc>
        <w:tc>
          <w:tcPr>
            <w:tcW w:w="0" w:type="auto"/>
            <w:vAlign w:val="center"/>
          </w:tcPr>
          <w:p w14:paraId="758B5FA6">
            <w:r>
              <w:t>1450-2200</w:t>
            </w:r>
          </w:p>
        </w:tc>
        <w:tc>
          <w:tcPr>
            <w:tcW w:w="0" w:type="auto"/>
            <w:vAlign w:val="center"/>
          </w:tcPr>
          <w:p w14:paraId="465A8926">
            <w:r>
              <w:t>500-650</w:t>
            </w:r>
          </w:p>
        </w:tc>
        <w:tc>
          <w:tcPr>
            <w:tcW w:w="0" w:type="auto"/>
            <w:vAlign w:val="center"/>
          </w:tcPr>
          <w:p w14:paraId="3B64D497">
            <w:r>
              <w:t>6205-2RS</w:t>
            </w:r>
          </w:p>
        </w:tc>
        <w:tc>
          <w:tcPr>
            <w:tcW w:w="0" w:type="auto"/>
            <w:vAlign w:val="center"/>
          </w:tcPr>
          <w:p w14:paraId="770AFB47">
            <w:r>
              <w:t>PA6+GF30</w:t>
            </w:r>
          </w:p>
        </w:tc>
        <w:tc>
          <w:tcPr>
            <w:tcW w:w="0" w:type="auto"/>
            <w:vAlign w:val="center"/>
          </w:tcPr>
          <w:p w14:paraId="499C380B">
            <w:r>
              <w:t>IP54</w:t>
            </w:r>
          </w:p>
        </w:tc>
      </w:tr>
      <w:tr w14:paraId="224E2E79">
        <w:tblPrEx>
          <w:tblCellMar>
            <w:top w:w="0" w:type="dxa"/>
            <w:left w:w="0" w:type="dxa"/>
            <w:bottom w:w="0" w:type="dxa"/>
            <w:right w:w="0" w:type="dxa"/>
          </w:tblCellMar>
        </w:tblPrEx>
        <w:tc>
          <w:tcPr>
            <w:tcW w:w="0" w:type="auto"/>
            <w:vAlign w:val="center"/>
          </w:tcPr>
          <w:p w14:paraId="711A28A0">
            <w:r>
              <w:t>RX-5</w:t>
            </w:r>
          </w:p>
        </w:tc>
        <w:tc>
          <w:tcPr>
            <w:tcW w:w="0" w:type="auto"/>
            <w:vAlign w:val="center"/>
          </w:tcPr>
          <w:p w14:paraId="4754AA52">
            <w:r>
              <w:t>轴流风机</w:t>
            </w:r>
          </w:p>
        </w:tc>
        <w:tc>
          <w:tcPr>
            <w:tcW w:w="0" w:type="auto"/>
            <w:vAlign w:val="center"/>
          </w:tcPr>
          <w:p w14:paraId="30557AE1">
            <w:r>
              <w:t>0.75</w:t>
            </w:r>
          </w:p>
        </w:tc>
        <w:tc>
          <w:tcPr>
            <w:tcW w:w="0" w:type="auto"/>
            <w:vAlign w:val="center"/>
          </w:tcPr>
          <w:p w14:paraId="233C3F9A">
            <w:r>
              <w:t>1450-2500</w:t>
            </w:r>
          </w:p>
        </w:tc>
        <w:tc>
          <w:tcPr>
            <w:tcW w:w="0" w:type="auto"/>
            <w:vAlign w:val="center"/>
          </w:tcPr>
          <w:p w14:paraId="5C49FC28">
            <w:r>
              <w:t>700-850</w:t>
            </w:r>
          </w:p>
        </w:tc>
        <w:tc>
          <w:tcPr>
            <w:tcW w:w="0" w:type="auto"/>
            <w:vAlign w:val="center"/>
          </w:tcPr>
          <w:p w14:paraId="19664A13">
            <w:r>
              <w:t>6205-2RS</w:t>
            </w:r>
          </w:p>
        </w:tc>
        <w:tc>
          <w:tcPr>
            <w:tcW w:w="0" w:type="auto"/>
            <w:vAlign w:val="center"/>
          </w:tcPr>
          <w:p w14:paraId="30FD862D">
            <w:r>
              <w:t>6061-T6</w:t>
            </w:r>
          </w:p>
        </w:tc>
        <w:tc>
          <w:tcPr>
            <w:tcW w:w="0" w:type="auto"/>
            <w:vAlign w:val="center"/>
          </w:tcPr>
          <w:p w14:paraId="0C87EB44">
            <w:r>
              <w:t>IP54</w:t>
            </w:r>
          </w:p>
        </w:tc>
      </w:tr>
      <w:tr w14:paraId="671B6C22">
        <w:tc>
          <w:tcPr>
            <w:tcW w:w="0" w:type="auto"/>
            <w:vAlign w:val="center"/>
          </w:tcPr>
          <w:p w14:paraId="2FB67552">
            <w:r>
              <w:t>RX-10</w:t>
            </w:r>
          </w:p>
        </w:tc>
        <w:tc>
          <w:tcPr>
            <w:tcW w:w="0" w:type="auto"/>
            <w:vAlign w:val="center"/>
          </w:tcPr>
          <w:p w14:paraId="5CCAE08F">
            <w:r>
              <w:t>轴流风机</w:t>
            </w:r>
          </w:p>
        </w:tc>
        <w:tc>
          <w:tcPr>
            <w:tcW w:w="0" w:type="auto"/>
            <w:vAlign w:val="center"/>
          </w:tcPr>
          <w:p w14:paraId="0553620E">
            <w:r>
              <w:t>1.5</w:t>
            </w:r>
          </w:p>
        </w:tc>
        <w:tc>
          <w:tcPr>
            <w:tcW w:w="0" w:type="auto"/>
            <w:vAlign w:val="center"/>
          </w:tcPr>
          <w:p w14:paraId="473184C1">
            <w:r>
              <w:t>1450-2800</w:t>
            </w:r>
          </w:p>
        </w:tc>
        <w:tc>
          <w:tcPr>
            <w:tcW w:w="0" w:type="auto"/>
            <w:vAlign w:val="center"/>
          </w:tcPr>
          <w:p w14:paraId="72E2AC24">
            <w:r>
              <w:t>850-1000</w:t>
            </w:r>
          </w:p>
        </w:tc>
        <w:tc>
          <w:tcPr>
            <w:tcW w:w="0" w:type="auto"/>
            <w:vAlign w:val="center"/>
          </w:tcPr>
          <w:p w14:paraId="2E5A39EF">
            <w:r>
              <w:t>6306-2RS</w:t>
            </w:r>
          </w:p>
        </w:tc>
        <w:tc>
          <w:tcPr>
            <w:tcW w:w="0" w:type="auto"/>
            <w:vAlign w:val="center"/>
          </w:tcPr>
          <w:p w14:paraId="2DA844B9">
            <w:r>
              <w:t>6061-T6</w:t>
            </w:r>
          </w:p>
        </w:tc>
        <w:tc>
          <w:tcPr>
            <w:tcW w:w="0" w:type="auto"/>
            <w:vAlign w:val="center"/>
          </w:tcPr>
          <w:p w14:paraId="06425BB6">
            <w:r>
              <w:t>IP54</w:t>
            </w:r>
          </w:p>
        </w:tc>
      </w:tr>
    </w:tbl>
    <w:p w14:paraId="62E0B354">
      <w:pPr>
        <w:pStyle w:val="4"/>
      </w:pPr>
      <w:r>
        <w:t>附录B 常用工具与备件清单</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4C42EE93">
        <w:tblPrEx>
          <w:tblCellMar>
            <w:top w:w="0" w:type="dxa"/>
            <w:left w:w="0" w:type="dxa"/>
            <w:bottom w:w="0" w:type="dxa"/>
            <w:right w:w="0" w:type="dxa"/>
          </w:tblCellMar>
        </w:tblPrEx>
        <w:tc>
          <w:tcPr>
            <w:tcW w:w="0" w:type="auto"/>
            <w:vAlign w:val="center"/>
          </w:tcPr>
          <w:p w14:paraId="2F3514CC">
            <w:pPr>
              <w:jc w:val="center"/>
              <w:rPr>
                <w:b/>
              </w:rPr>
            </w:pPr>
            <w:r>
              <w:rPr>
                <w:b/>
              </w:rPr>
              <w:t>类别</w:t>
            </w:r>
          </w:p>
        </w:tc>
        <w:tc>
          <w:tcPr>
            <w:tcW w:w="0" w:type="auto"/>
            <w:vAlign w:val="center"/>
          </w:tcPr>
          <w:p w14:paraId="0F8DE4DC">
            <w:pPr>
              <w:jc w:val="center"/>
              <w:rPr>
                <w:b/>
              </w:rPr>
            </w:pPr>
            <w:r>
              <w:rPr>
                <w:b/>
              </w:rPr>
              <w:t>名称</w:t>
            </w:r>
          </w:p>
        </w:tc>
        <w:tc>
          <w:tcPr>
            <w:tcW w:w="0" w:type="auto"/>
            <w:vAlign w:val="center"/>
          </w:tcPr>
          <w:p w14:paraId="30BD8D30">
            <w:pPr>
              <w:jc w:val="center"/>
              <w:rPr>
                <w:b/>
              </w:rPr>
            </w:pPr>
            <w:r>
              <w:rPr>
                <w:b/>
              </w:rPr>
              <w:t>规格型号</w:t>
            </w:r>
          </w:p>
        </w:tc>
        <w:tc>
          <w:tcPr>
            <w:tcW w:w="0" w:type="auto"/>
            <w:vAlign w:val="center"/>
          </w:tcPr>
          <w:p w14:paraId="30AD2B3D">
            <w:pPr>
              <w:jc w:val="center"/>
              <w:rPr>
                <w:b/>
              </w:rPr>
            </w:pPr>
            <w:r>
              <w:rPr>
                <w:b/>
              </w:rPr>
              <w:t>用途</w:t>
            </w:r>
          </w:p>
        </w:tc>
        <w:tc>
          <w:tcPr>
            <w:tcW w:w="0" w:type="auto"/>
            <w:vAlign w:val="center"/>
          </w:tcPr>
          <w:p w14:paraId="7B124913">
            <w:pPr>
              <w:jc w:val="center"/>
              <w:rPr>
                <w:b/>
              </w:rPr>
            </w:pPr>
            <w:r>
              <w:rPr>
                <w:b/>
              </w:rPr>
              <w:t>推荐品牌</w:t>
            </w:r>
          </w:p>
        </w:tc>
      </w:tr>
      <w:tr w14:paraId="55ADA949">
        <w:tblPrEx>
          <w:tblCellMar>
            <w:top w:w="0" w:type="dxa"/>
            <w:left w:w="0" w:type="dxa"/>
            <w:bottom w:w="0" w:type="dxa"/>
            <w:right w:w="0" w:type="dxa"/>
          </w:tblCellMar>
        </w:tblPrEx>
        <w:tc>
          <w:tcPr>
            <w:tcW w:w="0" w:type="auto"/>
            <w:vAlign w:val="center"/>
          </w:tcPr>
          <w:p w14:paraId="5B002013">
            <w:r>
              <w:t>检测工具</w:t>
            </w:r>
          </w:p>
        </w:tc>
        <w:tc>
          <w:tcPr>
            <w:tcW w:w="0" w:type="auto"/>
            <w:vAlign w:val="center"/>
          </w:tcPr>
          <w:p w14:paraId="0B4EFF89">
            <w:r>
              <w:t>红外测温仪</w:t>
            </w:r>
          </w:p>
        </w:tc>
        <w:tc>
          <w:tcPr>
            <w:tcW w:w="0" w:type="auto"/>
            <w:vAlign w:val="center"/>
          </w:tcPr>
          <w:p w14:paraId="2F253A80">
            <w:r>
              <w:t>Fluke 62 MAX</w:t>
            </w:r>
          </w:p>
        </w:tc>
        <w:tc>
          <w:tcPr>
            <w:tcW w:w="0" w:type="auto"/>
            <w:vAlign w:val="center"/>
          </w:tcPr>
          <w:p w14:paraId="659B56DE">
            <w:r>
              <w:t>测量轴承/电机温度</w:t>
            </w:r>
          </w:p>
        </w:tc>
        <w:tc>
          <w:tcPr>
            <w:tcW w:w="0" w:type="auto"/>
            <w:vAlign w:val="center"/>
          </w:tcPr>
          <w:p w14:paraId="242B40C9">
            <w:r>
              <w:t>福禄克</w:t>
            </w:r>
          </w:p>
        </w:tc>
      </w:tr>
      <w:tr w14:paraId="58A258A7">
        <w:tblPrEx>
          <w:tblCellMar>
            <w:top w:w="0" w:type="dxa"/>
            <w:left w:w="0" w:type="dxa"/>
            <w:bottom w:w="0" w:type="dxa"/>
            <w:right w:w="0" w:type="dxa"/>
          </w:tblCellMar>
        </w:tblPrEx>
        <w:tc>
          <w:tcPr>
            <w:tcW w:w="0" w:type="auto"/>
            <w:vAlign w:val="center"/>
          </w:tcPr>
          <w:p w14:paraId="7AA8FEED"/>
        </w:tc>
        <w:tc>
          <w:tcPr>
            <w:tcW w:w="0" w:type="auto"/>
            <w:vAlign w:val="center"/>
          </w:tcPr>
          <w:p w14:paraId="0BADAC7C">
            <w:r>
              <w:t>转速表</w:t>
            </w:r>
          </w:p>
        </w:tc>
        <w:tc>
          <w:tcPr>
            <w:tcW w:w="0" w:type="auto"/>
            <w:vAlign w:val="center"/>
          </w:tcPr>
          <w:p w14:paraId="3A16C597">
            <w:r>
              <w:t>DT2234A</w:t>
            </w:r>
          </w:p>
        </w:tc>
        <w:tc>
          <w:tcPr>
            <w:tcW w:w="0" w:type="auto"/>
            <w:vAlign w:val="center"/>
          </w:tcPr>
          <w:p w14:paraId="6F10A3E5">
            <w:r>
              <w:t>测量实际转速</w:t>
            </w:r>
          </w:p>
        </w:tc>
        <w:tc>
          <w:tcPr>
            <w:tcW w:w="0" w:type="auto"/>
            <w:vAlign w:val="center"/>
          </w:tcPr>
          <w:p w14:paraId="3A0B54C9">
            <w:r>
              <w:t>华盛昌</w:t>
            </w:r>
          </w:p>
        </w:tc>
      </w:tr>
      <w:tr w14:paraId="0D114B28">
        <w:tc>
          <w:tcPr>
            <w:tcW w:w="0" w:type="auto"/>
            <w:vAlign w:val="center"/>
          </w:tcPr>
          <w:p w14:paraId="6C1CDF2A"/>
        </w:tc>
        <w:tc>
          <w:tcPr>
            <w:tcW w:w="0" w:type="auto"/>
            <w:vAlign w:val="center"/>
          </w:tcPr>
          <w:p w14:paraId="1A87884B">
            <w:r>
              <w:t>绝缘电阻表</w:t>
            </w:r>
          </w:p>
        </w:tc>
        <w:tc>
          <w:tcPr>
            <w:tcW w:w="0" w:type="auto"/>
            <w:vAlign w:val="center"/>
          </w:tcPr>
          <w:p w14:paraId="029D1C49">
            <w:r>
              <w:t>2500V，量程1000MΩ</w:t>
            </w:r>
          </w:p>
        </w:tc>
        <w:tc>
          <w:tcPr>
            <w:tcW w:w="0" w:type="auto"/>
            <w:vAlign w:val="center"/>
          </w:tcPr>
          <w:p w14:paraId="4CEEE544">
            <w:r>
              <w:t>电机绝缘检测</w:t>
            </w:r>
          </w:p>
        </w:tc>
        <w:tc>
          <w:tcPr>
            <w:tcW w:w="0" w:type="auto"/>
            <w:vAlign w:val="center"/>
          </w:tcPr>
          <w:p w14:paraId="5754155C">
            <w:r>
              <w:t>梅格</w:t>
            </w:r>
          </w:p>
        </w:tc>
      </w:tr>
      <w:tr w14:paraId="7B02079E">
        <w:tblPrEx>
          <w:tblCellMar>
            <w:top w:w="0" w:type="dxa"/>
            <w:left w:w="0" w:type="dxa"/>
            <w:bottom w:w="0" w:type="dxa"/>
            <w:right w:w="0" w:type="dxa"/>
          </w:tblCellMar>
        </w:tblPrEx>
        <w:tc>
          <w:tcPr>
            <w:tcW w:w="0" w:type="auto"/>
            <w:vAlign w:val="center"/>
          </w:tcPr>
          <w:p w14:paraId="6AFE28BB">
            <w:r>
              <w:t>维修工具</w:t>
            </w:r>
          </w:p>
        </w:tc>
        <w:tc>
          <w:tcPr>
            <w:tcW w:w="0" w:type="auto"/>
            <w:vAlign w:val="center"/>
          </w:tcPr>
          <w:p w14:paraId="1EDAC6BD">
            <w:r>
              <w:t>扭矩扳手</w:t>
            </w:r>
          </w:p>
        </w:tc>
        <w:tc>
          <w:tcPr>
            <w:tcW w:w="0" w:type="auto"/>
            <w:vAlign w:val="center"/>
          </w:tcPr>
          <w:p w14:paraId="1AF4995D">
            <w:r>
              <w:t>10-50N·m</w:t>
            </w:r>
          </w:p>
        </w:tc>
        <w:tc>
          <w:tcPr>
            <w:tcW w:w="0" w:type="auto"/>
            <w:vAlign w:val="center"/>
          </w:tcPr>
          <w:p w14:paraId="57F25CAA">
            <w:r>
              <w:t>紧固螺丝</w:t>
            </w:r>
          </w:p>
        </w:tc>
        <w:tc>
          <w:tcPr>
            <w:tcW w:w="0" w:type="auto"/>
            <w:vAlign w:val="center"/>
          </w:tcPr>
          <w:p w14:paraId="79056FB0">
            <w:r>
              <w:t>世达</w:t>
            </w:r>
          </w:p>
        </w:tc>
      </w:tr>
      <w:tr w14:paraId="301834DC">
        <w:tblPrEx>
          <w:tblCellMar>
            <w:top w:w="0" w:type="dxa"/>
            <w:left w:w="0" w:type="dxa"/>
            <w:bottom w:w="0" w:type="dxa"/>
            <w:right w:w="0" w:type="dxa"/>
          </w:tblCellMar>
        </w:tblPrEx>
        <w:tc>
          <w:tcPr>
            <w:tcW w:w="0" w:type="auto"/>
            <w:vAlign w:val="center"/>
          </w:tcPr>
          <w:p w14:paraId="02CAEB74"/>
        </w:tc>
        <w:tc>
          <w:tcPr>
            <w:tcW w:w="0" w:type="auto"/>
            <w:vAlign w:val="center"/>
          </w:tcPr>
          <w:p w14:paraId="1B488C56">
            <w:r>
              <w:t>轴承拉马</w:t>
            </w:r>
          </w:p>
        </w:tc>
        <w:tc>
          <w:tcPr>
            <w:tcW w:w="0" w:type="auto"/>
            <w:vAlign w:val="center"/>
          </w:tcPr>
          <w:p w14:paraId="244E41BD">
            <w:r>
              <w:t>50-300mm</w:t>
            </w:r>
          </w:p>
        </w:tc>
        <w:tc>
          <w:tcPr>
            <w:tcW w:w="0" w:type="auto"/>
            <w:vAlign w:val="center"/>
          </w:tcPr>
          <w:p w14:paraId="32C8440C">
            <w:r>
              <w:t>拆卸轴承</w:t>
            </w:r>
          </w:p>
        </w:tc>
        <w:tc>
          <w:tcPr>
            <w:tcW w:w="0" w:type="auto"/>
            <w:vAlign w:val="center"/>
          </w:tcPr>
          <w:p w14:paraId="1682C256">
            <w:r>
              <w:t>得力</w:t>
            </w:r>
          </w:p>
        </w:tc>
      </w:tr>
      <w:tr w14:paraId="50D5215E">
        <w:tblPrEx>
          <w:tblCellMar>
            <w:top w:w="0" w:type="dxa"/>
            <w:left w:w="0" w:type="dxa"/>
            <w:bottom w:w="0" w:type="dxa"/>
            <w:right w:w="0" w:type="dxa"/>
          </w:tblCellMar>
        </w:tblPrEx>
        <w:tc>
          <w:tcPr>
            <w:tcW w:w="0" w:type="auto"/>
            <w:vAlign w:val="center"/>
          </w:tcPr>
          <w:p w14:paraId="11C5604C"/>
        </w:tc>
        <w:tc>
          <w:tcPr>
            <w:tcW w:w="0" w:type="auto"/>
            <w:vAlign w:val="center"/>
          </w:tcPr>
          <w:p w14:paraId="18D8A9F3">
            <w:r>
              <w:t>动平衡仪</w:t>
            </w:r>
          </w:p>
        </w:tc>
        <w:tc>
          <w:tcPr>
            <w:tcW w:w="0" w:type="auto"/>
            <w:vAlign w:val="center"/>
          </w:tcPr>
          <w:p w14:paraId="013B76B9">
            <w:r>
              <w:t>HM-200</w:t>
            </w:r>
          </w:p>
        </w:tc>
        <w:tc>
          <w:tcPr>
            <w:tcW w:w="0" w:type="auto"/>
            <w:vAlign w:val="center"/>
          </w:tcPr>
          <w:p w14:paraId="4F21B236">
            <w:r>
              <w:t>叶轮动平衡校正</w:t>
            </w:r>
          </w:p>
        </w:tc>
        <w:tc>
          <w:tcPr>
            <w:tcW w:w="0" w:type="auto"/>
            <w:vAlign w:val="center"/>
          </w:tcPr>
          <w:p w14:paraId="5D8D1A8B">
            <w:r>
              <w:t>华测</w:t>
            </w:r>
          </w:p>
        </w:tc>
      </w:tr>
      <w:tr w14:paraId="13737206">
        <w:tc>
          <w:tcPr>
            <w:tcW w:w="0" w:type="auto"/>
            <w:vAlign w:val="center"/>
          </w:tcPr>
          <w:p w14:paraId="4AD31ECE">
            <w:r>
              <w:t>常用备件</w:t>
            </w:r>
          </w:p>
        </w:tc>
        <w:tc>
          <w:tcPr>
            <w:tcW w:w="0" w:type="auto"/>
            <w:vAlign w:val="center"/>
          </w:tcPr>
          <w:p w14:paraId="747CBD90">
            <w:r>
              <w:t>深沟球轴承</w:t>
            </w:r>
          </w:p>
        </w:tc>
        <w:tc>
          <w:tcPr>
            <w:tcW w:w="0" w:type="auto"/>
            <w:vAlign w:val="center"/>
          </w:tcPr>
          <w:p w14:paraId="24279F8C">
            <w:r>
              <w:t>6205-2RS，6306-2RS</w:t>
            </w:r>
          </w:p>
        </w:tc>
        <w:tc>
          <w:tcPr>
            <w:tcW w:w="0" w:type="auto"/>
            <w:vAlign w:val="center"/>
          </w:tcPr>
          <w:p w14:paraId="3C5E145A">
            <w:r>
              <w:t>轴承更换</w:t>
            </w:r>
          </w:p>
        </w:tc>
        <w:tc>
          <w:tcPr>
            <w:tcW w:w="0" w:type="auto"/>
            <w:vAlign w:val="center"/>
          </w:tcPr>
          <w:p w14:paraId="6519A995">
            <w:r>
              <w:t>哈尔滨轴承</w:t>
            </w:r>
          </w:p>
        </w:tc>
      </w:tr>
      <w:tr w14:paraId="5A377BBD">
        <w:tblPrEx>
          <w:tblCellMar>
            <w:top w:w="0" w:type="dxa"/>
            <w:left w:w="0" w:type="dxa"/>
            <w:bottom w:w="0" w:type="dxa"/>
            <w:right w:w="0" w:type="dxa"/>
          </w:tblCellMar>
        </w:tblPrEx>
        <w:tc>
          <w:tcPr>
            <w:tcW w:w="0" w:type="auto"/>
            <w:vAlign w:val="center"/>
          </w:tcPr>
          <w:p w14:paraId="2EFC1658"/>
        </w:tc>
        <w:tc>
          <w:tcPr>
            <w:tcW w:w="0" w:type="auto"/>
            <w:vAlign w:val="center"/>
          </w:tcPr>
          <w:p w14:paraId="151323EB">
            <w:r>
              <w:t>锂基润滑脂</w:t>
            </w:r>
          </w:p>
        </w:tc>
        <w:tc>
          <w:tcPr>
            <w:tcW w:w="0" w:type="auto"/>
            <w:vAlign w:val="center"/>
          </w:tcPr>
          <w:p w14:paraId="07367293">
            <w:r>
              <w:t>ZL-3</w:t>
            </w:r>
          </w:p>
        </w:tc>
        <w:tc>
          <w:tcPr>
            <w:tcW w:w="0" w:type="auto"/>
            <w:vAlign w:val="center"/>
          </w:tcPr>
          <w:p w14:paraId="70819040">
            <w:r>
              <w:t>轴承润滑</w:t>
            </w:r>
          </w:p>
        </w:tc>
        <w:tc>
          <w:tcPr>
            <w:tcW w:w="0" w:type="auto"/>
            <w:vAlign w:val="center"/>
          </w:tcPr>
          <w:p w14:paraId="446761F1">
            <w:r>
              <w:t>长城</w:t>
            </w:r>
          </w:p>
        </w:tc>
      </w:tr>
      <w:tr w14:paraId="16CF0470">
        <w:tblPrEx>
          <w:tblCellMar>
            <w:top w:w="0" w:type="dxa"/>
            <w:left w:w="0" w:type="dxa"/>
            <w:bottom w:w="0" w:type="dxa"/>
            <w:right w:w="0" w:type="dxa"/>
          </w:tblCellMar>
        </w:tblPrEx>
        <w:tc>
          <w:tcPr>
            <w:tcW w:w="0" w:type="auto"/>
            <w:vAlign w:val="center"/>
          </w:tcPr>
          <w:p w14:paraId="42CE7D76"/>
        </w:tc>
        <w:tc>
          <w:tcPr>
            <w:tcW w:w="0" w:type="auto"/>
            <w:vAlign w:val="center"/>
          </w:tcPr>
          <w:p w14:paraId="2EFC3A7E">
            <w:r>
              <w:t>PT100传感器</w:t>
            </w:r>
          </w:p>
        </w:tc>
        <w:tc>
          <w:tcPr>
            <w:tcW w:w="0" w:type="auto"/>
            <w:vAlign w:val="center"/>
          </w:tcPr>
          <w:p w14:paraId="3147A625">
            <w:r>
              <w:t>4-20mA，-50-200℃</w:t>
            </w:r>
          </w:p>
        </w:tc>
        <w:tc>
          <w:tcPr>
            <w:tcW w:w="0" w:type="auto"/>
            <w:vAlign w:val="center"/>
          </w:tcPr>
          <w:p w14:paraId="0773B391">
            <w:r>
              <w:t>温度检测</w:t>
            </w:r>
          </w:p>
        </w:tc>
        <w:tc>
          <w:tcPr>
            <w:tcW w:w="0" w:type="auto"/>
            <w:vAlign w:val="center"/>
          </w:tcPr>
          <w:p w14:paraId="32614EC0">
            <w:r>
              <w:t>欧姆龙</w:t>
            </w:r>
          </w:p>
        </w:tc>
      </w:tr>
    </w:tbl>
    <w:p w14:paraId="207B0102">
      <w:pPr>
        <w:pStyle w:val="4"/>
      </w:pPr>
      <w:r>
        <w:t>附录C 相关标准与参考文献</w:t>
      </w:r>
    </w:p>
    <w:p w14:paraId="7F84AAAB">
      <w:pPr>
        <w:numPr>
          <w:ilvl w:val="0"/>
          <w:numId w:val="13"/>
        </w:numPr>
        <w:spacing w:before="0" w:beforeAutospacing="1" w:after="0" w:afterAutospacing="1"/>
        <w:ind w:left="720" w:hanging="360"/>
      </w:pPr>
      <w:r>
        <w:t>JB/T 3857-2023 《变压器专用设备 卧式绕线机》</w:t>
      </w:r>
    </w:p>
    <w:p w14:paraId="3004302A">
      <w:pPr>
        <w:numPr>
          <w:ilvl w:val="0"/>
          <w:numId w:val="13"/>
        </w:numPr>
        <w:spacing w:before="0" w:beforeAutospacing="1" w:after="0" w:afterAutospacing="1"/>
        <w:ind w:left="720" w:hanging="360"/>
      </w:pPr>
      <w:r>
        <w:t>GB/T 10068-2020 《轴流通风机》</w:t>
      </w:r>
    </w:p>
    <w:p w14:paraId="0DA3F38C">
      <w:pPr>
        <w:numPr>
          <w:ilvl w:val="0"/>
          <w:numId w:val="13"/>
        </w:numPr>
        <w:spacing w:before="0" w:beforeAutospacing="1" w:after="0" w:afterAutospacing="1"/>
        <w:ind w:left="720" w:hanging="360"/>
      </w:pPr>
      <w:r>
        <w:t>ISO 10816-3:2021 《机械振动 评价机器振动状态的基础》</w:t>
      </w:r>
    </w:p>
    <w:p w14:paraId="5EC6ADF0">
      <w:pPr>
        <w:numPr>
          <w:ilvl w:val="0"/>
          <w:numId w:val="13"/>
        </w:numPr>
        <w:spacing w:before="0" w:beforeAutospacing="1" w:after="0" w:afterAutospacing="1"/>
        <w:ind w:left="720" w:hanging="360"/>
      </w:pPr>
      <w:r>
        <w:t>《干式变压器绕线机冷却系统设计规范》（360文库，2024）</w:t>
      </w:r>
    </w:p>
    <w:p w14:paraId="565D44C1">
      <w:pPr>
        <w:numPr>
          <w:ilvl w:val="0"/>
          <w:numId w:val="14"/>
        </w:numPr>
        <w:spacing w:before="0" w:beforeAutospacing="1" w:after="0" w:afterAutospacing="1"/>
        <w:ind w:left="720" w:hanging="360"/>
      </w:pPr>
      <w:r>
        <w:t>《工业通风机 现场性能试验》（GB/T 10178-2006）</w:t>
      </w:r>
    </w:p>
    <w:p w14:paraId="168CBF1C">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E18AA"/>
    <w:multiLevelType w:val="singleLevel"/>
    <w:tmpl w:val="9FEE18AA"/>
    <w:lvl w:ilvl="0" w:tentative="0">
      <w:start w:val="5"/>
      <w:numFmt w:val="decimal"/>
      <w:lvlText w:val="%1."/>
      <w:lvlJc w:val="left"/>
      <w:pPr>
        <w:ind w:left="720" w:hanging="360"/>
      </w:pPr>
      <w:rPr>
        <w:sz w:val="24"/>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E7F71A30"/>
    <w:multiLevelType w:val="singleLevel"/>
    <w:tmpl w:val="E7F71A30"/>
    <w:lvl w:ilvl="0" w:tentative="0">
      <w:start w:val="1"/>
      <w:numFmt w:val="decimal"/>
      <w:lvlText w:val="%1."/>
      <w:lvlJc w:val="left"/>
      <w:pPr>
        <w:ind w:left="720" w:hanging="360"/>
      </w:pPr>
      <w:rPr>
        <w:sz w:val="24"/>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7">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8">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2">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3">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1"/>
  </w:num>
  <w:num w:numId="2">
    <w:abstractNumId w:val="13"/>
  </w:num>
  <w:num w:numId="3">
    <w:abstractNumId w:val="2"/>
  </w:num>
  <w:num w:numId="4">
    <w:abstractNumId w:val="9"/>
  </w:num>
  <w:num w:numId="5">
    <w:abstractNumId w:val="6"/>
  </w:num>
  <w:num w:numId="6">
    <w:abstractNumId w:val="12"/>
  </w:num>
  <w:num w:numId="7">
    <w:abstractNumId w:val="5"/>
  </w:num>
  <w:num w:numId="8">
    <w:abstractNumId w:val="10"/>
  </w:num>
  <w:num w:numId="9">
    <w:abstractNumId w:val="7"/>
  </w:num>
  <w:num w:numId="10">
    <w:abstractNumId w:val="8"/>
  </w:num>
  <w:num w:numId="11">
    <w:abstractNumId w:val="3"/>
  </w:num>
  <w:num w:numId="12">
    <w:abstractNumId w:val="1"/>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4D72D94"/>
    <w:rsid w:val="76962A74"/>
    <w:rsid w:val="7B77B008"/>
    <w:rsid w:val="7FF6C12C"/>
    <w:rsid w:val="BCB98261"/>
    <w:rsid w:val="F3EB132D"/>
    <w:rsid w:val="FEEDF346"/>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2025-10-06T22:55:49Z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6E2504B3616CECA375D8E3683CD3666B_43</vt:lpwstr>
  </property>
  <property fmtid="{D5CDD505-2E9C-101B-9397-08002B2CF9AE}" pid="4" name="KSOTemplateDocerSaveRecord">
    <vt:lpwstr>eyJoZGlkIjoiNzI4YmNmYThhZjA0NTVhODllNDhjMGZiNmFkMDJjN2YiLCJ1c2VySWQiOiIxNjA5OTI0MDI0In0=</vt:lpwstr>
  </property>
</Properties>
</file>