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FDD2B9">
      <w:pPr>
        <w:pStyle w:val="2"/>
      </w:pPr>
    </w:p>
    <w:p w14:paraId="16F30E4B">
      <w:pPr>
        <w:pStyle w:val="2"/>
      </w:pPr>
      <w:r>
        <w:t>干变绕线车间卧式绕线机主轴技术手册</w:t>
      </w:r>
    </w:p>
    <w:p w14:paraId="5328528F">
      <w:pPr>
        <w:pStyle w:val="3"/>
      </w:pPr>
      <w:r>
        <w:t>一、引言</w:t>
      </w:r>
    </w:p>
    <w:p w14:paraId="26D47760">
      <w:pPr>
        <w:pStyle w:val="4"/>
      </w:pPr>
      <w:r>
        <w:t>1.1 手册概述与适用范围</w:t>
      </w:r>
    </w:p>
    <w:p w14:paraId="7E22B207">
      <w:r>
        <w:t>本手册旨在为干变绕线车间设备工程师及维修技术人员提供卧式绕线机主轴系统的专业技术指导，内容涵盖主轴结构组成、机械传动原理、控制系统原理、常见故障诊断及维护对策等核心知识。手册编制目的是规范主轴系统的操作、维护与故障处理流程，提升设备运行稳定性和线圈绕制质量。主要内容包括主轴系统的结构与功能、工作原理、控制逻辑、故障分析及维护方案，适用于干变线圈绕制场景下的各类卧式绕线机主轴，覆盖RX系列（如RX-1、RX-5、RXW-5H、RXW-10H）、WR系列（如WR-20）等主流机型。手册内容基于JB/T 3857-2023《变压器专用设备 卧式绕线机》、JB/T 9656-1999《卧式绕线机技术条件》等行业标准编制，可供设备调试、日常点检、故障维修及技术培训使用。</w:t>
      </w:r>
    </w:p>
    <w:p w14:paraId="701C8F70">
      <w:pPr>
        <w:pStyle w:val="4"/>
      </w:pPr>
      <w:r>
        <w:t>1.2 主轴系统在绕线工艺中的作用与重要性</w:t>
      </w:r>
    </w:p>
    <w:p w14:paraId="794A37F3">
      <w:r>
        <w:t>主轴系统是卧式绕线机实现线圈绕制的核心功能部件，其性能直接决定干变线圈的绕制精度、设备承载能力及生产效率。在干变线圈绕制工艺中，线圈的几何一致性（如内径、外径、长度公差）、排线均匀性（层间间隙、匝间紧密度）及电气性能（如绝缘电阻、抗短路能力）均依赖主轴系统的稳定运行。主轴通过驱动绕线模旋转，配合排线机构实现线材的规则排列，其旋转精度（径向圆跳动、轴向窜动）直接影响线圈的幅向尺寸控制精度，JB/T 3857-2023标准要求主轴停止位置角度误差≤±0.5°，排线机构轴向定位误差≤±1mm。同时，主轴系统的承载能力决定设备可绕制线圈的最大重量，如WR-20型主轴最大承载20吨，可满足大容量干变线圈的绕制需求。此外，主轴的转速稳定性和制动响应速度直接关系生产效率与操作安全，例如0-150r/min的无级调速能力可适配不同线径线材的绕制节奏，0.5秒内的制动响应可有效避免突发故障时的设备损伤。</w:t>
      </w:r>
    </w:p>
    <w:p w14:paraId="416E6F30">
      <w:pPr>
        <w:pStyle w:val="3"/>
      </w:pPr>
      <w:r>
        <w:t>二、主轴结构组成与功能特点</w:t>
      </w:r>
    </w:p>
    <w:p w14:paraId="51B93942">
      <w:pPr>
        <w:pStyle w:val="4"/>
      </w:pPr>
      <w:r>
        <w:t>2.1 主轴本体结构与技术参数</w:t>
      </w:r>
    </w:p>
    <w:p w14:paraId="714C20CF">
      <w:r>
        <w:t>主轴本体是实现扭矩传递和绕线模支撑的核心部件，采用45#钢或合金结构钢整体锻造而成，经调质处理后表面硬度达HRC28-32，以保证足够的刚性和抗变形能力。其结构设计为中空轴形式，内部通孔直径根据机型吨位不同分为Φ50mm（1吨级）至Φ180mm（20吨级），既便于穿线操作，又可减轻主轴自重，降低旋转惯性。主轴前端通过法兰与花盘连接，花盘表面加工有4-8等分T型槽，用于固定绕线模，T型槽宽度通常为12mm、16mm或20mm，槽深≥30mm，以满足不同规格绕线模的装夹需求。</w:t>
      </w:r>
    </w:p>
    <w:p w14:paraId="790B54A1">
      <w:r>
        <w:t>主轴关键精度指标需符合JB/T 9656-1999标准要求：主轴孔（或顶尖）的径向圆跳动公差≤0.15mm，测量时将百分表测头垂直触及主轴内孔表面，旋转主轴一周，百分表指针的最大变动量即为径向圆跳动值。花盘端面圆跳动根据直径分级控制：当花盘直径≤1000mm时，端面圆跳动≤0.25mm；1000mm＜d≤2000mm时，端面圆跳动≤0.40mm，该精度直接影响绕线模安装后的端面平面度，进而确保线圈幅向尺寸的一致性。主轴轴向窜动公差≤0.10mm，通过在主轴后端设置推力轴承实现轴向定位，避免绕制过程中绕线模轴向位移导致的线圈长度偏差。</w:t>
      </w:r>
    </w:p>
    <w:p w14:paraId="0DB41D33">
      <w:pPr>
        <w:pStyle w:val="4"/>
      </w:pPr>
      <w:r>
        <w:t>2.2 轴承系统组成与功能</w:t>
      </w:r>
    </w:p>
    <w:p w14:paraId="0D61E508">
      <w:r>
        <w:t>轴承系统是保证主轴旋转精度和承载能力的关键，采用“双列圆柱滚子轴承+角接触球轴承”的组合结构。前端配置双列圆柱滚子轴承（如NN30系列），主要承受径向载荷，其滚子呈双列排列，内圈为整体式，外圈可分离，具有较高的径向承载能力和刚性，适用于高转速、大径向力的工况，如RXW-10H型主轴前端轴承选用NN3032K型号，额定动载荷≥55kN，额定静载荷≥80kN。后端成对安装角接触球轴承（如7000AC系列），面对面或背对背排列，既能承受径向载荷，又能承受双向轴向载荷，通过预紧螺母调整轴承间隙，控制在0.005-0.01mm范围内，以消除间隙并提高旋转精度，例如7215AC型号轴承的接触角为25°，成对安装后可承受轴向力≥15kN。</w:t>
      </w:r>
    </w:p>
    <w:p w14:paraId="69CF3387">
      <w:r>
        <w:t>轴承润滑采用3号锂基润滑脂，其滴点≥180℃，锥入度（25℃，1/10mm）220-250，具有良好的高低温性能和抗水性。按JB/T 4328.8规定，轴承润滑脂需每运行500小时补充加注一次，加注量为轴承内部空间的1/3-1/2，过多会导致温升过高，过少则无法形成有效油膜。轴承外圈与主轴箱孔采用过渡配合（H7/js6），内圈与主轴轴颈采用过盈配合（m6），装配时需采用热装法（将轴承加热至80-100℃），避免硬敲导致轴承损伤。拆卸轴承时需使用专用拉马工具，着力点应作用于轴承内圈，防止外圈变形影响后续装配精度。</w:t>
      </w:r>
    </w:p>
    <w:p w14:paraId="138B68DD">
      <w:pPr>
        <w:pStyle w:val="4"/>
      </w:pPr>
      <w:r>
        <w:t>2.3 传动装置结构与功能</w:t>
      </w:r>
    </w:p>
    <w:p w14:paraId="1A3BA08F">
      <w:r>
        <w:t>传动装置负责将电机动力传递至主轴，实现绕线模的旋转运动，主要由电机、减速机、齿轮组、联轴器及电磁制动器组成。动力传递路径为：电机输出轴通过三角皮带轮或联轴器连接至减速机输入端，经减速后由减速机输出轴齿轮与主轴齿轮啮合，驱动主轴旋转。齿轮组采用三级减速设计，一级主动齿轮模数m=4，齿数z=20，与主轴箱内的中间齿轮（z=60）啮合，形成3:1的减速比，再通过二级减速齿轮组（速比3:1）驱动主轴，总传动比可达9:1，满足低速大扭矩的绕制需求。</w:t>
      </w:r>
    </w:p>
    <w:p w14:paraId="2450C1F5">
      <w:r>
        <w:t>齿轮精度按GB/T 10095规定不低于8级，齿面经渗碳淬火处理，硬度达HRC58-62，齿面粗糙度Ra≤1.6μm，接触斑点沿齿长方向≥50%、齿高方向≥40%，以保证传动平稳性，降低啮合噪声。联轴器采用弹性柱销联轴器，由两半联轴器和弹性柱销组成，弹性柱销通常采用聚氨酯材料，具有一定的缓冲和吸振能力，可补偿电机轴与减速机轴之间的安装偏差（径向偏差≤0.2mm，角向偏差≤1°）。</w:t>
      </w:r>
    </w:p>
    <w:p w14:paraId="41CE51AE">
      <w:r>
        <w:t>电磁制动器安装于电机输出轴或减速机输入轴端，当主轴停止时需在0.5秒内实现制动，制动扭矩应不小于主轴额定输出扭矩的1.5倍，例如RXW-3H型主轴额定输出扭矩为234Nm，制动扭矩需≥351Nm。制动器工作时，电磁线圈通电产生磁力，吸引衔铁释放制动盘，主轴可自由旋转；断电时，磁力消失，弹簧推动衔铁压紧制动盘，实现制动，防止绕线模因重力或惯性转动导致线圈松散。</w:t>
      </w:r>
    </w:p>
    <w:p w14:paraId="0E86EBD7">
      <w:pPr>
        <w:pStyle w:val="4"/>
      </w:pPr>
      <w:r>
        <w:t>2.4 主轴箱与尾座结构及同轴度要求</w:t>
      </w:r>
    </w:p>
    <w:p w14:paraId="0E540401">
      <w:r>
        <w:t>主轴箱与尾座共同构成主轴系统的支撑框架，其同轴度是保证绕线模平稳旋转的关键装配指标。主轴箱采用CO2气保焊接结构，焊接后需进行人工时效处理（加热至550-600℃，保温4-6小时，随炉冷却），以消除焊接应力，防止后续加工或使用过程中产生变形。主轴箱导轨面经淬火处理（硬度HRC50-55）并磨削加工，表面粗糙度Ra≤3.2μm，导轨宽度根据机型吨位为150mm（1吨级）至300mm（20吨级），导轨长度≥2000mm，以满足不同长度绕线模的支撑需求。</w:t>
      </w:r>
    </w:p>
    <w:p w14:paraId="3B9B3B00">
      <w:r>
        <w:t>尾座安装于主轴箱导轨上，可沿导轨轴向移动，其内部配置可伸缩顶尖，顶尖锥度为莫氏4号（1吨级）至莫氏6号（20吨级），伸缩行程0-200mm，通过手动或气动方式实现顶紧动作。主轴轴线与尾座顶尖轴线的同轴度公差需符合JB/T 3857-2023标准要求，≤0.10mm/m，测量时将标准芯棒（长度1000mm，直径Φ50mm，圆柱度≤0.01mm）两端分别装入主轴孔和尾座顶尖，将百分表测头触及芯棒侧表面，移动尾座，在芯棒两端和中间三个位置测量径向跳动，取最大值作为同轴度误差值。若超差，可通过调整尾座底部的调节螺栓（通常为4组M20螺栓）进行校准，顺时针旋转螺栓使尾座向一侧移动，逆时针旋转则向另一侧移动，直至同轴度误差符合要求。</w:t>
      </w:r>
    </w:p>
    <w:p w14:paraId="6300D03D">
      <w:pPr>
        <w:pStyle w:val="3"/>
      </w:pPr>
      <w:r>
        <w:t>二、主轴机械传动原理</w:t>
      </w:r>
    </w:p>
    <w:p w14:paraId="5A7BBF75">
      <w:pPr>
        <w:pStyle w:val="4"/>
      </w:pPr>
      <w:r>
        <w:t>2.1 动力传递路径分析</w:t>
      </w:r>
    </w:p>
    <w:p w14:paraId="2CD38E22">
      <w:r>
        <w:t>卧式绕线机主轴的动力传递路径从变频调速电机开始，经传动部件逐级传递至主轴，形成完整的动力链。以RXW-10H型卧式绕线机为例，其动力传递流程为：安徽皖南电机Y2-160M-4型三相异步电机（功率11kW，额定转速1460r/min）输出轴通过键连接与三角皮带轮（直径Φ120mm）固定，皮带轮通过四槽三角皮带与减速机输入端皮带轮（直径Φ360mm）连接，形成3:1的初级减速。减速机采用江苏国茂RV系列蜗杆-蜗轮减速机，减速比20:1，输入端与皮带轮通过胀套连接，输出端通过平键与主动齿轮（模数m=5，齿数z=25）连接，主动齿轮与主轴齿轮（模数m=5，齿数z=75）啮合，形成3:1的次级减速，最终主轴转速为1460r/min×（120/360）×（1/20）×（25/75）≈8.1r/min，满足10吨级线圈绕制的低速大扭矩需求。</w:t>
      </w:r>
    </w:p>
    <w:p w14:paraId="04F5DC4B">
      <w:r>
        <w:t>动力传递过程中，各连接部件的安装精度直接影响传动效率和稳定性。电机轴与减速机输入轴的同轴度偏差需≤0.1mm，通过调整电机安装座的垫片厚度实现；皮带轮安装时需保证两轮轮槽中心线对齐，偏差≤0.5mm，避免皮带偏磨；齿轮啮合侧隙需控制在0.15-0.25mm之间，通过调整减速机安装位置实现，侧隙过小会导致齿轮啮合发热，过大则会产生冲击噪声。主轴与绕线模的连接采用传动套结构，传动套一端以锁紧螺母固定在主轴前端，另一端通过方孔与绕线模的方形主轴卡接，并配合顶紧螺母实现轴向固定，这种连接方式可有效传递扭矩，避免传统花盘拨叉传递时的应力集中问题，承载能力提升30%以上。</w:t>
      </w:r>
    </w:p>
    <w:p w14:paraId="42945059">
      <w:pPr>
        <w:pStyle w:val="4"/>
      </w:pPr>
      <w:r>
        <w:t>2.2 减速机构工作原理</w:t>
      </w:r>
    </w:p>
    <w:p w14:paraId="182A36F6">
      <w:r>
        <w:t>减速机构的作用是将电机的高速低扭矩转换为主轴的低速大扭矩，根据绕线机吨位和工艺需求，主要分为蜗杆-蜗轮减速器和齿轮减速器两种类型。蜗杆-蜗轮减速器由蜗杆和蜗轮组成，蜗杆为主动件，蜗轮为从动件，其传动比i=蜗轮齿数/蜗杆头数，通常传动比范围为10:1-80:1，具有传动比大、结构紧凑、运行平稳及自锁功能（蜗杆导程角小于啮合面摩擦角时）等特点，适用于低速大扭矩场景，如10吨及以上卧式绕线机普遍采用蜗杆-蜗轮减速器，可提供稳定的低速旋转，防止绕线模因自重反转。</w:t>
      </w:r>
    </w:p>
    <w:p w14:paraId="4D67E5D9">
      <w:r>
        <w:t>齿轮减速器通过齿轮啮合实现动力传递，由主动齿轮、从动齿轮及齿轮轴组成，传动比i=从动齿轮齿数/主动齿轮齿数，单级传动比通常为2:1-5:1，多级组合可实现更大传动比。齿轮减速器的优点是传动效率高（95%-98%，高于蜗杆-蜗轮减速器的70%-85%），适用于高速传动场景，如1吨级RX-1型卧式绕线机采用两级齿轮减速，总传动比10:1，主轴最高转速可达100r/min，满足小吨位线圈的高效绕制需求。</w:t>
      </w:r>
    </w:p>
    <w:p w14:paraId="0F5AE531">
      <w:r>
        <w:t>减速机构的选型需综合考虑绕线模重量、线径规格及绕制速度要求。当绕线模重量超过5吨、线径大于5mm时，宜选用蜗杆-蜗轮减速器，利用其自锁功能保证停转时的安全性；当绕线模重量小于3吨、线径小于2mm时，可选用齿轮减速器，以提高传动效率和绕制速度。部分机型采用“齿轮+蜗杆-蜗轮”复合减速结构，如WR-20型20吨绕线机，首级为齿轮减速（传动比3:1），次级为蜗杆-蜗轮减速（传动比15:1），总传动比45:1，兼顾传动效率和低速稳定性。</w:t>
      </w:r>
    </w:p>
    <w:p w14:paraId="4BB7ED42">
      <w:pPr>
        <w:pStyle w:val="4"/>
      </w:pPr>
      <w:r>
        <w:t>2.3 同步控制机械机制</w:t>
      </w:r>
    </w:p>
    <w:p w14:paraId="0FAF20C8">
      <w:r>
        <w:t>同步控制机械机制是保证排线均匀性的核心，通过机械结构实现主轴转速与排线机构移动速度的匹配，即主轴每旋转一圈，排线机构沿轴向移动一个线径的距离。机械同步主要通过传动齿轮组和凸轮机构实现，在主轴传动链中引出一路动力，驱动排线机构的丝杆螺母副，使排线架沿主轴轴线方向移动。</w:t>
      </w:r>
    </w:p>
    <w:p w14:paraId="70145845">
      <w:r>
        <w:t>具体实现方式为：在主轴齿轮上固定一个同步齿轮（模数m=2，齿数z=40），同步齿轮与过渡齿轮（z=40）啮合，过渡齿轮通过传动轴与排线丝杆齿轮（z=20）连接，排线丝杆螺距为5mm，当主轴旋转一圈时，同步齿轮带动过渡齿轮旋转一圈，排线丝杆齿轮旋转2圈（40/20=2），排线架移动距离=丝杆螺距×旋转圈数=5mm×2=10mm，此时若绕制线径为10mm，则可实现精确排线。当更换不同线径的线材时，需更换不同齿数的排线丝杆齿轮，例如线径为5mm时，选用z=40的排线丝杆齿轮，主轴每转一圈，排线架移动距离=5mm×（40/40）=5mm，满足线径匹配需求。</w:t>
      </w:r>
    </w:p>
    <w:p w14:paraId="506B59BF">
      <w:r>
        <w:t>机械同步控制的精度取决于齿轮加工精度和传动间隙，为减少同步误差，同步齿轮组采用GB/T 10095 7级精度齿轮，齿面粗糙度Ra≤0.8μm，传动间隙≤0.1mm。同时，在排线丝杆两端设置张紧装置，通过调整螺母预紧丝杆，消除丝杆与螺母之间的间隙（通常控制在0.05mm以内）。对于高精度绕制需求，机械同步可与电气同步配合使用，即在排线机构上安装光栅尺，实时检测排线位置，当机械同步误差超过0.1mm时，通过电气系统驱动伺服电机进行补偿，形成“机械粗同步+电气精同步”的双重控制机制。</w:t>
      </w:r>
    </w:p>
    <w:p w14:paraId="489079D4">
      <w:pPr>
        <w:pStyle w:val="4"/>
      </w:pPr>
      <w:r>
        <w:t>2.4 主轴支撑与定心结构原理</w:t>
      </w:r>
    </w:p>
    <w:p w14:paraId="2AAE0F80">
      <w:r>
        <w:t>主轴支撑与定心结构用于保证绕线模在旋转过程中的稳定性和同轴度，主要由主轴箱支撑、尾座顶尖定心及顶紧装置组成。主轴箱支撑采用“前端固定+后端游动”的方式，前端通过双列圆柱滚子轴承和角接触球轴承组合实现径向和轴向定位，轴承外圈与主轴箱孔为过盈配合，内圈与主轴为过渡配合，限制主轴的径向和轴向移动；后端采用单列圆柱滚子轴承（如NU2220型号），外圈与主轴箱孔为间隙配合（间隙0.05-0.10mm），允许主轴因温度变化产生轴向伸缩，避免热应力导致的主轴弯曲。</w:t>
      </w:r>
    </w:p>
    <w:p w14:paraId="2D880D6B">
      <w:r>
        <w:t>尾座顶尖定心采用双顶尖定位方式，主轴前端内孔加工有莫氏锥度（与尾座顶尖锥度一致），绕线模两端分别装入主轴顶尖和尾座顶尖，通过尾座顶紧装置施加轴向顶紧力，使绕线模固定。顶紧装置有手动和气动两种形式：手动顶紧通过旋转尾座手轮，带动丝杆推动顶尖移动，顶紧力通过手感控制，适用于小吨位机型；气动顶紧采用气缸驱动，顶紧力可通过调压阀调节（通常为0.3-0.5MPa），压力过大易导致绕线模弯曲，过小则会导致绕线模径向跳动增大（超过0.2mm）。</w:t>
      </w:r>
    </w:p>
    <w:p w14:paraId="03E061A1">
      <w:r>
        <w:t>为提高定心精度，主轴顶尖和尾座顶尖的锥面需进行研磨处理，表面粗糙度Ra≤0.8μm，锥度公差≤0.01mm/100mm。安装绕线模时，需先清洁顶尖锥面和绕线模中心孔，涂抹少量润滑脂，然后将绕线模缓慢推入两顶尖之间，调整尾座顶紧力，用百分表检测绕线模外圆的径向跳动，确保≤0.15mm/m，否则需重新调整顶尖位置或修复绕线模中心孔。</w:t>
      </w:r>
    </w:p>
    <w:p w14:paraId="2B484145">
      <w:pPr>
        <w:pStyle w:val="4"/>
      </w:pPr>
      <w:r>
        <w:t>2.5 主轴支撑与定心结构原理</w:t>
      </w:r>
    </w:p>
    <w:p w14:paraId="0825FB71">
      <w:r>
        <w:t>主轴支撑与定心结构是保证绕线模平稳旋转的基础，通过主轴箱、尾座及顶尖的协同作用，实现绕线模的高精度定位和稳定支撑。主轴箱内部采用“三支撑”结构，前、中、后各设置一组轴承，前端轴承组（双列圆柱滚子轴承+角接触球轴承）承受主要径向载荷和轴向载荷，中间轴承（单列圆柱滚子轴承）辅助承受径向载荷，后端轴承（推力球轴承）承受残余轴向载荷，形成对称支撑，降低主轴悬臂长度，提高刚性。</w:t>
      </w:r>
    </w:p>
    <w:p w14:paraId="3B8D9751">
      <w:r>
        <w:t>主轴与顶尖的配合采用莫氏锥度定心，莫氏锥度具有自锁性好、定心精度高的特点，锥度值为1:20（莫氏4号锥度），锥面接触面积≥80%，可有效传递扭矩和轴向力。顶尖端部加工有中心孔，用于安装轴向推力轴承，当尾座顶紧绕线模时，轴向力通过绕线模传递至主轴顶尖，再经推力轴承传递至主轴箱，避免主轴承受轴向弯矩。</w:t>
      </w:r>
    </w:p>
    <w:p w14:paraId="7E32AFD7">
      <w:r>
        <w:t>为适应不同长度绕线模的支撑需求，尾座可沿主轴箱导轨移动，移动范围为0-3000mm（20吨级机型），并通过手动或电动锁紧装置固定在导轨上。锁紧装置采用偏心凸轮或碟形弹簧结构，锁紧力≥5kN，防止绕制过程中尾座移动。部分机型在尾座底部安装辅助支撑轮，支撑轮与导轨面接触，承载尾座自重的60%以上，减少导轨磨损，提高移动平稳性。</w:t>
      </w:r>
    </w:p>
    <w:p w14:paraId="1F7E4542">
      <w:r>
        <w:t>主轴径向跳动和轴向窜动的控制措施包括：轴承预紧力调整（通过螺母旋紧量控制，预紧力矩45-50N·m）、主轴箱导轨面的平面度控制（≤0.02mm/m）、尾座顶尖与主轴顶尖的等高性调整（高度差≤0.05mm）。在日常维护中，需定期检查顶尖锥面磨损情况，当磨损深度超过0.2mm时，需重新研磨或更换顶尖；检查轴承温升，正常运行时轴承温度应≤40℃（环境温度以上），超过50℃时需停机检查润滑和装配情况。</w:t>
      </w:r>
    </w:p>
    <w:p w14:paraId="1F56C8DE">
      <w:pPr>
        <w:pStyle w:val="3"/>
      </w:pPr>
      <w:r>
        <w:t>三、主轴控制系统原理</w:t>
      </w:r>
    </w:p>
    <w:p w14:paraId="41D0AB70">
      <w:pPr>
        <w:pStyle w:val="4"/>
      </w:pPr>
      <w:r>
        <w:t>3.1 控制系统硬件组成</w:t>
      </w:r>
    </w:p>
    <w:p w14:paraId="6952E582">
      <w:r>
        <w:t>主轴控制系统以PLC为核心，构建“控制-驱动-检测”闭环系统，主要由控制器、驱动系统、传感器及辅助元件组成。控制器采用日本三菱FX5U系列PLC，该型号PLC具备高速运算能力（基本指令执行速度0.065μs/步），支持多轴同步控制（最大控制轴数16轴），配备10.1英寸彩色触摸屏（分辨率1024×600）作为人机交互界面，可实时显示主轴转速、扭矩、绕制匝数等参数，并支持参数设置、故障报警及历史数据查询。</w:t>
      </w:r>
    </w:p>
    <w:p w14:paraId="5064F8B5">
      <w:r>
        <w:t>驱动系统分为变频驱动和伺服驱动两种类型：经济型机型采用变频器+异步电机组合，变频器选用艾默德IMD100系列（功率范围0.75kW-30kW），支持0-600Hz频率输出，实现0-150r/min无级调速，电机为安徽皖南YVF2系列变频调速电机，额定转速1440r/min，通过编码器（威海迪控DKS3806，分辨率1024线）构成速度闭环；精密机型采用伺服驱动系统，伺服电机选用Fanuc A06B-0223-B100系列（额定功率5.5kW，额定转速3000r/min），配套αiF系列伺服驱动器，位置控制精度可达±0.01mm，适用于高精度排线需求。</w:t>
      </w:r>
    </w:p>
    <w:p w14:paraId="2C4CEF4F">
      <w:r>
        <w:t>传感器系统包括位置检测、张力检测及安全检测三类：位置检测采用编码器与光栅尺组合，编码器安装于主轴后端，实时采集主轴转速和转角；光栅尺（雷尼绍RGH24系列，分辨率5μm）安装于排线导轨，检测排线架位置。张力检测通过电磁张力器实现，内置张力传感器（量程0-50N，输出4-20mA），实时监测线材张力。安全检测配置HNG系列红外传感器（检测距离0.5-3m）作为区域光幕，当异物进入主轴旋转区域时，触发紧急制动。</w:t>
      </w:r>
    </w:p>
    <w:p w14:paraId="31760E64">
      <w:r>
        <w:t>辅助元件包括电磁制动器（DC24V，制动扭矩50Nm）、继电器（欧姆龙MY2N-J系列）、空气开关（施耐德NSX系列）及接线端子（魏德米勒UK系列），所有电气元件均符合GB/T 14048.1标准，防护等级IP54，适应车间粉尘环境。</w:t>
      </w:r>
    </w:p>
    <w:p w14:paraId="2B1B387C">
      <w:pPr>
        <w:pStyle w:val="4"/>
      </w:pPr>
      <w:r>
        <w:t>3.2 速度控制逻辑</w:t>
      </w:r>
    </w:p>
    <w:p w14:paraId="3CDF79AF">
      <w:r>
        <w:t>主轴速度控制采用闭环控制方式，由PLC、变频器/伺服驱动器、编码器及PID算法共同实现。控制逻辑为：操作员通过触摸屏设定目标转速（如30r/min），PLC将设定值转换为对应频率信号（如50Hz对应1500r/min，则30r/min对应1Hz），发送至变频器/伺服驱动器；驱动器驱动电机旋转，编码器实时采集电机转速，并将反馈信号（如A、B相脉冲）发送至PLC；PLC将反馈转速与设定转速进行比较，通过PID算法计算偏差值，动态调整输出频率，直至反馈转速与设定转速一致，偏差控制在±1%以内。</w:t>
      </w:r>
    </w:p>
    <w:p w14:paraId="48C53072">
      <w:r>
        <w:t>速度曲线采用S型加减速控制，避免启动和停止时的冲击。加速阶段，频率从0Hz按二次曲线上升至目标频率，加速度逐渐减小；减速阶段，频率从目标频率按二次曲线下降至0Hz，减速度逐渐增大。加减速时间可根据绕线模重量设定，空模启动时加减速时间设为1-2s，满模（重量≥5吨）时设为3-5s，防止启动扭矩过大导致电机过载。</w:t>
      </w:r>
    </w:p>
    <w:p w14:paraId="378D2398">
      <w:r>
        <w:t>不同工况下的速度控制策略不同：空线圈启动时，绕线模惯性小，可采用较高加速度（0.5Hz/s）；满线圈状态时，绕线模惯性大，需降低加速度（0.2Hz/s），并提高启动扭矩（通过变频器“转矩提升”功能，将启动转矩提升至额定转矩的150%）。当检测到线材张力异常（超过设定值±10%）时，PLC自动降低主轴转速（降至原转速的50%），并发出声光报警，避免断丝或乱线。</w:t>
      </w:r>
    </w:p>
    <w:p w14:paraId="1CB53392">
      <w:pPr>
        <w:pStyle w:val="4"/>
      </w:pPr>
      <w:r>
        <w:t>3.3 张力控制原理</w:t>
      </w:r>
    </w:p>
    <w:p w14:paraId="7736D8F9">
      <w:r>
        <w:t>张力控制是保证线圈紧实度的关键，通过机械和电气相结合的方式实现恒张力调节。机械张力控制采用毛毡压紧式张力器，由毛毡块、压紧弹簧和调节螺母组成，线材从毛毡块之间穿过，通过弹簧压力调节摩擦力，产生基础张力（范围5-50N），适用于线径1-5mm的漆包线。调节时旋转调节螺母，改变弹簧压缩量，通过张力计测量实际张力，直至符合设定值。</w:t>
      </w:r>
    </w:p>
    <w:p w14:paraId="131D8B64">
      <w:r>
        <w:t>电气张力控制采用电磁自动调节式张力器，由电磁线圈、张力臂、摆杆和张力传感器组成。张力臂上安装有导轮，线材绕过导轮后进入绕线模，当线材张力增大时，张力臂向上摆动，摆杆带动传感器检测角度变化，输出4-20mA电流信号至PLC；PLC将反馈信号与设定张力（如20N对应12mA）比较，控制电磁线圈电流减小，降低磁场力，张力臂下摆，减小线材张力；反之，当张力减小时，增大线圈电流，提高磁场力，张力臂上摆，增大张力，形成闭环控制，张力波动可控制在±5%以内。</w:t>
      </w:r>
    </w:p>
    <w:p w14:paraId="4B61F7E4">
      <w:r>
        <w:t>对于细微漆包线（线径＜0.5mm），需采用低张力控制策略：选用直径Φ3mm的导轮（减少线材弯曲应力），张力设定值≤5N，张力器安装位置距绕线模距离≤500mm（减少线材悬垂），并在张力器与绕线模之间增加导向轮，保证线材走线路径平滑。当绕制多层线圈时，随着线圈直径增大，线材从张力器到绕线模的路径长度变化，PLC需根据主轴转角（反映线圈直径）动态修正张力设定值，每增加一层，张力提高2%（补偿线圈直径增大导致的张力衰减）。</w:t>
      </w:r>
    </w:p>
    <w:p w14:paraId="1119AF1A">
      <w:pPr>
        <w:pStyle w:val="4"/>
      </w:pPr>
      <w:r>
        <w:t>3.4 位置控制与排线同步</w:t>
      </w:r>
    </w:p>
    <w:p w14:paraId="3A537EB6">
      <w:r>
        <w:t>排线位置控制通过伺服电机驱动滚珠丝杆实现，与主轴旋转保持精确同步。控制原理为：主轴每旋转一圈，排线架移动一个线径距离，该同步关系通过电子齿轮比设定实现。电子齿轮比K=（排线螺距×主轴齿轮齿数）/（线径×排线齿轮齿数），例如排线螺距5mm，主轴齿轮齿数75，线径10mm，排线齿轮齿数25，则K=（5×75）/（10×25）=1.5，即主轴旋转1圈，排线伺服电机旋转1.5圈，排线架移动距离=螺距×旋转圈数=5×1.5=7.5mm，若线径为7.5mm，可实现精确同步。</w:t>
      </w:r>
    </w:p>
    <w:p w14:paraId="36CC3322">
      <w:r>
        <w:t>位置闭环控制由排线伺服电机、光栅尺及PLC组成：PLC根据主轴编码器信号计算排线位置指令，发送至伺服驱动器；伺服电机驱动排线架移动，光栅尺实时检测排线架实际位置，并反馈至PLC；PLC比较指令位置与反馈位置，通过PID算法调整伺服电机输出，位置误差控制在±0.05mm以内。</w:t>
      </w:r>
    </w:p>
    <w:p w14:paraId="16FE6D14">
      <w:r>
        <w:t>多层绕制时的层间过渡控制逻辑为：当绕完一层线圈后，PLC根据设定的“层间过渡距离”（通常为线径的1.2倍），控制排线架快速移动至下一层起始位置，然后反向排线。过渡过程中，主轴转速降低至原转速的30%，避免线材堆积，过渡完成后恢复原转速。为消除累积误差，每绕制10层线圈，PLC控制排线架返回机械原点（通过接近开关检测），重新校准位置。</w:t>
      </w:r>
    </w:p>
    <w:p w14:paraId="59BEFE28">
      <w:pPr>
        <w:pStyle w:val="4"/>
      </w:pPr>
      <w:r>
        <w:t>3.5 张力控制原理</w:t>
      </w:r>
    </w:p>
    <w:p w14:paraId="40975FB6">
      <w:r>
        <w:t>张力控制是保证线圈绕制质量的核心技术之一，通过机械和电气协同作用，使线材在绕制过程中保持恒定张力，避免因张力波动导致的线圈松紧不均或断丝。机械张力控制采用被动式张力器，主要由张力盘、阻尼片和调节弹簧组成，线材从张力盘之间穿过，通过阻尼片与张力盘之间的摩擦力产生张力，调节弹簧的压缩量可改变摩擦力大小，进而调整张力值。这种方式结构简单，成本低，适用于线径较粗（＞2mm）、张力要求不高（±15%）的场景，如干变低压线圈绕制。</w:t>
      </w:r>
    </w:p>
    <w:p w14:paraId="1E661DF4">
      <w:r>
        <w:t>电气张力控制采用主动式张力放线架，由伺服电机、张力传感器、PLC及PID算法组成闭环系统。放线架上的线材经张力传感器导向轮后进入绕线模，张力传感器将检测到的张力值转换为4-20mA电流信号，反馈至PLC；PLC将反馈张力与设定张力（如15N）比较，若反馈张力小于设定值，控制伺服电机加速放线，增加线材输出；若反馈张力大于设定值，控制伺服电机减速或制动，减少线材输出，使张力保持恒定。主动式张力控制的精度可达±5%，适用于线径较细（＜1mm）、张力敏感的线材，如干变高压线圈的漆包线绕制。</w:t>
      </w:r>
    </w:p>
    <w:p w14:paraId="346282E0">
      <w:r>
        <w:t>张力参数的设定需根据线材材质、线径和绕制工艺确定：铜线（线径1mm）的绕制张力通常为3-5N，铝线（线径1mm）为2-3N，玻璃丝包线（线径1mm）为4-6N。当绕制过程中出现断丝时，需检查张力是否过大（超过线材断裂强度的50%），可通过降低张力设定值或更换更粗的线材解决；若出现线圈松散，则需提高张力设定值或检查张力器阻尼片磨损情况（当阻尼片厚度小于原厚度的50%时需更换）。</w:t>
      </w:r>
    </w:p>
    <w:p w14:paraId="0A37BDEA">
      <w:pPr>
        <w:pStyle w:val="3"/>
      </w:pPr>
      <w:r>
        <w:t>四、常见故障分类与成因分析</w:t>
      </w:r>
    </w:p>
    <w:p w14:paraId="6A30F143">
      <w:pPr>
        <w:pStyle w:val="4"/>
      </w:pPr>
      <w:r>
        <w:t>4.1 机械故障类型及成因</w:t>
      </w:r>
    </w:p>
    <w:p w14:paraId="701E5431">
      <w:r>
        <w:t>主轴机械故障主要表现为异响、振动超标、转速不稳及负载过重，其具体成因如下：</w:t>
      </w:r>
    </w:p>
    <w:p w14:paraId="3879FD7B">
      <w:r>
        <w:t>主轴异响通常伴随刺耳或沉闷的声音，主要原因包括：轴承缺油或磨损，当轴承润滑脂不足时，滚子与内外圈之间形成干摩擦，产生“沙沙”声，严重时轴承保持架损坏，会出现“咔咔”声；齿轮啮合间隙过大或齿面磨损，齿轮长期使用后齿面出现点蚀或胶合，啮合时产生冲击噪声，声音频率随转速升高而增大；传动轴弯曲变形，传动轴因长期承受扭矩或安装偏差导致弯曲，旋转时产生离心力，与轴承座碰撞发出“嗡嗡”声，弯曲量越大，声音越明显；花盘不平衡，花盘安装时未进行动平衡校正，旋转时产生离心力，导致周期性振动噪声，尤其在高速旋转时更为明显。</w:t>
      </w:r>
    </w:p>
    <w:p w14:paraId="3D51D682">
      <w:r>
        <w:t>振动超标表现为主轴旋转时振幅超过0.15mm（测量位置为花盘外圆），成因包括：主轴箱与尾座同轴度超差，当同轴度误差大于0.10mm/m时，绕线模旋转时产生附加力矩，引起整机振动；地基虚浮或减震不良，设备安装时地基未夯实，或减震垫老化失效，导致旋转惯性力无法有效吸收，传递至地面引起共振；绕线模不平衡，绕线模材质不均匀或加工偏心，旋转时产生不平衡力矩，振幅随转速平方成正比增加；传动皮带张紧度不均，三角皮带长短不一或张紧力不一致，导致皮带轮径向跳动，传递至主轴引起振动。</w:t>
      </w:r>
    </w:p>
    <w:p w14:paraId="4E980DE9">
      <w:r>
        <w:t>转速不稳表现为主轴实际转速与设定转速偏差超过±5%，主要原因：同步带打滑，同步带长期使用后弹性降低或张紧力不足，导致传动比不稳定，尤其在加载时转速下降明显；皮带轮偏心，电机或减速机皮带轮安装时与轴不同心，径向跳动超过0.1mm，带动皮带周期性松紧变化，引起转速波动；减速机蜗轮蜗杆磨损，蜗杆-蜗轮减速器使用后，蜗轮齿面磨损导致啮合间隙增大，传动时出现“爬行”现象，使转速忽快忽慢；电磁制动器未完全释放，制动器衔铁卡滞或线圈电压不足，导致制动盘未完全脱离，产生摩擦阻力，阻碍主轴旋转，表现为转速无法达到设定值。</w:t>
      </w:r>
    </w:p>
    <w:p w14:paraId="37647D3B">
      <w:r>
        <w:t>负载过重表现为主轴电机电流超过额定值（如11kW电机额定电流22A，实际电流超过25A），成因包括：绕线模重量超过设备额定承载，如RX-5型绕线机额定承载5吨，实际绕线模重量达7吨，导致电机过载；传动部件卡阻，导轨上有异物（如铁屑、螺栓）卡住尾座移动，或丝杆螺母润滑不良出现咬死，增加传动阻力；轴承安装过紧，轴承预紧力过大（超过0.01mm预紧间隙），导致旋转阻力增大，电机负载增加；线材张力过大，张力设定值超过线材承受能力，或张力器调节不当，使绕制时线材对主轴产生附加扭矩。</w:t>
      </w:r>
    </w:p>
    <w:p w14:paraId="23057EDE">
      <w:pPr>
        <w:pStyle w:val="4"/>
      </w:pPr>
      <w:r>
        <w:t>4.2 电气故障类型及成因</w:t>
      </w:r>
    </w:p>
    <w:p w14:paraId="2DCCED0F">
      <w:r>
        <w:t>主轴电气故障主要涉及电机、传感器及变频器，表现为无法启动、转速异常或停机保护，具体成因如下：</w:t>
      </w:r>
    </w:p>
    <w:p w14:paraId="7195D146">
      <w:r>
        <w:t>电机故障分为缺相运行、绝缘下降及过载烧毁。缺相运行表现为电机无法启动或启动后转速缓慢，伴有“嗡嗡”声，电流超过额定值3倍以上，严重时电机冒烟。成因包括：供电回路熔丝熔断，如电机主回路中某一相熔丝规格过小（低于电机额定电流的1.5倍）或接触不良，导致该相断电；交流接触器触头烧损，接触器长期频繁动作，触头表面氧化或烧蚀，接触电阻增大，形成虚接，相当于缺相；电机绕组连线虚焊，电机内部引出线与绕组接头焊接不牢固，受振动后脱焊，导致某一相断路；电源电缆断线，电缆长期拖拽或挤压，内部导线断裂，尤其在接头处易发生断裂。</w:t>
      </w:r>
    </w:p>
    <w:p w14:paraId="572F85E1">
      <w:r>
        <w:t>电机绝缘下降表现为绝缘电阻低于0.5MΩ（用500V兆欧表测量），可能引发短路故障，成因包括：电机受潮，车间湿度超过85%或电机进水，导致绕组绝缘层吸潮，绝缘电阻降低，严重时出现匝间短路；腐蚀性气体侵蚀，车间存在硫化氢、氯气等腐蚀性气体，长期作用下绕组绝缘层老化龟裂，绝缘性能下降；绕组过热，电机长期过载运行或散热风扇损坏，绕组温度超过130℃（B级绝缘），导致绝缘层碳化，绝缘电阻降低；轴承漏油，电机轴承润滑脂过多或密封不良，润滑油渗入绕组，污染绝缘层，降低绝缘电阻。</w:t>
      </w:r>
    </w:p>
    <w:p w14:paraId="52782A57">
      <w:r>
        <w:t>传感器故障影响主轴控制精度，主要包括编码器信号丢失、张力传感器漂移及区域光幕误动作。编码器信号丢失表现为主轴无转速反馈或转速显示异常，成因：编码器线缆破损，线缆被拖拽或挤压导致内部信号线断裂，或屏蔽层接地不良引入干扰；编码器接口松动，编码器与PLC之间的接线端子接触不良，或插头未插紧，导致脉冲信号时断时续；编码器码盘损坏，编码器内部码盘受振动或冲击碎裂，或光电元件老化，无法输出正常脉冲信号；PLC输入模块故障，PLC高速计数模块损坏，无法接收编码器脉冲，表现为所有编码器信号均丢失。</w:t>
      </w:r>
    </w:p>
    <w:p w14:paraId="20BFD434">
      <w:r>
        <w:t>张力传感器漂移表现为检测张力与实际张力偏差超过±10%，成因：传感器校准失效，长期使用后传感器零点漂移，未定期校准，导致测量基准偏移；传感器安装位置不当，传感器未与线材走线路径垂直，或导向轮与传感器轴心不重合，产生附加力矩，影响检测精度；信号线干扰，传感器线缆未采用屏蔽线，或与动力电缆并行敷设，引入电磁干扰，导致信号波动；传感器弹性体疲劳，传感器内部应变片弹性体长期受力产生塑性变形，灵敏度下降，检测值偏低。</w:t>
      </w:r>
    </w:p>
    <w:p w14:paraId="7B822F30">
      <w:r>
        <w:t>变频器故障表现为报故障代码（如过流、过载、欠压），主要原因：过流故障（代码OC），电机绕组短路或接地，导致变频器输出电流超过额定值的200%；电机电缆过长（超过50m），未加装输出电抗器，导致变频器输出侧电压尖峰击穿电机绝缘，或漏电流过大触发过流保护；过载故障（代码OL），电机负载超过变频器额定输出功率，或加速时间过短，启动电流过大；欠压故障（代码UV），输入电源电压低于额定值的85%（如380V电源低于323V），或整流桥损坏，导致直流母线电压过低；过热故障（代码OH），变频器散热风扇损坏，或环境温度超过40℃，导致模块温度超过85℃触发保护。</w:t>
      </w:r>
    </w:p>
    <w:p w14:paraId="361D48FB">
      <w:pPr>
        <w:pStyle w:val="4"/>
      </w:pPr>
      <w:r>
        <w:t>4.3 控制故障类型及成因</w:t>
      </w:r>
    </w:p>
    <w:p w14:paraId="45D29BA3">
      <w:r>
        <w:t>主轴控制故障主要涉及PLC系统、排线同步及制动系统，表现为参数异常、动作失步或制动失灵，具体成因如下：</w:t>
      </w:r>
    </w:p>
    <w:p w14:paraId="03B5C54F">
      <w:r>
        <w:t>PLC控制系统故障表现为参数丢失、程序异常或通讯中断。参数丢失表现为设定的转速、张力等参数重启后恢复默认值，成因：PLC后备电池电量不足，FX5U系列PLC后备电池寿命约5年，电量耗尽后无法保存用户参数，需更换CR1025型锂电池；电压不稳，车间电网波动超过±15%，导致PLC内部存储器读写错误，参数保存失败；静电干扰，维修时未进行防静电处理，人体静电击穿PLC存储芯片，导致参数损坏；PLC程序错误，用户修改程序时误删参数存储指令，或程序逻辑错误导致参数无法正常写入。</w:t>
      </w:r>
    </w:p>
    <w:p w14:paraId="2D37B238">
      <w:r>
        <w:t>程序异常表现为主轴不按设定逻辑运行（如无法启动或突然停机），成因：梯形图逻辑错误，如启动条件未满足（急停按钮未复位）或互锁条件冲突（正反转同时触发）；定时器或计数器设定错误，如加速时间设定为0，导致启动时过流；PLC输入/输出模块故障，输入模块X0端子损坏，无法检测启动信号，或输出模块Y0端子损坏，无法控制变频器启动；通讯故障，PLC与触摸屏之间的RS485通讯中断，导致参数无法下发或状态无法上传，表现为触摸屏显示“通讯超时”。</w:t>
      </w:r>
    </w:p>
    <w:p w14:paraId="12E6C2C8">
      <w:r>
        <w:t>排线失步表现为排线位置与主轴旋转不同步，线圈出现堆积或间隙，成因：电子齿轮比设置错误，未根据线径和丝杆螺距正确计算齿轮比，如线径10mm时齿轮比设为1，实际应为1.5，导致排线间距错误；同步信号延迟，编码器线缆过长（超过20m），未采用差分信号传输，导致脉冲信号延迟，PLC接收的主轴转角与实际转角偏差超过1°；排线伺服电机丢步，伺服驱动器增益设置不当（比例增益过高导致振荡，过低导致响应缓慢），或负载惯量过大（排线架重量超过伺服电机额定负载惯量的5倍），导致电机无法准确跟踪位置指令；光栅尺污染，光栅尺光学玻璃上积尘或油污，导致位置反馈信号丢失，PLC无法获取实际排线位置，形成开环控制。</w:t>
      </w:r>
    </w:p>
    <w:p w14:paraId="57734662">
      <w:r>
        <w:t>制动失灵表现为主轴无法及时停转或停转后滑移，成因：电磁制动器电压不足，制动器线圈额定电压DC24V，实际电压低于20V，导致电磁吸力不足，制动盘无法压紧；刹车片磨损，制动器刹车片使用后厚度小于原厚度的50%，摩擦系数降低，制动扭矩不足（低于额定值的80%）；制动盘油污，主轴箱润滑油泄漏至制动盘表面，导致摩擦系数下降，制动距离延长；PLC输出信号延迟，急停信号触发后，PLC未立即切断制动器电源，延迟超过0.5秒，导致制动不及时。</w:t>
      </w:r>
    </w:p>
    <w:p w14:paraId="6AC71F07">
      <w:pPr>
        <w:pStyle w:val="3"/>
      </w:pPr>
      <w:r>
        <w:t>五、故障诊断方法与维护对策</w:t>
      </w:r>
    </w:p>
    <w:p w14:paraId="2BC59202">
      <w:pPr>
        <w:pStyle w:val="4"/>
      </w:pPr>
      <w:r>
        <w:t>5.1 故障诊断基本方法</w:t>
      </w:r>
    </w:p>
    <w:p w14:paraId="2DF1F046">
      <w:r>
        <w:t>主轴故障诊断需遵循“先简单后复杂、先机械后电气、先外部后内部”的原则，采用备件替换法、信息跟踪法及环境排查法相结合的方式，快速定位故障点。</w:t>
      </w:r>
    </w:p>
    <w:p w14:paraId="658A541C">
      <w:r>
        <w:t>备件替换法是通过更换疑似故障部件验证故障原因的有效方法，适用于轴承、编码器、传感器等易损件。实施步骤：首先观察故障现象（如主轴异响），初步判断可能的故障部件（如轴承）；准备同型号新部件（如NN3032K轴承）；断电后拆卸疑似故障部件，安装新部件；通电试运行，若故障现象消失（异响消除），则确认原部件损坏。注意事项：替换前需记录原部件安装位置和参数（如轴承预紧间隙），替换后需重新校准（如主轴径向跳动）；替换编码器等精密部件时，需注意线缆屏蔽层接地，避免引入干扰。</w:t>
      </w:r>
    </w:p>
    <w:p w14:paraId="53881256">
      <w:r>
        <w:t>信息跟踪法通过分析设备历史故障记录和运行数据，找出重复性故障的根本原因。具体操作：调取设备故障履历表，统计故障发生频率（如“轴承异响”半年内发生3次）；分析故障发生时的工况（如均在绕制重量≥8吨线圈时发生）；结合设备设计参数（如主轴额定承载10吨，实际常过载至12吨），判断故障与工况的关联性；制定改进措施（如限制最大绕制重量至10吨内）。对于控制器数据丢失等重复性故障，需检查PLC供电电压（用万用表测量DC24V，波动应≤±5%），或升级PLC固件版本（如将FX5U固件更新至V1.60）。</w:t>
      </w:r>
    </w:p>
    <w:p w14:paraId="4BB40A1B">
      <w:r>
        <w:t>环境排查法针对电源、温度、粉尘等外部因素导致的故障，主要排查内容：电源质量检测，使用示波器测量输入电压波形，电压波动应≤±10%，谐波畸变率≤5%，若超标需加装稳压电源（如SBW-50KVA）；接地系统检查，用接地电阻测试仪测量设备接地电阻，应≤4Ω，零线与地线之间电压≤5V，避免接地不良引入干扰；环境温度与湿度，用温湿度计测量车间环境，温度应控制在0-40℃，湿度≤85%，高温时需加装轴流风扇（风量≥1000m³/h），高湿时加装除湿机（日除湿量≥10L）；粉尘与振动，车间粉尘浓度应≤10mg/m³，超标时加装主轴箱防尘罩（采用亚克力材质，带换气过滤器）；用测振仪测量地基振动，振幅应≤0.05mm/s，超标时调整减震垫（更换为硬度50 Shore A的橡胶垫）。</w:t>
      </w:r>
    </w:p>
    <w:p w14:paraId="7AFAF063">
      <w:r>
        <w:t>故障诊断流程示例（主轴异响）：第一步，听声音判断部位（前端异响可能为轴承，后端异响可能为减速机）；第二步，断电后手动转动主轴，若转动阻力大且有“沙沙”声，初步判断轴承故障；第三步，拆卸主轴箱前端盖，检查轴承润滑脂（若发黑或有金属颗粒，确认轴承磨损）；第四步，用千分表测量轴承游隙（超过0.02mm需更换）；第五步，更换新轴承后，加注3号锂基脂（填充量为轴承空间的1/2），试运行异响消除，故障解决。</w:t>
      </w:r>
    </w:p>
    <w:p w14:paraId="0B8AEC39">
      <w:pPr>
        <w:pStyle w:val="4"/>
      </w:pPr>
      <w:r>
        <w:t>5.2 预防性维护方案</w:t>
      </w:r>
    </w:p>
    <w:p w14:paraId="2E14C98F">
      <w:r>
        <w:t>预防性维护通过定期检查、清洁、润滑和调整，消除故障隐患，延长主轴系统使用寿命，分为机械系统维护和电气系统维护两部分。</w:t>
      </w:r>
    </w:p>
    <w:p w14:paraId="1CE2CFDF">
      <w:r>
        <w:t>机械系统预防性维护周期与内容：传动装置每3个月检查一次，包括三角皮带张紧度（用手指按压皮带中点，挠度应为10-15mm），同步带齿面磨损情况（齿顶厚度小于原厚度的80%需更换），联轴器弹性柱销（聚氨酯材质，出现裂纹或硬度降低（＜80 Shore A）时更换）；轴承系统每6个月维护一次，清洗轴承（用煤油冲洗，去除旧脂），更换3号锂基润滑脂（NLGI 2级），对于多尘环境（粉尘浓度＞5mg/m³），缩短至3个月；花盘与顶尖每月检查，清洁花盘T型槽内铁屑（用毛刷和压缩空气），检查顶尖锥面磨损（用红丹粉检测接触面积，应≥70%），研磨修复（用铸铁研磨棒，加入研磨膏，手动旋转研磨）；主轴箱与尾座同轴度每半年校准一次，用标准芯棒（Φ50mm×1000mm）检测，同轴度误差应≤0.10mm/m，超差时调整尾座调节螺栓。</w:t>
      </w:r>
    </w:p>
    <w:p w14:paraId="060D42DC">
      <w:r>
        <w:t>电气系统预防性维护周期与内容：控制器与触摸屏每月清洁一次，用压缩空气（压力0.3MPa）吹除灰尘，用酒精棉片擦拭触摸屏表面（避免用有机溶剂）；传感器系统每2个月检查，编码器线缆固定应牢固（每隔500mm用扎带固定），屏蔽层单端接地（接至设备接地排），张力传感器校准（用标准砝码5N、10N、15N进行三点校准，误差应≤±2%）；电机与驱动器每3个月检查，电机轴承润滑（补充锂基脂，型号ZL-3），电机外壳温度（运行时应≤70℃，用红外测温仪检测），驱动器散热风扇（用手转动扇叶，应无卡滞，风量≥0.2m³/min）；制动系统每月测试，手动触发急停，制动响应时间应≤0.5秒（用秒表测量从触发到主轴停转时间），制动扭矩测试（用扭矩扳手检测，应≥额定值的150%）；接地系统每半年检测，用接地电阻测试仪测量，接地电阻≤4Ω，零线与地线之间电压≤3V。</w:t>
      </w:r>
    </w:p>
    <w:p w14:paraId="7F869822">
      <w:r>
        <w:t>闲置设备维护措施：设备停用超过1个月时，每周通电1次，空运行30分钟，使各部件均匀升温，防止潮气凝结；每月手动转动主轴10圈，防止轴承锈蚀；电气系统每月用绝缘电阻表测量电机绕组绝缘电阻，应≥1MΩ，低于0.5MΩ时需烘烤（用红外灯距电机50cm照射，温度60℃，持续4小时）；机械系统每月涂抹防锈油（型号201防锈油）于主轴顶尖、导轨等金属表面，防止氧化。</w:t>
      </w:r>
    </w:p>
    <w:p w14:paraId="74CF1CEE">
      <w:r>
        <w:t>维护记录与分析：建立《主轴维护记录表》，记录维护日期、内容、更换部件型号及检测数据（如轴承游隙0.01mm）；每季度统计维护数据，分析故障趋势（如“3-5月轴承故障频发，与雨季湿度高相关”）；根据分析结果调整维护周期（如雨季将轴承维护周期从6个月缩短至4个月）；每年进行维护效果评估，计算主轴平均无故障运行时间（MTBF），目标值应≥8000小时，未达标时优化维护方案（如增加轴承预紧力检查项目）。</w:t>
      </w:r>
    </w:p>
    <w:p w14:paraId="2DABDF55">
      <w:pPr>
        <w:pStyle w:val="4"/>
      </w:pPr>
      <w:r>
        <w:t>5.3 典型故障处理流程</w:t>
      </w:r>
    </w:p>
    <w:p w14:paraId="6D52CB26">
      <w:r>
        <w:t>针对主轴常见典型故障，制定标准化处理流程，明确操作步骤、所需工具及验收标准，确保故障处理规范高效。</w:t>
      </w:r>
    </w:p>
    <w:p w14:paraId="59C03B2A">
      <w:r>
        <w:rPr>
          <w:b/>
        </w:rPr>
        <w:t>主轴异响故障处理流程</w:t>
      </w:r>
    </w:p>
    <w:p w14:paraId="1B8F1BE3">
      <w:r>
        <w:t>故障现象：主轴旋转时发出“沙沙”或“咔咔”声，伴随振动值超标（实测1.2mm/s，标准值≤0.8mm/s）。</w:t>
      </w:r>
    </w:p>
    <w:p w14:paraId="6E296350">
      <w:r>
        <w:t>所需工具：主轴箱拆卸工具套装（内六角扳手、拉马、百分表）、轴承加热器（温度控制100℃）、锂基润滑脂（3号）、酒精棉片。</w:t>
      </w:r>
    </w:p>
    <w:p w14:paraId="63A6EA62">
      <w:r>
        <w:t>处理步骤：</w:t>
      </w:r>
    </w:p>
    <w:p w14:paraId="3A9B164B">
      <w:pPr>
        <w:numPr>
          <w:ilvl w:val="0"/>
          <w:numId w:val="13"/>
        </w:numPr>
        <w:spacing w:before="0" w:beforeAutospacing="1" w:after="0" w:afterAutospacing="1"/>
        <w:ind w:left="720" w:hanging="360"/>
      </w:pPr>
      <w:r>
        <w:t>安全确认：断电并悬挂“禁止合闸”警示牌，关闭气源，等待主轴完全停转（≥5分钟）。</w:t>
      </w:r>
    </w:p>
    <w:p w14:paraId="30ED85E3">
      <w:pPr>
        <w:numPr>
          <w:ilvl w:val="0"/>
          <w:numId w:val="13"/>
        </w:numPr>
        <w:spacing w:before="0" w:beforeAutospacing="1" w:after="0" w:afterAutospacing="1"/>
        <w:ind w:left="720" w:hanging="360"/>
      </w:pPr>
      <w:r>
        <w:t>拆卸主轴箱前端盖：用内六角扳手拧下6颗M8固定螺栓，取下前端盖，注意保存密封垫（若损坏需更换氟橡胶垫，厚度3mm）。</w:t>
      </w:r>
    </w:p>
    <w:p w14:paraId="24449F4D">
      <w:pPr>
        <w:numPr>
          <w:ilvl w:val="0"/>
          <w:numId w:val="13"/>
        </w:numPr>
        <w:spacing w:before="0" w:beforeAutospacing="1" w:after="0" w:afterAutospacing="1"/>
        <w:ind w:left="720" w:hanging="360"/>
      </w:pPr>
      <w:r>
        <w:t>检查轴承状态：用手电筒观察轴承外观，若发现保持架断裂、滚子变色或滚道剥落，确认轴承损坏；用塞尺测量轴承游隙，超过0.02mm需更换。</w:t>
      </w:r>
    </w:p>
    <w:p w14:paraId="3FDF6BB8">
      <w:pPr>
        <w:numPr>
          <w:ilvl w:val="0"/>
          <w:numId w:val="13"/>
        </w:numPr>
        <w:spacing w:before="0" w:beforeAutospacing="1" w:after="0" w:afterAutospacing="1"/>
        <w:ind w:left="720" w:hanging="360"/>
      </w:pPr>
      <w:r>
        <w:t>拆卸旧轴承：使用三爪拉马，将拉马爪钩住轴承内圈（禁止钩外圈），缓慢旋转丝杆，将轴承拉出；若轴承过盈量大，可加热主轴前端（用热风枪，温度80℃），热胀后拆卸。</w:t>
      </w:r>
    </w:p>
    <w:p w14:paraId="57E724A8">
      <w:pPr>
        <w:numPr>
          <w:ilvl w:val="0"/>
          <w:numId w:val="13"/>
        </w:numPr>
        <w:spacing w:before="0" w:beforeAutospacing="1" w:after="0" w:afterAutospacing="1"/>
        <w:ind w:left="720" w:hanging="360"/>
      </w:pPr>
      <w:r>
        <w:t>安装新轴承：新轴承型号为NN3032K（哈轴），用轴承加热器加热至80℃，迅速套装至主轴轴颈，冷却后检查轴向窜动（应≤0.01mm）。</w:t>
      </w:r>
    </w:p>
    <w:p w14:paraId="36DDAEFB">
      <w:pPr>
        <w:numPr>
          <w:ilvl w:val="0"/>
          <w:numId w:val="13"/>
        </w:numPr>
        <w:spacing w:before="0" w:beforeAutospacing="1" w:after="0" w:afterAutospacing="1"/>
        <w:ind w:left="720" w:hanging="360"/>
      </w:pPr>
      <w:r>
        <w:t>加注润滑脂：用黄油枪向轴承加注3号锂基润滑脂，填充量为轴承内部空间的1/2，转动主轴使润滑脂均匀分布。</w:t>
      </w:r>
    </w:p>
    <w:p w14:paraId="3B3F79E0">
      <w:pPr>
        <w:numPr>
          <w:ilvl w:val="0"/>
          <w:numId w:val="13"/>
        </w:numPr>
        <w:spacing w:before="0" w:beforeAutospacing="1" w:after="0" w:afterAutospacing="1"/>
        <w:ind w:left="720" w:hanging="360"/>
      </w:pPr>
      <w:r>
        <w:t>复装与校准：装回前端盖，均匀拧紧螺栓（扭矩15-20N·m）；用百分表测量主轴径向圆跳动（应≤0.15mm）和轴向窜动（应≤0.10mm）。</w:t>
      </w:r>
    </w:p>
    <w:p w14:paraId="3461E082">
      <w:pPr>
        <w:numPr>
          <w:ilvl w:val="0"/>
          <w:numId w:val="13"/>
        </w:numPr>
        <w:spacing w:before="0" w:beforeAutospacing="1" w:after="0" w:afterAutospacing="1"/>
        <w:ind w:left="720" w:hanging="360"/>
      </w:pPr>
      <w:r>
        <w:t>试运行验收：通电空运行30分钟，测量轴承温度（应≤40℃），振动值（应≤0.8mm/s），无异响，故障处理完成。</w:t>
      </w:r>
    </w:p>
    <w:p w14:paraId="71A16B32">
      <w:r>
        <w:rPr>
          <w:b/>
        </w:rPr>
        <w:t>电机缺相故障处理流程</w:t>
      </w:r>
    </w:p>
    <w:p w14:paraId="3B4E50ED">
      <w:r>
        <w:t>故障现象：主轴启动时电机发出“嗡嗡”声，无法达到额定转速，电流显示28A（额定22A），热继电器动作跳闸。</w:t>
      </w:r>
    </w:p>
    <w:p w14:paraId="5BB2AB80">
      <w:r>
        <w:t>所需工具：万用表（AC 500V档）、兆欧表（500V）、螺丝刀、砂纸（80目）。</w:t>
      </w:r>
    </w:p>
    <w:p w14:paraId="5E9DDA1F">
      <w:r>
        <w:t>处理步骤：</w:t>
      </w:r>
    </w:p>
    <w:p w14:paraId="6C3564D9">
      <w:pPr>
        <w:numPr>
          <w:ilvl w:val="0"/>
          <w:numId w:val="14"/>
        </w:numPr>
        <w:spacing w:before="0" w:beforeAutospacing="1" w:after="0" w:afterAutospacing="1"/>
        <w:ind w:left="720" w:hanging="360"/>
      </w:pPr>
      <w:r>
        <w:t>断电检查电源：测量输入电源三相电压（L1、L2、L3对N），应为380V±10%，若某相电压为0（如L2-N=0V），确认缺相。</w:t>
      </w:r>
    </w:p>
    <w:p w14:paraId="2A75E28D">
      <w:pPr>
        <w:numPr>
          <w:ilvl w:val="0"/>
          <w:numId w:val="14"/>
        </w:numPr>
        <w:spacing w:before="0" w:beforeAutospacing="1" w:after="0" w:afterAutospacing="1"/>
        <w:ind w:left="720" w:hanging="360"/>
      </w:pPr>
      <w:r>
        <w:t>检查电机电缆：断开电机接线盒内U、V、W端子，测量电缆三相导通性（用万用表电阻档，正常应≤0.5Ω），若某相不通（电阻∞），检查电缆中间接头或插头是否断裂。</w:t>
      </w:r>
    </w:p>
    <w:p w14:paraId="43132E36">
      <w:pPr>
        <w:numPr>
          <w:ilvl w:val="0"/>
          <w:numId w:val="14"/>
        </w:numPr>
        <w:spacing w:before="0" w:beforeAutospacing="1" w:after="0" w:afterAutospacing="1"/>
        <w:ind w:left="720" w:hanging="360"/>
      </w:pPr>
      <w:r>
        <w:t>检查电机绕组：用兆欧表测量电机绕组对地绝缘（应≥1MΩ），相间绝缘（应≥1MΩ），若某相接地（≤0.5MΩ），需拆卸电机检查绕组（可能绕组受潮或匝间短路）。</w:t>
      </w:r>
    </w:p>
    <w:p w14:paraId="7485F6E2">
      <w:pPr>
        <w:numPr>
          <w:ilvl w:val="0"/>
          <w:numId w:val="14"/>
        </w:numPr>
        <w:spacing w:before="0" w:beforeAutospacing="1" w:after="0" w:afterAutospacing="1"/>
        <w:ind w:left="720" w:hanging="360"/>
      </w:pPr>
      <w:r>
        <w:t>检查交流接触器：打开控制柜，检查接触器主触头（L1-L2-L3），若某相触头烧蚀（有黑斑或凹陷），用砂纸打磨触头至光亮，测量接触电阻（应≤50mΩ），若无法修复需更换接触器（型号CJX2-4011）。</w:t>
      </w:r>
    </w:p>
    <w:p w14:paraId="7348014D">
      <w:pPr>
        <w:numPr>
          <w:ilvl w:val="0"/>
          <w:numId w:val="14"/>
        </w:numPr>
        <w:spacing w:before="0" w:beforeAutospacing="1" w:after="0" w:afterAutospacing="1"/>
        <w:ind w:left="720" w:hanging="360"/>
      </w:pPr>
      <w:r>
        <w:t>检查熔丝：查看电源进线熔丝（额定电流32A），若某相熔丝熔断，更换同规格熔丝（RT18-32型，32A），并检查熔断原因（如电机短路需先排除）。</w:t>
      </w:r>
    </w:p>
    <w:p w14:paraId="1CF40091">
      <w:pPr>
        <w:numPr>
          <w:ilvl w:val="0"/>
          <w:numId w:val="14"/>
        </w:numPr>
        <w:spacing w:before="0" w:beforeAutospacing="1" w:after="0" w:afterAutospacing="1"/>
        <w:ind w:left="720" w:hanging="360"/>
      </w:pPr>
      <w:r>
        <w:t>恢复接线与测试：重新连接电机电缆，拧紧端子（扭矩3N·m），测量三相电压平衡（偏差≤5%），通电试运行，电机转速达到设定值（30r/min），电流稳定在20A，热继电器未动作，故障处理完成。</w:t>
      </w:r>
    </w:p>
    <w:p w14:paraId="72631F20">
      <w:r>
        <w:rPr>
          <w:b/>
        </w:rPr>
        <w:t>排线失步故障处理流程</w:t>
      </w:r>
    </w:p>
    <w:p w14:paraId="6C4ABFB2">
      <w:r>
        <w:t>故障现象：主轴每转一圈，排线架移动距离应为10mm（线径10mm），实际测量为8mm，线圈出现堆积。</w:t>
      </w:r>
    </w:p>
    <w:p w14:paraId="1F5F67D8">
      <w:r>
        <w:t>所需工具：触摸屏、伺服驱动器调试软件（如Fanuc Servo Guide）、内六角扳手、光栅尺校准仪。</w:t>
      </w:r>
    </w:p>
    <w:p w14:paraId="585A2B32">
      <w:r>
        <w:t>处理步骤：</w:t>
      </w:r>
    </w:p>
    <w:p w14:paraId="24B886AD">
      <w:pPr>
        <w:numPr>
          <w:ilvl w:val="0"/>
          <w:numId w:val="15"/>
        </w:numPr>
        <w:spacing w:before="0" w:beforeAutospacing="1" w:after="0" w:afterAutospacing="1"/>
        <w:ind w:left="720" w:hanging="360"/>
      </w:pPr>
      <w:r>
        <w:t>检查电子齿轮比设置：进入PLC参数界面，查看“排线电子齿轮比K”，当前设置为1.2，理论计算K=（排线螺距×主轴齿轮齿数）/（线径×排线齿轮齿数）=（5×75）/（10×25）=1.5，确认参数设置错误。</w:t>
      </w:r>
    </w:p>
    <w:p w14:paraId="3BB505AA">
      <w:pPr>
        <w:numPr>
          <w:ilvl w:val="0"/>
          <w:numId w:val="15"/>
        </w:numPr>
        <w:spacing w:before="0" w:beforeAutospacing="1" w:after="0" w:afterAutospacing="1"/>
        <w:ind w:left="720" w:hanging="360"/>
      </w:pPr>
      <w:r>
        <w:t>修改电子齿轮比：将K值修改为1.5，保存参数并重启PLC，试运行测量排线距离（主轴转1圈，排线架移动10mm），初步恢复同步。</w:t>
      </w:r>
    </w:p>
    <w:p w14:paraId="4918CE07">
      <w:pPr>
        <w:numPr>
          <w:ilvl w:val="0"/>
          <w:numId w:val="15"/>
        </w:numPr>
        <w:spacing w:before="0" w:beforeAutospacing="1" w:after="0" w:afterAutospacing="1"/>
        <w:ind w:left="720" w:hanging="360"/>
      </w:pPr>
      <w:r>
        <w:t>检查光栅尺反馈：用光栅尺校准仪测量排线架实际移动距离（设定10mm，实际9.8mm），确认光栅尺误差（-0.2mm），进入伺服驱动器参数，设置“位置环增益”从3000提高至4000，减少跟随误差。</w:t>
      </w:r>
    </w:p>
    <w:p w14:paraId="2A595CA6">
      <w:pPr>
        <w:numPr>
          <w:ilvl w:val="0"/>
          <w:numId w:val="15"/>
        </w:numPr>
        <w:spacing w:before="0" w:beforeAutospacing="1" w:after="0" w:afterAutospacing="1"/>
        <w:ind w:left="720" w:hanging="360"/>
      </w:pPr>
      <w:r>
        <w:t>检查同步信号：用示波器测量编码器A相脉冲信号，频率应稳定（30r/min时约50Hz），若有杂波，检查编码器线缆屏蔽层接地（单端接至控制柜接地排），远离动力电缆（间距≥300mm）。</w:t>
      </w:r>
    </w:p>
    <w:p w14:paraId="350DC9AC">
      <w:pPr>
        <w:numPr>
          <w:ilvl w:val="0"/>
          <w:numId w:val="15"/>
        </w:numPr>
        <w:spacing w:before="0" w:beforeAutospacing="1" w:after="0" w:afterAutospacing="1"/>
        <w:ind w:left="720" w:hanging="360"/>
      </w:pPr>
      <w:r>
        <w:t>校准机械原点：触发排线架回零，通过接近开关（型号TL-N5ME1）检测原点位置，调整接近开关与挡块间隙（1-3mm），确保原点重复定位精度≤0.05mm。</w:t>
      </w:r>
    </w:p>
    <w:p w14:paraId="3EB19207">
      <w:pPr>
        <w:numPr>
          <w:ilvl w:val="0"/>
          <w:numId w:val="15"/>
        </w:numPr>
        <w:spacing w:before="0" w:beforeAutospacing="1" w:after="0" w:afterAutospacing="1"/>
        <w:ind w:left="720" w:hanging="360"/>
      </w:pPr>
      <w:r>
        <w:t>绕制测试验收：绕制10层线圈（线径10mm，匝数100匝），测量线圈螺距（应为10mm±0.1mm），层间过渡平滑，无堆积或间隙，故障处理完成。</w:t>
      </w:r>
    </w:p>
    <w:p w14:paraId="4422528B">
      <w:pPr>
        <w:pStyle w:val="3"/>
      </w:pPr>
      <w:r>
        <w:t>六、附录</w:t>
      </w:r>
    </w:p>
    <w:p w14:paraId="13AB33BC">
      <w:pPr>
        <w:pStyle w:val="4"/>
      </w:pPr>
      <w:r>
        <w:t>6.1 技术参数汇总表</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6A3E1B7A">
        <w:tblPrEx>
          <w:tblCellMar>
            <w:top w:w="0" w:type="dxa"/>
            <w:left w:w="0" w:type="dxa"/>
            <w:bottom w:w="0" w:type="dxa"/>
            <w:right w:w="0" w:type="dxa"/>
          </w:tblCellMar>
        </w:tblPrEx>
        <w:tc>
          <w:tcPr>
            <w:tcW w:w="0" w:type="auto"/>
            <w:vAlign w:val="center"/>
          </w:tcPr>
          <w:p w14:paraId="59CB7E67">
            <w:pPr>
              <w:jc w:val="center"/>
              <w:rPr>
                <w:b/>
              </w:rPr>
            </w:pPr>
            <w:r>
              <w:rPr>
                <w:b/>
              </w:rPr>
              <w:t>参数类别</w:t>
            </w:r>
          </w:p>
        </w:tc>
        <w:tc>
          <w:tcPr>
            <w:tcW w:w="0" w:type="auto"/>
            <w:vAlign w:val="center"/>
          </w:tcPr>
          <w:p w14:paraId="055AD7FC">
            <w:pPr>
              <w:jc w:val="center"/>
              <w:rPr>
                <w:b/>
              </w:rPr>
            </w:pPr>
            <w:r>
              <w:rPr>
                <w:b/>
              </w:rPr>
              <w:t>1吨级（RX-1）</w:t>
            </w:r>
          </w:p>
        </w:tc>
        <w:tc>
          <w:tcPr>
            <w:tcW w:w="0" w:type="auto"/>
            <w:vAlign w:val="center"/>
          </w:tcPr>
          <w:p w14:paraId="67020B79">
            <w:pPr>
              <w:jc w:val="center"/>
              <w:rPr>
                <w:b/>
              </w:rPr>
            </w:pPr>
            <w:r>
              <w:rPr>
                <w:b/>
              </w:rPr>
              <w:t>5吨级（RX-5）</w:t>
            </w:r>
          </w:p>
        </w:tc>
        <w:tc>
          <w:tcPr>
            <w:tcW w:w="0" w:type="auto"/>
            <w:vAlign w:val="center"/>
          </w:tcPr>
          <w:p w14:paraId="0856FE64">
            <w:pPr>
              <w:jc w:val="center"/>
              <w:rPr>
                <w:b/>
              </w:rPr>
            </w:pPr>
            <w:r>
              <w:rPr>
                <w:b/>
              </w:rPr>
              <w:t>10吨级（RXW-10H）</w:t>
            </w:r>
          </w:p>
        </w:tc>
        <w:tc>
          <w:tcPr>
            <w:tcW w:w="0" w:type="auto"/>
            <w:vAlign w:val="center"/>
          </w:tcPr>
          <w:p w14:paraId="0E832757">
            <w:pPr>
              <w:jc w:val="center"/>
              <w:rPr>
                <w:b/>
              </w:rPr>
            </w:pPr>
            <w:r>
              <w:rPr>
                <w:b/>
              </w:rPr>
              <w:t>20吨级（WR-20）</w:t>
            </w:r>
          </w:p>
        </w:tc>
      </w:tr>
      <w:tr w14:paraId="5B07F1BE">
        <w:tblPrEx>
          <w:tblCellMar>
            <w:top w:w="0" w:type="dxa"/>
            <w:left w:w="0" w:type="dxa"/>
            <w:bottom w:w="0" w:type="dxa"/>
            <w:right w:w="0" w:type="dxa"/>
          </w:tblCellMar>
        </w:tblPrEx>
        <w:tc>
          <w:tcPr>
            <w:tcW w:w="0" w:type="auto"/>
            <w:vAlign w:val="center"/>
          </w:tcPr>
          <w:p w14:paraId="19FE4274">
            <w:r>
              <w:t>主轴额定承载</w:t>
            </w:r>
          </w:p>
        </w:tc>
        <w:tc>
          <w:tcPr>
            <w:tcW w:w="0" w:type="auto"/>
            <w:vAlign w:val="center"/>
          </w:tcPr>
          <w:p w14:paraId="293E4DD1">
            <w:r>
              <w:t>1000kg</w:t>
            </w:r>
          </w:p>
        </w:tc>
        <w:tc>
          <w:tcPr>
            <w:tcW w:w="0" w:type="auto"/>
            <w:vAlign w:val="center"/>
          </w:tcPr>
          <w:p w14:paraId="62874684">
            <w:r>
              <w:t>5000kg</w:t>
            </w:r>
          </w:p>
        </w:tc>
        <w:tc>
          <w:tcPr>
            <w:tcW w:w="0" w:type="auto"/>
            <w:vAlign w:val="center"/>
          </w:tcPr>
          <w:p w14:paraId="19BE4B87">
            <w:r>
              <w:t>10000kg</w:t>
            </w:r>
          </w:p>
        </w:tc>
        <w:tc>
          <w:tcPr>
            <w:tcW w:w="0" w:type="auto"/>
            <w:vAlign w:val="center"/>
          </w:tcPr>
          <w:p w14:paraId="41DE592B">
            <w:r>
              <w:t>20000kg</w:t>
            </w:r>
          </w:p>
        </w:tc>
      </w:tr>
      <w:tr w14:paraId="7E9A49FA">
        <w:tblPrEx>
          <w:tblCellMar>
            <w:top w:w="0" w:type="dxa"/>
            <w:left w:w="0" w:type="dxa"/>
            <w:bottom w:w="0" w:type="dxa"/>
            <w:right w:w="0" w:type="dxa"/>
          </w:tblCellMar>
        </w:tblPrEx>
        <w:tc>
          <w:tcPr>
            <w:tcW w:w="0" w:type="auto"/>
            <w:vAlign w:val="center"/>
          </w:tcPr>
          <w:p w14:paraId="61B43728">
            <w:r>
              <w:t>主轴中心高</w:t>
            </w:r>
          </w:p>
        </w:tc>
        <w:tc>
          <w:tcPr>
            <w:tcW w:w="0" w:type="auto"/>
            <w:vAlign w:val="center"/>
          </w:tcPr>
          <w:p w14:paraId="1A633AB4">
            <w:r>
              <w:t>900mm</w:t>
            </w:r>
          </w:p>
        </w:tc>
        <w:tc>
          <w:tcPr>
            <w:tcW w:w="0" w:type="auto"/>
            <w:vAlign w:val="center"/>
          </w:tcPr>
          <w:p w14:paraId="5C4ED560">
            <w:r>
              <w:t>1200mm</w:t>
            </w:r>
          </w:p>
        </w:tc>
        <w:tc>
          <w:tcPr>
            <w:tcW w:w="0" w:type="auto"/>
            <w:vAlign w:val="center"/>
          </w:tcPr>
          <w:p w14:paraId="2B376C46">
            <w:r>
              <w:t>1500mm</w:t>
            </w:r>
          </w:p>
        </w:tc>
        <w:tc>
          <w:tcPr>
            <w:tcW w:w="0" w:type="auto"/>
            <w:vAlign w:val="center"/>
          </w:tcPr>
          <w:p w14:paraId="424BAB18">
            <w:r>
              <w:t>1800mm</w:t>
            </w:r>
          </w:p>
        </w:tc>
      </w:tr>
      <w:tr w14:paraId="08AE77FF">
        <w:tc>
          <w:tcPr>
            <w:tcW w:w="0" w:type="auto"/>
            <w:vAlign w:val="center"/>
          </w:tcPr>
          <w:p w14:paraId="489FF962">
            <w:r>
              <w:t>主轴转速范围</w:t>
            </w:r>
          </w:p>
        </w:tc>
        <w:tc>
          <w:tcPr>
            <w:tcW w:w="0" w:type="auto"/>
            <w:vAlign w:val="center"/>
          </w:tcPr>
          <w:p w14:paraId="3C14A8DF">
            <w:r>
              <w:t>0-100r/min</w:t>
            </w:r>
          </w:p>
        </w:tc>
        <w:tc>
          <w:tcPr>
            <w:tcW w:w="0" w:type="auto"/>
            <w:vAlign w:val="center"/>
          </w:tcPr>
          <w:p w14:paraId="61586734">
            <w:r>
              <w:t>0-30r/min</w:t>
            </w:r>
          </w:p>
        </w:tc>
        <w:tc>
          <w:tcPr>
            <w:tcW w:w="0" w:type="auto"/>
            <w:vAlign w:val="center"/>
          </w:tcPr>
          <w:p w14:paraId="6576BA72">
            <w:r>
              <w:t>0-15r/min</w:t>
            </w:r>
          </w:p>
        </w:tc>
        <w:tc>
          <w:tcPr>
            <w:tcW w:w="0" w:type="auto"/>
            <w:vAlign w:val="center"/>
          </w:tcPr>
          <w:p w14:paraId="011D8517">
            <w:r>
              <w:t>0-10r/min</w:t>
            </w:r>
          </w:p>
        </w:tc>
      </w:tr>
      <w:tr w14:paraId="58AC0CA1">
        <w:tblPrEx>
          <w:tblCellMar>
            <w:top w:w="0" w:type="dxa"/>
            <w:left w:w="0" w:type="dxa"/>
            <w:bottom w:w="0" w:type="dxa"/>
            <w:right w:w="0" w:type="dxa"/>
          </w:tblCellMar>
        </w:tblPrEx>
        <w:tc>
          <w:tcPr>
            <w:tcW w:w="0" w:type="auto"/>
            <w:vAlign w:val="center"/>
          </w:tcPr>
          <w:p w14:paraId="051710F9">
            <w:r>
              <w:t>主轴输出扭矩</w:t>
            </w:r>
          </w:p>
        </w:tc>
        <w:tc>
          <w:tcPr>
            <w:tcW w:w="0" w:type="auto"/>
            <w:vAlign w:val="center"/>
          </w:tcPr>
          <w:p w14:paraId="17ED6A89">
            <w:r>
              <w:t>640Nm</w:t>
            </w:r>
          </w:p>
        </w:tc>
        <w:tc>
          <w:tcPr>
            <w:tcW w:w="0" w:type="auto"/>
            <w:vAlign w:val="center"/>
          </w:tcPr>
          <w:p w14:paraId="7AB1E6B2">
            <w:r>
              <w:t>6400Nm</w:t>
            </w:r>
          </w:p>
        </w:tc>
        <w:tc>
          <w:tcPr>
            <w:tcW w:w="0" w:type="auto"/>
            <w:vAlign w:val="center"/>
          </w:tcPr>
          <w:p w14:paraId="1702634E">
            <w:r>
              <w:t>23400Nm</w:t>
            </w:r>
          </w:p>
        </w:tc>
        <w:tc>
          <w:tcPr>
            <w:tcW w:w="0" w:type="auto"/>
            <w:vAlign w:val="center"/>
          </w:tcPr>
          <w:p w14:paraId="271215D6">
            <w:r>
              <w:t>25000Nm</w:t>
            </w:r>
          </w:p>
        </w:tc>
      </w:tr>
      <w:tr w14:paraId="3C35ED0C">
        <w:tblPrEx>
          <w:tblCellMar>
            <w:top w:w="0" w:type="dxa"/>
            <w:left w:w="0" w:type="dxa"/>
            <w:bottom w:w="0" w:type="dxa"/>
            <w:right w:w="0" w:type="dxa"/>
          </w:tblCellMar>
        </w:tblPrEx>
        <w:tc>
          <w:tcPr>
            <w:tcW w:w="0" w:type="auto"/>
            <w:vAlign w:val="center"/>
          </w:tcPr>
          <w:p w14:paraId="4E47690F">
            <w:r>
              <w:t>径向圆跳动</w:t>
            </w:r>
          </w:p>
        </w:tc>
        <w:tc>
          <w:tcPr>
            <w:tcW w:w="0" w:type="auto"/>
            <w:vAlign w:val="center"/>
          </w:tcPr>
          <w:p w14:paraId="00055F48">
            <w:r>
              <w:t>≤0.15mm</w:t>
            </w:r>
          </w:p>
        </w:tc>
        <w:tc>
          <w:tcPr>
            <w:tcW w:w="0" w:type="auto"/>
            <w:vAlign w:val="center"/>
          </w:tcPr>
          <w:p w14:paraId="54B83D97">
            <w:r>
              <w:t>≤0.15mm</w:t>
            </w:r>
          </w:p>
        </w:tc>
        <w:tc>
          <w:tcPr>
            <w:tcW w:w="0" w:type="auto"/>
            <w:vAlign w:val="center"/>
          </w:tcPr>
          <w:p w14:paraId="1B5E442F">
            <w:r>
              <w:t>≤0.15mm</w:t>
            </w:r>
          </w:p>
        </w:tc>
        <w:tc>
          <w:tcPr>
            <w:tcW w:w="0" w:type="auto"/>
            <w:vAlign w:val="center"/>
          </w:tcPr>
          <w:p w14:paraId="24B00319">
            <w:r>
              <w:t>≤0.20mm</w:t>
            </w:r>
          </w:p>
        </w:tc>
      </w:tr>
      <w:tr w14:paraId="182D8FBC">
        <w:tblPrEx>
          <w:tblCellMar>
            <w:top w:w="0" w:type="dxa"/>
            <w:left w:w="0" w:type="dxa"/>
            <w:bottom w:w="0" w:type="dxa"/>
            <w:right w:w="0" w:type="dxa"/>
          </w:tblCellMar>
        </w:tblPrEx>
        <w:tc>
          <w:tcPr>
            <w:tcW w:w="0" w:type="auto"/>
            <w:vAlign w:val="center"/>
          </w:tcPr>
          <w:p w14:paraId="405FD08F">
            <w:r>
              <w:t>轴向窜动</w:t>
            </w:r>
          </w:p>
        </w:tc>
        <w:tc>
          <w:tcPr>
            <w:tcW w:w="0" w:type="auto"/>
            <w:vAlign w:val="center"/>
          </w:tcPr>
          <w:p w14:paraId="590DEC2A">
            <w:r>
              <w:t>≤0.10mm</w:t>
            </w:r>
          </w:p>
        </w:tc>
        <w:tc>
          <w:tcPr>
            <w:tcW w:w="0" w:type="auto"/>
            <w:vAlign w:val="center"/>
          </w:tcPr>
          <w:p w14:paraId="747D0E1B">
            <w:r>
              <w:t>≤0.10mm</w:t>
            </w:r>
          </w:p>
        </w:tc>
        <w:tc>
          <w:tcPr>
            <w:tcW w:w="0" w:type="auto"/>
            <w:vAlign w:val="center"/>
          </w:tcPr>
          <w:p w14:paraId="0A5E53E2">
            <w:r>
              <w:t>≤0.10mm</w:t>
            </w:r>
          </w:p>
        </w:tc>
        <w:tc>
          <w:tcPr>
            <w:tcW w:w="0" w:type="auto"/>
            <w:vAlign w:val="center"/>
          </w:tcPr>
          <w:p w14:paraId="379DFDC8">
            <w:r>
              <w:t>≤0.15mm</w:t>
            </w:r>
          </w:p>
        </w:tc>
      </w:tr>
      <w:tr w14:paraId="652DD642">
        <w:tc>
          <w:tcPr>
            <w:tcW w:w="0" w:type="auto"/>
            <w:vAlign w:val="center"/>
          </w:tcPr>
          <w:p w14:paraId="34016765">
            <w:r>
              <w:t>花盘直径</w:t>
            </w:r>
          </w:p>
        </w:tc>
        <w:tc>
          <w:tcPr>
            <w:tcW w:w="0" w:type="auto"/>
            <w:vAlign w:val="center"/>
          </w:tcPr>
          <w:p w14:paraId="0A337ACC">
            <w:r>
              <w:t>500mm</w:t>
            </w:r>
          </w:p>
        </w:tc>
        <w:tc>
          <w:tcPr>
            <w:tcW w:w="0" w:type="auto"/>
            <w:vAlign w:val="center"/>
          </w:tcPr>
          <w:p w14:paraId="484E34DC">
            <w:r>
              <w:t>800mm</w:t>
            </w:r>
          </w:p>
        </w:tc>
        <w:tc>
          <w:tcPr>
            <w:tcW w:w="0" w:type="auto"/>
            <w:vAlign w:val="center"/>
          </w:tcPr>
          <w:p w14:paraId="7B65E2CD">
            <w:r>
              <w:t>1200mm</w:t>
            </w:r>
          </w:p>
        </w:tc>
        <w:tc>
          <w:tcPr>
            <w:tcW w:w="0" w:type="auto"/>
            <w:vAlign w:val="center"/>
          </w:tcPr>
          <w:p w14:paraId="72C4F557">
            <w:r>
              <w:t>2000mm</w:t>
            </w:r>
          </w:p>
        </w:tc>
      </w:tr>
      <w:tr w14:paraId="6DB26248">
        <w:tblPrEx>
          <w:tblCellMar>
            <w:top w:w="0" w:type="dxa"/>
            <w:left w:w="0" w:type="dxa"/>
            <w:bottom w:w="0" w:type="dxa"/>
            <w:right w:w="0" w:type="dxa"/>
          </w:tblCellMar>
        </w:tblPrEx>
        <w:tc>
          <w:tcPr>
            <w:tcW w:w="0" w:type="auto"/>
            <w:vAlign w:val="center"/>
          </w:tcPr>
          <w:p w14:paraId="5CE0C46F">
            <w:r>
              <w:t>电机功率</w:t>
            </w:r>
          </w:p>
        </w:tc>
        <w:tc>
          <w:tcPr>
            <w:tcW w:w="0" w:type="auto"/>
            <w:vAlign w:val="center"/>
          </w:tcPr>
          <w:p w14:paraId="433263ED">
            <w:r>
              <w:t>4kW</w:t>
            </w:r>
          </w:p>
        </w:tc>
        <w:tc>
          <w:tcPr>
            <w:tcW w:w="0" w:type="auto"/>
            <w:vAlign w:val="center"/>
          </w:tcPr>
          <w:p w14:paraId="110E9F7B">
            <w:r>
              <w:t>7.5kW</w:t>
            </w:r>
          </w:p>
        </w:tc>
        <w:tc>
          <w:tcPr>
            <w:tcW w:w="0" w:type="auto"/>
            <w:vAlign w:val="center"/>
          </w:tcPr>
          <w:p w14:paraId="7FA1AF7C">
            <w:r>
              <w:t>11kW</w:t>
            </w:r>
          </w:p>
        </w:tc>
        <w:tc>
          <w:tcPr>
            <w:tcW w:w="0" w:type="auto"/>
            <w:vAlign w:val="center"/>
          </w:tcPr>
          <w:p w14:paraId="48354B01">
            <w:r>
              <w:t>18.5kW</w:t>
            </w:r>
          </w:p>
        </w:tc>
      </w:tr>
      <w:tr w14:paraId="47B03A53">
        <w:tblPrEx>
          <w:tblCellMar>
            <w:top w:w="0" w:type="dxa"/>
            <w:left w:w="0" w:type="dxa"/>
            <w:bottom w:w="0" w:type="dxa"/>
            <w:right w:w="0" w:type="dxa"/>
          </w:tblCellMar>
        </w:tblPrEx>
        <w:tc>
          <w:tcPr>
            <w:tcW w:w="0" w:type="auto"/>
            <w:vAlign w:val="center"/>
          </w:tcPr>
          <w:p w14:paraId="6BD6D510">
            <w:r>
              <w:t>减速机类型</w:t>
            </w:r>
          </w:p>
        </w:tc>
        <w:tc>
          <w:tcPr>
            <w:tcW w:w="0" w:type="auto"/>
            <w:vAlign w:val="center"/>
          </w:tcPr>
          <w:p w14:paraId="7DAA58F6">
            <w:r>
              <w:t>齿轮减速</w:t>
            </w:r>
          </w:p>
        </w:tc>
        <w:tc>
          <w:tcPr>
            <w:tcW w:w="0" w:type="auto"/>
            <w:vAlign w:val="center"/>
          </w:tcPr>
          <w:p w14:paraId="5A1EF4FA">
            <w:r>
              <w:t>齿轮+蜗杆-蜗轮</w:t>
            </w:r>
          </w:p>
        </w:tc>
        <w:tc>
          <w:tcPr>
            <w:tcW w:w="0" w:type="auto"/>
            <w:vAlign w:val="center"/>
          </w:tcPr>
          <w:p w14:paraId="3545D255">
            <w:r>
              <w:t>蜗杆-蜗轮</w:t>
            </w:r>
          </w:p>
        </w:tc>
        <w:tc>
          <w:tcPr>
            <w:tcW w:w="0" w:type="auto"/>
            <w:vAlign w:val="center"/>
          </w:tcPr>
          <w:p w14:paraId="6C66E3B3">
            <w:r>
              <w:t>蜗杆-蜗轮</w:t>
            </w:r>
          </w:p>
        </w:tc>
      </w:tr>
      <w:tr w14:paraId="56B80285">
        <w:tblPrEx>
          <w:tblCellMar>
            <w:top w:w="0" w:type="dxa"/>
            <w:left w:w="0" w:type="dxa"/>
            <w:bottom w:w="0" w:type="dxa"/>
            <w:right w:w="0" w:type="dxa"/>
          </w:tblCellMar>
        </w:tblPrEx>
        <w:tc>
          <w:tcPr>
            <w:tcW w:w="0" w:type="auto"/>
            <w:vAlign w:val="center"/>
          </w:tcPr>
          <w:p w14:paraId="6EAF68E1">
            <w:r>
              <w:t>轴承型号（前）</w:t>
            </w:r>
          </w:p>
        </w:tc>
        <w:tc>
          <w:tcPr>
            <w:tcW w:w="0" w:type="auto"/>
            <w:vAlign w:val="center"/>
          </w:tcPr>
          <w:p w14:paraId="74E41C59">
            <w:r>
              <w:t>NN3020K</w:t>
            </w:r>
          </w:p>
        </w:tc>
        <w:tc>
          <w:tcPr>
            <w:tcW w:w="0" w:type="auto"/>
            <w:vAlign w:val="center"/>
          </w:tcPr>
          <w:p w14:paraId="1AC69B3E">
            <w:r>
              <w:t>NN3028K</w:t>
            </w:r>
          </w:p>
        </w:tc>
        <w:tc>
          <w:tcPr>
            <w:tcW w:w="0" w:type="auto"/>
            <w:vAlign w:val="center"/>
          </w:tcPr>
          <w:p w14:paraId="3C86DFD1">
            <w:r>
              <w:t>NN3032K</w:t>
            </w:r>
          </w:p>
        </w:tc>
        <w:tc>
          <w:tcPr>
            <w:tcW w:w="0" w:type="auto"/>
            <w:vAlign w:val="center"/>
          </w:tcPr>
          <w:p w14:paraId="3E254DD1">
            <w:r>
              <w:t>NN3040K</w:t>
            </w:r>
          </w:p>
        </w:tc>
      </w:tr>
      <w:tr w14:paraId="614E1147">
        <w:tc>
          <w:tcPr>
            <w:tcW w:w="0" w:type="auto"/>
            <w:vAlign w:val="center"/>
          </w:tcPr>
          <w:p w14:paraId="1D638D41">
            <w:r>
              <w:t>轴承润滑周期</w:t>
            </w:r>
          </w:p>
        </w:tc>
        <w:tc>
          <w:tcPr>
            <w:tcW w:w="0" w:type="auto"/>
            <w:vAlign w:val="center"/>
          </w:tcPr>
          <w:p w14:paraId="04E096A5">
            <w:r>
              <w:t>6个月</w:t>
            </w:r>
          </w:p>
        </w:tc>
        <w:tc>
          <w:tcPr>
            <w:tcW w:w="0" w:type="auto"/>
            <w:vAlign w:val="center"/>
          </w:tcPr>
          <w:p w14:paraId="7622652A">
            <w:r>
              <w:t>6个月</w:t>
            </w:r>
          </w:p>
        </w:tc>
        <w:tc>
          <w:tcPr>
            <w:tcW w:w="0" w:type="auto"/>
            <w:vAlign w:val="center"/>
          </w:tcPr>
          <w:p w14:paraId="705B45B3">
            <w:r>
              <w:t>5个月</w:t>
            </w:r>
          </w:p>
        </w:tc>
        <w:tc>
          <w:tcPr>
            <w:tcW w:w="0" w:type="auto"/>
            <w:vAlign w:val="center"/>
          </w:tcPr>
          <w:p w14:paraId="2DD91312">
            <w:r>
              <w:t>4个月</w:t>
            </w:r>
          </w:p>
        </w:tc>
      </w:tr>
      <w:tr w14:paraId="2BF1106B">
        <w:tblPrEx>
          <w:tblCellMar>
            <w:top w:w="0" w:type="dxa"/>
            <w:left w:w="0" w:type="dxa"/>
            <w:bottom w:w="0" w:type="dxa"/>
            <w:right w:w="0" w:type="dxa"/>
          </w:tblCellMar>
        </w:tblPrEx>
        <w:tc>
          <w:tcPr>
            <w:tcW w:w="0" w:type="auto"/>
            <w:vAlign w:val="center"/>
          </w:tcPr>
          <w:p w14:paraId="357B1FDA">
            <w:r>
              <w:t>适用线径范围</w:t>
            </w:r>
          </w:p>
        </w:tc>
        <w:tc>
          <w:tcPr>
            <w:tcW w:w="0" w:type="auto"/>
            <w:vAlign w:val="center"/>
          </w:tcPr>
          <w:p w14:paraId="00570322">
            <w:r>
              <w:t>0.5-5mm</w:t>
            </w:r>
          </w:p>
        </w:tc>
        <w:tc>
          <w:tcPr>
            <w:tcW w:w="0" w:type="auto"/>
            <w:vAlign w:val="center"/>
          </w:tcPr>
          <w:p w14:paraId="3451446E">
            <w:r>
              <w:t>1-10mm</w:t>
            </w:r>
          </w:p>
        </w:tc>
        <w:tc>
          <w:tcPr>
            <w:tcW w:w="0" w:type="auto"/>
            <w:vAlign w:val="center"/>
          </w:tcPr>
          <w:p w14:paraId="5AD2F60E">
            <w:r>
              <w:t>2-15mm</w:t>
            </w:r>
          </w:p>
        </w:tc>
        <w:tc>
          <w:tcPr>
            <w:tcW w:w="0" w:type="auto"/>
            <w:vAlign w:val="center"/>
          </w:tcPr>
          <w:p w14:paraId="5D58BEB9">
            <w:r>
              <w:t>5-25mm</w:t>
            </w:r>
          </w:p>
        </w:tc>
      </w:tr>
    </w:tbl>
    <w:p w14:paraId="79F7D92F">
      <w:pPr>
        <w:pStyle w:val="4"/>
      </w:pPr>
      <w:r>
        <w:t>6.2 常用术语解释</w:t>
      </w:r>
    </w:p>
    <w:tbl>
      <w:tblPr>
        <w:tblStyle w:val="50"/>
        <w:tblW w:w="0" w:type="auto"/>
        <w:tblInd w:w="0" w:type="dxa"/>
        <w:tblLayout w:type="fixed"/>
        <w:tblCellMar>
          <w:top w:w="0" w:type="dxa"/>
          <w:left w:w="0" w:type="dxa"/>
          <w:bottom w:w="0" w:type="dxa"/>
          <w:right w:w="0" w:type="dxa"/>
        </w:tblCellMar>
      </w:tblPr>
      <w:tblGrid>
        <w:gridCol w:w="4320"/>
        <w:gridCol w:w="4320"/>
      </w:tblGrid>
      <w:tr w14:paraId="043B5B44">
        <w:tblPrEx>
          <w:tblCellMar>
            <w:top w:w="0" w:type="dxa"/>
            <w:left w:w="0" w:type="dxa"/>
            <w:bottom w:w="0" w:type="dxa"/>
            <w:right w:w="0" w:type="dxa"/>
          </w:tblCellMar>
        </w:tblPrEx>
        <w:tc>
          <w:tcPr>
            <w:tcW w:w="0" w:type="auto"/>
            <w:vAlign w:val="center"/>
          </w:tcPr>
          <w:p w14:paraId="7A134301">
            <w:pPr>
              <w:jc w:val="center"/>
              <w:rPr>
                <w:b/>
              </w:rPr>
            </w:pPr>
            <w:r>
              <w:rPr>
                <w:b/>
              </w:rPr>
              <w:t>术语</w:t>
            </w:r>
          </w:p>
        </w:tc>
        <w:tc>
          <w:tcPr>
            <w:tcW w:w="0" w:type="auto"/>
            <w:vAlign w:val="center"/>
          </w:tcPr>
          <w:p w14:paraId="0D016745">
            <w:pPr>
              <w:jc w:val="center"/>
              <w:rPr>
                <w:b/>
              </w:rPr>
            </w:pPr>
            <w:r>
              <w:rPr>
                <w:b/>
              </w:rPr>
              <w:t>解释</w:t>
            </w:r>
          </w:p>
        </w:tc>
      </w:tr>
      <w:tr w14:paraId="1E9990C8">
        <w:tblPrEx>
          <w:tblCellMar>
            <w:top w:w="0" w:type="dxa"/>
            <w:left w:w="0" w:type="dxa"/>
            <w:bottom w:w="0" w:type="dxa"/>
            <w:right w:w="0" w:type="dxa"/>
          </w:tblCellMar>
        </w:tblPrEx>
        <w:tc>
          <w:tcPr>
            <w:tcW w:w="0" w:type="auto"/>
            <w:vAlign w:val="center"/>
          </w:tcPr>
          <w:p w14:paraId="44DAC445">
            <w:r>
              <w:t>径向圆跳动</w:t>
            </w:r>
          </w:p>
        </w:tc>
        <w:tc>
          <w:tcPr>
            <w:tcW w:w="0" w:type="auto"/>
            <w:vAlign w:val="center"/>
          </w:tcPr>
          <w:p w14:paraId="5DE6B8A2">
            <w:r>
              <w:t>主轴旋转时，固定参考点与主轴轴线的径向距离变化量，反映主轴定心精度。</w:t>
            </w:r>
          </w:p>
        </w:tc>
      </w:tr>
      <w:tr w14:paraId="37E6FC2E">
        <w:tblPrEx>
          <w:tblCellMar>
            <w:top w:w="0" w:type="dxa"/>
            <w:left w:w="0" w:type="dxa"/>
            <w:bottom w:w="0" w:type="dxa"/>
            <w:right w:w="0" w:type="dxa"/>
          </w:tblCellMar>
        </w:tblPrEx>
        <w:tc>
          <w:tcPr>
            <w:tcW w:w="0" w:type="auto"/>
            <w:vAlign w:val="center"/>
          </w:tcPr>
          <w:p w14:paraId="23D7AA30">
            <w:r>
              <w:t>轴向窜动</w:t>
            </w:r>
          </w:p>
        </w:tc>
        <w:tc>
          <w:tcPr>
            <w:tcW w:w="0" w:type="auto"/>
            <w:vAlign w:val="center"/>
          </w:tcPr>
          <w:p w14:paraId="5D9C0B05">
            <w:r>
              <w:t>主轴沿轴向的往复移动量，影响绕线模轴向定位稳定性。</w:t>
            </w:r>
          </w:p>
        </w:tc>
      </w:tr>
      <w:tr w14:paraId="5C4A75AE">
        <w:tc>
          <w:tcPr>
            <w:tcW w:w="0" w:type="auto"/>
            <w:vAlign w:val="center"/>
          </w:tcPr>
          <w:p w14:paraId="03258A09">
            <w:r>
              <w:t>电子齿轮比</w:t>
            </w:r>
          </w:p>
        </w:tc>
        <w:tc>
          <w:tcPr>
            <w:tcW w:w="0" w:type="auto"/>
            <w:vAlign w:val="center"/>
          </w:tcPr>
          <w:p w14:paraId="45A9F769">
            <w:r>
              <w:t>主轴旋转角度与排线轴旋转角度的比值，用于实现排线同步控制。</w:t>
            </w:r>
          </w:p>
        </w:tc>
      </w:tr>
      <w:tr w14:paraId="54163E71">
        <w:tblPrEx>
          <w:tblCellMar>
            <w:top w:w="0" w:type="dxa"/>
            <w:left w:w="0" w:type="dxa"/>
            <w:bottom w:w="0" w:type="dxa"/>
            <w:right w:w="0" w:type="dxa"/>
          </w:tblCellMar>
        </w:tblPrEx>
        <w:tc>
          <w:tcPr>
            <w:tcW w:w="0" w:type="auto"/>
            <w:vAlign w:val="center"/>
          </w:tcPr>
          <w:p w14:paraId="4BE26F8A">
            <w:r>
              <w:t>PID调节</w:t>
            </w:r>
          </w:p>
        </w:tc>
        <w:tc>
          <w:tcPr>
            <w:tcW w:w="0" w:type="auto"/>
            <w:vAlign w:val="center"/>
          </w:tcPr>
          <w:p w14:paraId="121E4573">
            <w:r>
              <w:t>通过比例、积分、微分算法，使被控量（如转速、张力）快速稳定至设定值。</w:t>
            </w:r>
          </w:p>
        </w:tc>
      </w:tr>
      <w:tr w14:paraId="2B38B116">
        <w:tblPrEx>
          <w:tblCellMar>
            <w:top w:w="0" w:type="dxa"/>
            <w:left w:w="0" w:type="dxa"/>
            <w:bottom w:w="0" w:type="dxa"/>
            <w:right w:w="0" w:type="dxa"/>
          </w:tblCellMar>
        </w:tblPrEx>
        <w:tc>
          <w:tcPr>
            <w:tcW w:w="0" w:type="auto"/>
            <w:vAlign w:val="center"/>
          </w:tcPr>
          <w:p w14:paraId="07B2EFB2">
            <w:r>
              <w:t>制动扭矩</w:t>
            </w:r>
          </w:p>
        </w:tc>
        <w:tc>
          <w:tcPr>
            <w:tcW w:w="0" w:type="auto"/>
            <w:vAlign w:val="center"/>
          </w:tcPr>
          <w:p w14:paraId="1947253E">
            <w:r>
              <w:t>电磁制动器施加的摩擦力矩，需≥主轴额定输出扭矩的1.5倍，保证停转安全。</w:t>
            </w:r>
          </w:p>
        </w:tc>
      </w:tr>
      <w:tr w14:paraId="139E6D0B">
        <w:tblPrEx>
          <w:tblCellMar>
            <w:top w:w="0" w:type="dxa"/>
            <w:left w:w="0" w:type="dxa"/>
            <w:bottom w:w="0" w:type="dxa"/>
            <w:right w:w="0" w:type="dxa"/>
          </w:tblCellMar>
        </w:tblPrEx>
        <w:tc>
          <w:tcPr>
            <w:tcW w:w="0" w:type="auto"/>
            <w:vAlign w:val="center"/>
          </w:tcPr>
          <w:p w14:paraId="5B51D126">
            <w:r>
              <w:t>同步带</w:t>
            </w:r>
          </w:p>
        </w:tc>
        <w:tc>
          <w:tcPr>
            <w:tcW w:w="0" w:type="auto"/>
            <w:vAlign w:val="center"/>
          </w:tcPr>
          <w:p w14:paraId="5B347461">
            <w:r>
              <w:t>表面有等距齿的传动带，通过齿啮合传递动力，传动比准确，无打滑。</w:t>
            </w:r>
          </w:p>
        </w:tc>
      </w:tr>
      <w:tr w14:paraId="177BC5D0">
        <w:tc>
          <w:tcPr>
            <w:tcW w:w="0" w:type="auto"/>
            <w:vAlign w:val="center"/>
          </w:tcPr>
          <w:p w14:paraId="49D098A9">
            <w:r>
              <w:t>莫氏锥度</w:t>
            </w:r>
          </w:p>
        </w:tc>
        <w:tc>
          <w:tcPr>
            <w:tcW w:w="0" w:type="auto"/>
            <w:vAlign w:val="center"/>
          </w:tcPr>
          <w:p w14:paraId="15A381B8">
            <w:r>
              <w:t>国际标准锥度系列，用于顶尖与绕线模中心孔配合，锥度1:20，自锁性好。</w:t>
            </w:r>
          </w:p>
        </w:tc>
      </w:tr>
      <w:tr w14:paraId="2C27498A">
        <w:tblPrEx>
          <w:tblCellMar>
            <w:top w:w="0" w:type="dxa"/>
            <w:left w:w="0" w:type="dxa"/>
            <w:bottom w:w="0" w:type="dxa"/>
            <w:right w:w="0" w:type="dxa"/>
          </w:tblCellMar>
        </w:tblPrEx>
        <w:tc>
          <w:tcPr>
            <w:tcW w:w="0" w:type="auto"/>
            <w:vAlign w:val="center"/>
          </w:tcPr>
          <w:p w14:paraId="0328C0EC">
            <w:r>
              <w:t>预紧力</w:t>
            </w:r>
          </w:p>
        </w:tc>
        <w:tc>
          <w:tcPr>
            <w:tcW w:w="0" w:type="auto"/>
            <w:vAlign w:val="center"/>
          </w:tcPr>
          <w:p w14:paraId="25E82C34">
            <w:r>
              <w:t>轴承安装时施加的轴向力，用于消除间隙，提高刚性，通常控制在45-50N·m。</w:t>
            </w:r>
          </w:p>
        </w:tc>
      </w:tr>
      <w:tr w14:paraId="0D867C3A">
        <w:tblPrEx>
          <w:tblCellMar>
            <w:top w:w="0" w:type="dxa"/>
            <w:left w:w="0" w:type="dxa"/>
            <w:bottom w:w="0" w:type="dxa"/>
            <w:right w:w="0" w:type="dxa"/>
          </w:tblCellMar>
        </w:tblPrEx>
        <w:tc>
          <w:tcPr>
            <w:tcW w:w="0" w:type="auto"/>
            <w:vAlign w:val="center"/>
          </w:tcPr>
          <w:p w14:paraId="5987A3EB">
            <w:r>
              <w:t>张力波动</w:t>
            </w:r>
          </w:p>
        </w:tc>
        <w:tc>
          <w:tcPr>
            <w:tcW w:w="0" w:type="auto"/>
            <w:vAlign w:val="center"/>
          </w:tcPr>
          <w:p w14:paraId="52F40B67">
            <w:r>
              <w:t>绕制过程中线材张力的变化量，应控制在设定值的±5%以内，保证线圈紧实度。</w:t>
            </w:r>
          </w:p>
        </w:tc>
      </w:tr>
      <w:tr w14:paraId="31B3F1AD">
        <w:tblPrEx>
          <w:tblCellMar>
            <w:top w:w="0" w:type="dxa"/>
            <w:left w:w="0" w:type="dxa"/>
            <w:bottom w:w="0" w:type="dxa"/>
            <w:right w:w="0" w:type="dxa"/>
          </w:tblCellMar>
        </w:tblPrEx>
        <w:tc>
          <w:tcPr>
            <w:tcW w:w="0" w:type="auto"/>
            <w:vAlign w:val="center"/>
          </w:tcPr>
          <w:p w14:paraId="6C4F762C">
            <w:r>
              <w:t>MTBF</w:t>
            </w:r>
          </w:p>
        </w:tc>
        <w:tc>
          <w:tcPr>
            <w:tcW w:w="0" w:type="auto"/>
            <w:vAlign w:val="center"/>
          </w:tcPr>
          <w:p w14:paraId="546A55C3">
            <w:r>
              <w:t>平均无故障运行时间，反映设备可靠性，主轴系统目标值≥8000小时。</w:t>
            </w:r>
          </w:p>
        </w:tc>
      </w:tr>
    </w:tbl>
    <w:p w14:paraId="5649FF18">
      <w:pPr>
        <w:pStyle w:val="4"/>
      </w:pPr>
      <w:r>
        <w:t>6.3 关键部件供应商信息</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7128D52B">
        <w:tblPrEx>
          <w:tblCellMar>
            <w:top w:w="0" w:type="dxa"/>
            <w:left w:w="0" w:type="dxa"/>
            <w:bottom w:w="0" w:type="dxa"/>
            <w:right w:w="0" w:type="dxa"/>
          </w:tblCellMar>
        </w:tblPrEx>
        <w:tc>
          <w:tcPr>
            <w:tcW w:w="0" w:type="auto"/>
            <w:vAlign w:val="center"/>
          </w:tcPr>
          <w:p w14:paraId="41905732">
            <w:pPr>
              <w:jc w:val="center"/>
              <w:rPr>
                <w:b/>
              </w:rPr>
            </w:pPr>
            <w:r>
              <w:rPr>
                <w:b/>
              </w:rPr>
              <w:t>部件名称</w:t>
            </w:r>
          </w:p>
        </w:tc>
        <w:tc>
          <w:tcPr>
            <w:tcW w:w="0" w:type="auto"/>
            <w:vAlign w:val="center"/>
          </w:tcPr>
          <w:p w14:paraId="453F5B30">
            <w:pPr>
              <w:jc w:val="center"/>
              <w:rPr>
                <w:b/>
              </w:rPr>
            </w:pPr>
            <w:r>
              <w:rPr>
                <w:b/>
              </w:rPr>
              <w:t>推荐品牌</w:t>
            </w:r>
          </w:p>
        </w:tc>
        <w:tc>
          <w:tcPr>
            <w:tcW w:w="0" w:type="auto"/>
            <w:vAlign w:val="center"/>
          </w:tcPr>
          <w:p w14:paraId="6ABC9F63">
            <w:pPr>
              <w:jc w:val="center"/>
              <w:rPr>
                <w:b/>
              </w:rPr>
            </w:pPr>
            <w:r>
              <w:rPr>
                <w:b/>
              </w:rPr>
              <w:t>型号示例</w:t>
            </w:r>
          </w:p>
        </w:tc>
        <w:tc>
          <w:tcPr>
            <w:tcW w:w="0" w:type="auto"/>
            <w:vAlign w:val="center"/>
          </w:tcPr>
          <w:p w14:paraId="1E277119">
            <w:pPr>
              <w:jc w:val="center"/>
              <w:rPr>
                <w:b/>
              </w:rPr>
            </w:pPr>
            <w:r>
              <w:rPr>
                <w:b/>
              </w:rPr>
              <w:t>联系方式</w:t>
            </w:r>
          </w:p>
        </w:tc>
      </w:tr>
      <w:tr w14:paraId="5BA43F6D">
        <w:tblPrEx>
          <w:tblCellMar>
            <w:top w:w="0" w:type="dxa"/>
            <w:left w:w="0" w:type="dxa"/>
            <w:bottom w:w="0" w:type="dxa"/>
            <w:right w:w="0" w:type="dxa"/>
          </w:tblCellMar>
        </w:tblPrEx>
        <w:tc>
          <w:tcPr>
            <w:tcW w:w="0" w:type="auto"/>
            <w:vAlign w:val="center"/>
          </w:tcPr>
          <w:p w14:paraId="6FC6BE9F">
            <w:r>
              <w:t>主轴轴承</w:t>
            </w:r>
          </w:p>
        </w:tc>
        <w:tc>
          <w:tcPr>
            <w:tcW w:w="0" w:type="auto"/>
            <w:vAlign w:val="center"/>
          </w:tcPr>
          <w:p w14:paraId="048F9FD7">
            <w:r>
              <w:t>哈尔滨轴承厂</w:t>
            </w:r>
          </w:p>
        </w:tc>
        <w:tc>
          <w:tcPr>
            <w:tcW w:w="0" w:type="auto"/>
            <w:vAlign w:val="center"/>
          </w:tcPr>
          <w:p w14:paraId="65E94FB9">
            <w:r>
              <w:t>NN3032K</w:t>
            </w:r>
          </w:p>
        </w:tc>
        <w:tc>
          <w:tcPr>
            <w:tcW w:w="0" w:type="auto"/>
            <w:vAlign w:val="center"/>
          </w:tcPr>
          <w:p w14:paraId="57564F17">
            <w:r>
              <w:t>400-600-6666</w:t>
            </w:r>
          </w:p>
        </w:tc>
      </w:tr>
      <w:tr w14:paraId="32F6A628">
        <w:tblPrEx>
          <w:tblCellMar>
            <w:top w:w="0" w:type="dxa"/>
            <w:left w:w="0" w:type="dxa"/>
            <w:bottom w:w="0" w:type="dxa"/>
            <w:right w:w="0" w:type="dxa"/>
          </w:tblCellMar>
        </w:tblPrEx>
        <w:tc>
          <w:tcPr>
            <w:tcW w:w="0" w:type="auto"/>
            <w:vAlign w:val="center"/>
          </w:tcPr>
          <w:p w14:paraId="626EDC3D">
            <w:r>
              <w:t>减速机</w:t>
            </w:r>
          </w:p>
        </w:tc>
        <w:tc>
          <w:tcPr>
            <w:tcW w:w="0" w:type="auto"/>
            <w:vAlign w:val="center"/>
          </w:tcPr>
          <w:p w14:paraId="119832E8">
            <w:r>
              <w:t>江苏国茂减速机</w:t>
            </w:r>
          </w:p>
        </w:tc>
        <w:tc>
          <w:tcPr>
            <w:tcW w:w="0" w:type="auto"/>
            <w:vAlign w:val="center"/>
          </w:tcPr>
          <w:p w14:paraId="110BE824">
            <w:r>
              <w:t>RV110-20-11kW</w:t>
            </w:r>
          </w:p>
        </w:tc>
        <w:tc>
          <w:tcPr>
            <w:tcW w:w="0" w:type="auto"/>
            <w:vAlign w:val="center"/>
          </w:tcPr>
          <w:p w14:paraId="500C28A4">
            <w:r>
              <w:t>0519-86398888</w:t>
            </w:r>
          </w:p>
        </w:tc>
      </w:tr>
      <w:tr w14:paraId="3B22717D">
        <w:tc>
          <w:tcPr>
            <w:tcW w:w="0" w:type="auto"/>
            <w:vAlign w:val="center"/>
          </w:tcPr>
          <w:p w14:paraId="5B075CB4">
            <w:r>
              <w:t>伺服电机</w:t>
            </w:r>
          </w:p>
        </w:tc>
        <w:tc>
          <w:tcPr>
            <w:tcW w:w="0" w:type="auto"/>
            <w:vAlign w:val="center"/>
          </w:tcPr>
          <w:p w14:paraId="232EB61C">
            <w:r>
              <w:t>发那科（Fanuc）</w:t>
            </w:r>
          </w:p>
        </w:tc>
        <w:tc>
          <w:tcPr>
            <w:tcW w:w="0" w:type="auto"/>
            <w:vAlign w:val="center"/>
          </w:tcPr>
          <w:p w14:paraId="26162A81">
            <w:r>
              <w:t>A06B-0223-B100</w:t>
            </w:r>
          </w:p>
        </w:tc>
        <w:tc>
          <w:tcPr>
            <w:tcW w:w="0" w:type="auto"/>
            <w:vAlign w:val="center"/>
          </w:tcPr>
          <w:p w14:paraId="3A8580DA">
            <w:r>
              <w:t>400-820-6677</w:t>
            </w:r>
          </w:p>
        </w:tc>
      </w:tr>
      <w:tr w14:paraId="44BE8EA5">
        <w:tblPrEx>
          <w:tblCellMar>
            <w:top w:w="0" w:type="dxa"/>
            <w:left w:w="0" w:type="dxa"/>
            <w:bottom w:w="0" w:type="dxa"/>
            <w:right w:w="0" w:type="dxa"/>
          </w:tblCellMar>
        </w:tblPrEx>
        <w:tc>
          <w:tcPr>
            <w:tcW w:w="0" w:type="auto"/>
            <w:vAlign w:val="center"/>
          </w:tcPr>
          <w:p w14:paraId="2410084F">
            <w:r>
              <w:t>变频器</w:t>
            </w:r>
          </w:p>
        </w:tc>
        <w:tc>
          <w:tcPr>
            <w:tcW w:w="0" w:type="auto"/>
            <w:vAlign w:val="center"/>
          </w:tcPr>
          <w:p w14:paraId="2FCEBE3D">
            <w:r>
              <w:t>艾默德（IMD）</w:t>
            </w:r>
          </w:p>
        </w:tc>
        <w:tc>
          <w:tcPr>
            <w:tcW w:w="0" w:type="auto"/>
            <w:vAlign w:val="center"/>
          </w:tcPr>
          <w:p w14:paraId="6FF9E964">
            <w:r>
              <w:t>IMD100-11kW-4</w:t>
            </w:r>
          </w:p>
        </w:tc>
        <w:tc>
          <w:tcPr>
            <w:tcW w:w="0" w:type="auto"/>
            <w:vAlign w:val="center"/>
          </w:tcPr>
          <w:p w14:paraId="5BD2211F">
            <w:r>
              <w:t>0577-62768888</w:t>
            </w:r>
          </w:p>
        </w:tc>
      </w:tr>
      <w:tr w14:paraId="5BDB545D">
        <w:tblPrEx>
          <w:tblCellMar>
            <w:top w:w="0" w:type="dxa"/>
            <w:left w:w="0" w:type="dxa"/>
            <w:bottom w:w="0" w:type="dxa"/>
            <w:right w:w="0" w:type="dxa"/>
          </w:tblCellMar>
        </w:tblPrEx>
        <w:tc>
          <w:tcPr>
            <w:tcW w:w="0" w:type="auto"/>
            <w:vAlign w:val="center"/>
          </w:tcPr>
          <w:p w14:paraId="507887C1">
            <w:r>
              <w:t>PLC</w:t>
            </w:r>
          </w:p>
        </w:tc>
        <w:tc>
          <w:tcPr>
            <w:tcW w:w="0" w:type="auto"/>
            <w:vAlign w:val="center"/>
          </w:tcPr>
          <w:p w14:paraId="5C95F6A7">
            <w:r>
              <w:t>三菱电机</w:t>
            </w:r>
          </w:p>
        </w:tc>
        <w:tc>
          <w:tcPr>
            <w:tcW w:w="0" w:type="auto"/>
            <w:vAlign w:val="center"/>
          </w:tcPr>
          <w:p w14:paraId="470CE3C4">
            <w:r>
              <w:t>FX5U-32MR/ES</w:t>
            </w:r>
          </w:p>
        </w:tc>
        <w:tc>
          <w:tcPr>
            <w:tcW w:w="0" w:type="auto"/>
            <w:vAlign w:val="center"/>
          </w:tcPr>
          <w:p w14:paraId="61D711FE">
            <w:r>
              <w:t>400-700-3030</w:t>
            </w:r>
          </w:p>
        </w:tc>
      </w:tr>
      <w:tr w14:paraId="68AF492E">
        <w:tblPrEx>
          <w:tblCellMar>
            <w:top w:w="0" w:type="dxa"/>
            <w:left w:w="0" w:type="dxa"/>
            <w:bottom w:w="0" w:type="dxa"/>
            <w:right w:w="0" w:type="dxa"/>
          </w:tblCellMar>
        </w:tblPrEx>
        <w:tc>
          <w:tcPr>
            <w:tcW w:w="0" w:type="auto"/>
            <w:vAlign w:val="center"/>
          </w:tcPr>
          <w:p w14:paraId="6ADF240F">
            <w:r>
              <w:t>编码器</w:t>
            </w:r>
          </w:p>
        </w:tc>
        <w:tc>
          <w:tcPr>
            <w:tcW w:w="0" w:type="auto"/>
            <w:vAlign w:val="center"/>
          </w:tcPr>
          <w:p w14:paraId="589BF615">
            <w:r>
              <w:t>威海迪控</w:t>
            </w:r>
          </w:p>
        </w:tc>
        <w:tc>
          <w:tcPr>
            <w:tcW w:w="0" w:type="auto"/>
            <w:vAlign w:val="center"/>
          </w:tcPr>
          <w:p w14:paraId="4BF8A709">
            <w:r>
              <w:t>DKS3806-1024BZ-5L</w:t>
            </w:r>
          </w:p>
        </w:tc>
        <w:tc>
          <w:tcPr>
            <w:tcW w:w="0" w:type="auto"/>
            <w:vAlign w:val="center"/>
          </w:tcPr>
          <w:p w14:paraId="4357DC0E">
            <w:r>
              <w:t>0631-5628888</w:t>
            </w:r>
          </w:p>
        </w:tc>
      </w:tr>
      <w:tr w14:paraId="00492432">
        <w:tc>
          <w:tcPr>
            <w:tcW w:w="0" w:type="auto"/>
            <w:vAlign w:val="center"/>
          </w:tcPr>
          <w:p w14:paraId="10231840">
            <w:r>
              <w:t>张力传感器</w:t>
            </w:r>
          </w:p>
        </w:tc>
        <w:tc>
          <w:tcPr>
            <w:tcW w:w="0" w:type="auto"/>
            <w:vAlign w:val="center"/>
          </w:tcPr>
          <w:p w14:paraId="6C8149DC">
            <w:r>
              <w:t>深圳杰曼</w:t>
            </w:r>
          </w:p>
        </w:tc>
        <w:tc>
          <w:tcPr>
            <w:tcW w:w="0" w:type="auto"/>
            <w:vAlign w:val="center"/>
          </w:tcPr>
          <w:p w14:paraId="39597EAB">
            <w:r>
              <w:t>GM-101-50N</w:t>
            </w:r>
          </w:p>
        </w:tc>
        <w:tc>
          <w:tcPr>
            <w:tcW w:w="0" w:type="auto"/>
            <w:vAlign w:val="center"/>
          </w:tcPr>
          <w:p w14:paraId="78190B85">
            <w:r>
              <w:t>0755-26588888</w:t>
            </w:r>
          </w:p>
        </w:tc>
      </w:tr>
      <w:tr w14:paraId="17BBD861">
        <w:tblPrEx>
          <w:tblCellMar>
            <w:top w:w="0" w:type="dxa"/>
            <w:left w:w="0" w:type="dxa"/>
            <w:bottom w:w="0" w:type="dxa"/>
            <w:right w:w="0" w:type="dxa"/>
          </w:tblCellMar>
        </w:tblPrEx>
        <w:tc>
          <w:tcPr>
            <w:tcW w:w="0" w:type="auto"/>
            <w:vAlign w:val="center"/>
          </w:tcPr>
          <w:p w14:paraId="0E964DE8">
            <w:r>
              <w:t>电磁制动器</w:t>
            </w:r>
          </w:p>
        </w:tc>
        <w:tc>
          <w:tcPr>
            <w:tcW w:w="0" w:type="auto"/>
            <w:vAlign w:val="center"/>
          </w:tcPr>
          <w:p w14:paraId="0766ADA9">
            <w:r>
              <w:t>上海文依电气</w:t>
            </w:r>
          </w:p>
        </w:tc>
        <w:tc>
          <w:tcPr>
            <w:tcW w:w="0" w:type="auto"/>
            <w:vAlign w:val="center"/>
          </w:tcPr>
          <w:p w14:paraId="568BE8CF">
            <w:r>
              <w:t>YEJ-132M-4</w:t>
            </w:r>
          </w:p>
        </w:tc>
        <w:tc>
          <w:tcPr>
            <w:tcW w:w="0" w:type="auto"/>
            <w:vAlign w:val="center"/>
          </w:tcPr>
          <w:p w14:paraId="7C373CD6">
            <w:r>
              <w:t>021-59758888</w:t>
            </w:r>
          </w:p>
        </w:tc>
      </w:tr>
      <w:tr w14:paraId="160C5580">
        <w:tblPrEx>
          <w:tblCellMar>
            <w:top w:w="0" w:type="dxa"/>
            <w:left w:w="0" w:type="dxa"/>
            <w:bottom w:w="0" w:type="dxa"/>
            <w:right w:w="0" w:type="dxa"/>
          </w:tblCellMar>
        </w:tblPrEx>
        <w:tc>
          <w:tcPr>
            <w:tcW w:w="0" w:type="auto"/>
            <w:vAlign w:val="center"/>
          </w:tcPr>
          <w:p w14:paraId="5A3BC2D9">
            <w:r>
              <w:t>同步带</w:t>
            </w:r>
          </w:p>
        </w:tc>
        <w:tc>
          <w:tcPr>
            <w:tcW w:w="0" w:type="auto"/>
            <w:vAlign w:val="center"/>
          </w:tcPr>
          <w:p w14:paraId="1ECBA49A">
            <w:r>
              <w:t>盖茨（Gates）</w:t>
            </w:r>
          </w:p>
        </w:tc>
        <w:tc>
          <w:tcPr>
            <w:tcW w:w="0" w:type="auto"/>
            <w:vAlign w:val="center"/>
          </w:tcPr>
          <w:p w14:paraId="65D1E1C1">
            <w:r>
              <w:t>5M-1500-15mm</w:t>
            </w:r>
          </w:p>
        </w:tc>
        <w:tc>
          <w:tcPr>
            <w:tcW w:w="0" w:type="auto"/>
            <w:vAlign w:val="center"/>
          </w:tcPr>
          <w:p w14:paraId="47D899A5">
            <w:r>
              <w:t>400-820-8886</w:t>
            </w:r>
          </w:p>
        </w:tc>
      </w:tr>
      <w:tr w14:paraId="60FB7EC8">
        <w:tblPrEx>
          <w:tblCellMar>
            <w:top w:w="0" w:type="dxa"/>
            <w:left w:w="0" w:type="dxa"/>
            <w:bottom w:w="0" w:type="dxa"/>
            <w:right w:w="0" w:type="dxa"/>
          </w:tblCellMar>
        </w:tblPrEx>
        <w:tc>
          <w:tcPr>
            <w:tcW w:w="0" w:type="auto"/>
            <w:vAlign w:val="center"/>
          </w:tcPr>
          <w:p w14:paraId="7D2CAF3E">
            <w:r>
              <w:t>润滑脂</w:t>
            </w:r>
          </w:p>
        </w:tc>
        <w:tc>
          <w:tcPr>
            <w:tcW w:w="0" w:type="auto"/>
            <w:vAlign w:val="center"/>
          </w:tcPr>
          <w:p w14:paraId="68363AFA">
            <w:r>
              <w:t>长城润滑油</w:t>
            </w:r>
          </w:p>
        </w:tc>
        <w:tc>
          <w:tcPr>
            <w:tcW w:w="0" w:type="auto"/>
            <w:vAlign w:val="center"/>
          </w:tcPr>
          <w:p w14:paraId="0DC94573">
            <w:r>
              <w:t>3号锂基润滑脂</w:t>
            </w:r>
          </w:p>
        </w:tc>
        <w:tc>
          <w:tcPr>
            <w:tcW w:w="0" w:type="auto"/>
            <w:vAlign w:val="center"/>
          </w:tcPr>
          <w:p w14:paraId="43A49899">
            <w:r>
              <w:t>400-810-9886</w:t>
            </w:r>
          </w:p>
        </w:tc>
      </w:tr>
    </w:tbl>
    <w:p w14:paraId="2534AE6E">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C59DAB1D"/>
    <w:multiLevelType w:val="singleLevel"/>
    <w:tmpl w:val="C59DAB1D"/>
    <w:lvl w:ilvl="0" w:tentative="0">
      <w:start w:val="1"/>
      <w:numFmt w:val="decimal"/>
      <w:lvlText w:val="%1."/>
      <w:lvlJc w:val="left"/>
      <w:pPr>
        <w:ind w:left="720" w:hanging="360"/>
      </w:pPr>
      <w:rPr>
        <w:sz w:val="24"/>
      </w:rPr>
    </w:lvl>
  </w:abstractNum>
  <w:abstractNum w:abstractNumId="4">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5">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6">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7">
    <w:nsid w:val="FF9FDE0A"/>
    <w:multiLevelType w:val="singleLevel"/>
    <w:tmpl w:val="FF9FDE0A"/>
    <w:lvl w:ilvl="0" w:tentative="0">
      <w:start w:val="1"/>
      <w:numFmt w:val="decimal"/>
      <w:lvlText w:val="%1."/>
      <w:lvlJc w:val="left"/>
      <w:pPr>
        <w:ind w:left="720" w:hanging="360"/>
      </w:pPr>
      <w:rPr>
        <w:sz w:val="24"/>
      </w:rPr>
    </w:lvl>
  </w:abstractNum>
  <w:abstractNum w:abstractNumId="8">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9">
    <w:nsid w:val="FFD7255D"/>
    <w:multiLevelType w:val="singleLevel"/>
    <w:tmpl w:val="FFD7255D"/>
    <w:lvl w:ilvl="0" w:tentative="0">
      <w:start w:val="1"/>
      <w:numFmt w:val="decimal"/>
      <w:lvlText w:val="%1."/>
      <w:lvlJc w:val="left"/>
      <w:pPr>
        <w:ind w:left="720" w:hanging="360"/>
      </w:pPr>
      <w:rPr>
        <w:sz w:val="24"/>
      </w:rPr>
    </w:lvl>
  </w:abstractNum>
  <w:abstractNum w:abstractNumId="10">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1">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12">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3">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4">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12"/>
  </w:num>
  <w:num w:numId="2">
    <w:abstractNumId w:val="14"/>
  </w:num>
  <w:num w:numId="3">
    <w:abstractNumId w:val="1"/>
  </w:num>
  <w:num w:numId="4">
    <w:abstractNumId w:val="10"/>
  </w:num>
  <w:num w:numId="5">
    <w:abstractNumId w:val="5"/>
  </w:num>
  <w:num w:numId="6">
    <w:abstractNumId w:val="13"/>
  </w:num>
  <w:num w:numId="7">
    <w:abstractNumId w:val="4"/>
  </w:num>
  <w:num w:numId="8">
    <w:abstractNumId w:val="11"/>
  </w:num>
  <w:num w:numId="9">
    <w:abstractNumId w:val="6"/>
  </w:num>
  <w:num w:numId="10">
    <w:abstractNumId w:val="8"/>
  </w:num>
  <w:num w:numId="11">
    <w:abstractNumId w:val="2"/>
  </w:num>
  <w:num w:numId="12">
    <w:abstractNumId w:val="0"/>
  </w:num>
  <w:num w:numId="13">
    <w:abstractNumId w:val="3"/>
  </w:num>
  <w:num w:numId="14">
    <w:abstractNumId w:val="7"/>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5FF7AAC"/>
    <w:rsid w:val="76962A74"/>
    <w:rsid w:val="7B77B008"/>
    <w:rsid w:val="7FF6C12C"/>
    <w:rsid w:val="9FBD0F5C"/>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2025-10-06T22:56:52Z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2C3F4BCA970F1CFCB4D8E3681C3C6311_43</vt:lpwstr>
  </property>
  <property fmtid="{D5CDD505-2E9C-101B-9397-08002B2CF9AE}" pid="4" name="KSOTemplateDocerSaveRecord">
    <vt:lpwstr>eyJoZGlkIjoiNzI4YmNmYThhZjA0NTVhODllNDhjMGZiNmFkMDJjN2YiLCJ1c2VySWQiOiIxNjA5OTI0MDI0In0=</vt:lpwstr>
  </property>
</Properties>
</file>