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D7D64">
      <w:pPr>
        <w:pStyle w:val="2"/>
      </w:pPr>
    </w:p>
    <w:p w14:paraId="37E1AA07">
      <w:pPr>
        <w:pStyle w:val="2"/>
      </w:pPr>
    </w:p>
    <w:p w14:paraId="1878E9B6">
      <w:pPr>
        <w:pStyle w:val="2"/>
      </w:pPr>
      <w:r>
        <w:t>干式变压器双层箔绕机技术手册</w:t>
      </w:r>
    </w:p>
    <w:p w14:paraId="57779AC9">
      <w:pPr>
        <w:pStyle w:val="3"/>
      </w:pPr>
      <w:r>
        <w:t>一、设备概述</w:t>
      </w:r>
    </w:p>
    <w:p w14:paraId="776227D2">
      <w:pPr>
        <w:pStyle w:val="4"/>
      </w:pPr>
      <w:r>
        <w:t>1.1 设备用途与应用场景</w:t>
      </w:r>
    </w:p>
    <w:p w14:paraId="4799A645">
      <w:r>
        <w:t>干式变压器双层箔绕机是绕制变压器箔式线圈的专用设备，核心功能是实现铜箔、铝箔等导电材料与绝缘材料的同步卷绕，形成低损耗、高紧密性的变压器绕组。其应用场景与干式变压器的技术特性紧密相关，主要适用于10kV至35kV级树脂浇注干式变压器（如SCB14、SCBH15系列）的低压绕组绕制，尤其在大容量（3T及以上）、低噪音、高可靠性要求的场景中表现突出。在商业楼宇配电系统中，采用该设备绕制的绕组因层间电容分布均匀，局部放电量可控制在5pC以下，运行噪音≤55dB，满足人员密集场所的环境标准；在新能源电站（光伏、风电）的箱式变电站中，其绕制的绕组具备抗短路能力强（短路耐受时间2秒）、散热性能优异（温升限值100K）的特点，可适应户外温差大、负荷波动频繁的工况。此外，在数据中心、医院等对供电连续性要求严苛的场所，该设备通过精确控制箔材张力（±1N精度）和排线精度（±0.5mm），确保绕组电阻偏差≤1%，有效降低空载损耗，符合能效2级及以上标准。</w:t>
      </w:r>
    </w:p>
    <w:p w14:paraId="61E560D2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60CA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1DB33E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BA6157B">
            <w:pPr>
              <w:jc w:val="center"/>
              <w:rPr>
                <w:b/>
              </w:rPr>
            </w:pPr>
            <w:r>
              <w:rPr>
                <w:b/>
              </w:rPr>
              <w:t>BRJ-1400双层箔绕机</w:t>
            </w:r>
          </w:p>
        </w:tc>
        <w:tc>
          <w:tcPr>
            <w:tcW w:w="0" w:type="auto"/>
            <w:vAlign w:val="center"/>
          </w:tcPr>
          <w:p w14:paraId="44261846">
            <w:pPr>
              <w:jc w:val="center"/>
              <w:rPr>
                <w:b/>
              </w:rPr>
            </w:pPr>
            <w:r>
              <w:rPr>
                <w:b/>
              </w:rPr>
              <w:t>RXW-10H卧式箔绕机</w:t>
            </w:r>
          </w:p>
        </w:tc>
        <w:tc>
          <w:tcPr>
            <w:tcW w:w="0" w:type="auto"/>
            <w:vAlign w:val="center"/>
          </w:tcPr>
          <w:p w14:paraId="018B7A89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72178F0C">
            <w:pPr>
              <w:jc w:val="center"/>
              <w:rPr>
                <w:b/>
              </w:rPr>
            </w:pPr>
            <w:r>
              <w:rPr>
                <w:b/>
              </w:rPr>
              <w:t>依据标准</w:t>
            </w:r>
          </w:p>
        </w:tc>
      </w:tr>
      <w:tr w14:paraId="480231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A109CE">
            <w:r>
              <w:t>承重能力</w:t>
            </w:r>
          </w:p>
        </w:tc>
        <w:tc>
          <w:tcPr>
            <w:tcW w:w="0" w:type="auto"/>
            <w:vAlign w:val="center"/>
          </w:tcPr>
          <w:p w14:paraId="74D7DCA3">
            <w:r>
              <w:t>2000（开卷机）</w:t>
            </w:r>
          </w:p>
        </w:tc>
        <w:tc>
          <w:tcPr>
            <w:tcW w:w="0" w:type="auto"/>
            <w:vAlign w:val="center"/>
          </w:tcPr>
          <w:p w14:paraId="55D12E10">
            <w:r>
              <w:t>10000（整机）</w:t>
            </w:r>
          </w:p>
        </w:tc>
        <w:tc>
          <w:tcPr>
            <w:tcW w:w="0" w:type="auto"/>
            <w:vAlign w:val="center"/>
          </w:tcPr>
          <w:p w14:paraId="3FD1F792">
            <w:r>
              <w:t>kg</w:t>
            </w:r>
          </w:p>
        </w:tc>
        <w:tc>
          <w:tcPr>
            <w:tcW w:w="0" w:type="auto"/>
            <w:vAlign w:val="center"/>
          </w:tcPr>
          <w:p w14:paraId="253CABFF">
            <w:r>
              <w:t>JB/T 3857-2023</w:t>
            </w:r>
          </w:p>
        </w:tc>
      </w:tr>
      <w:tr w14:paraId="3F9AA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A1D03D">
            <w:r>
              <w:t>主轴转速</w:t>
            </w:r>
          </w:p>
        </w:tc>
        <w:tc>
          <w:tcPr>
            <w:tcW w:w="0" w:type="auto"/>
            <w:vAlign w:val="center"/>
          </w:tcPr>
          <w:p w14:paraId="7D68A66F">
            <w:r>
              <w:t>0-20（变频调速）</w:t>
            </w:r>
          </w:p>
        </w:tc>
        <w:tc>
          <w:tcPr>
            <w:tcW w:w="0" w:type="auto"/>
            <w:vAlign w:val="center"/>
          </w:tcPr>
          <w:p w14:paraId="62AE3E82">
            <w:r>
              <w:t>0-15（变频调速）</w:t>
            </w:r>
          </w:p>
        </w:tc>
        <w:tc>
          <w:tcPr>
            <w:tcW w:w="0" w:type="auto"/>
            <w:vAlign w:val="center"/>
          </w:tcPr>
          <w:p w14:paraId="43FA878A">
            <w:r>
              <w:t>r/min</w:t>
            </w:r>
          </w:p>
        </w:tc>
        <w:tc>
          <w:tcPr>
            <w:tcW w:w="0" w:type="auto"/>
            <w:vAlign w:val="center"/>
          </w:tcPr>
          <w:p w14:paraId="31F0069B">
            <w:r>
              <w:t>-</w:t>
            </w:r>
          </w:p>
        </w:tc>
      </w:tr>
      <w:tr w14:paraId="5C162ADD">
        <w:tc>
          <w:tcPr>
            <w:tcW w:w="0" w:type="auto"/>
            <w:vAlign w:val="center"/>
          </w:tcPr>
          <w:p w14:paraId="168656EA">
            <w:r>
              <w:t>箔带宽度范围</w:t>
            </w:r>
          </w:p>
        </w:tc>
        <w:tc>
          <w:tcPr>
            <w:tcW w:w="0" w:type="auto"/>
            <w:vAlign w:val="center"/>
          </w:tcPr>
          <w:p w14:paraId="493D437F">
            <w:r>
              <w:t>150-1400</w:t>
            </w:r>
          </w:p>
        </w:tc>
        <w:tc>
          <w:tcPr>
            <w:tcW w:w="0" w:type="auto"/>
            <w:vAlign w:val="center"/>
          </w:tcPr>
          <w:p w14:paraId="2E5F300A">
            <w:r>
              <w:t>100-1000</w:t>
            </w:r>
          </w:p>
        </w:tc>
        <w:tc>
          <w:tcPr>
            <w:tcW w:w="0" w:type="auto"/>
            <w:vAlign w:val="center"/>
          </w:tcPr>
          <w:p w14:paraId="1D9AC187">
            <w:r>
              <w:t>mm</w:t>
            </w:r>
          </w:p>
        </w:tc>
        <w:tc>
          <w:tcPr>
            <w:tcW w:w="0" w:type="auto"/>
            <w:vAlign w:val="center"/>
          </w:tcPr>
          <w:p w14:paraId="7497CE39">
            <w:r>
              <w:t>-</w:t>
            </w:r>
          </w:p>
        </w:tc>
      </w:tr>
      <w:tr w14:paraId="6A00EE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0D55D7">
            <w:r>
              <w:t>箔带厚度范围</w:t>
            </w:r>
          </w:p>
        </w:tc>
        <w:tc>
          <w:tcPr>
            <w:tcW w:w="0" w:type="auto"/>
            <w:vAlign w:val="center"/>
          </w:tcPr>
          <w:p w14:paraId="36548AE1">
            <w:r>
              <w:t>0.5-3（铝箔）、0.5-2（铜箔）</w:t>
            </w:r>
          </w:p>
        </w:tc>
        <w:tc>
          <w:tcPr>
            <w:tcW w:w="0" w:type="auto"/>
            <w:vAlign w:val="center"/>
          </w:tcPr>
          <w:p w14:paraId="4E62E795">
            <w:r>
              <w:t>0.5-2（铜箔）</w:t>
            </w:r>
          </w:p>
        </w:tc>
        <w:tc>
          <w:tcPr>
            <w:tcW w:w="0" w:type="auto"/>
            <w:vAlign w:val="center"/>
          </w:tcPr>
          <w:p w14:paraId="1BBAEF6A">
            <w:r>
              <w:t>mm</w:t>
            </w:r>
          </w:p>
        </w:tc>
        <w:tc>
          <w:tcPr>
            <w:tcW w:w="0" w:type="auto"/>
            <w:vAlign w:val="center"/>
          </w:tcPr>
          <w:p w14:paraId="1255CE0A">
            <w:r>
              <w:t>-</w:t>
            </w:r>
          </w:p>
        </w:tc>
      </w:tr>
      <w:tr w14:paraId="203EB2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77DDDE">
            <w:r>
              <w:t>纠偏精度</w:t>
            </w:r>
          </w:p>
        </w:tc>
        <w:tc>
          <w:tcPr>
            <w:tcW w:w="0" w:type="auto"/>
            <w:vAlign w:val="center"/>
          </w:tcPr>
          <w:p w14:paraId="6477DC29">
            <w:r>
              <w:t>±0.3（伺服全自动）</w:t>
            </w:r>
          </w:p>
        </w:tc>
        <w:tc>
          <w:tcPr>
            <w:tcW w:w="0" w:type="auto"/>
            <w:vAlign w:val="center"/>
          </w:tcPr>
          <w:p w14:paraId="38A7B294">
            <w:r>
              <w:t>±0.5（选配）</w:t>
            </w:r>
          </w:p>
        </w:tc>
        <w:tc>
          <w:tcPr>
            <w:tcW w:w="0" w:type="auto"/>
            <w:vAlign w:val="center"/>
          </w:tcPr>
          <w:p w14:paraId="122E8040">
            <w:r>
              <w:t>mm</w:t>
            </w:r>
          </w:p>
        </w:tc>
        <w:tc>
          <w:tcPr>
            <w:tcW w:w="0" w:type="auto"/>
            <w:vAlign w:val="center"/>
          </w:tcPr>
          <w:p w14:paraId="2DCC44FE">
            <w:r>
              <w:t>-</w:t>
            </w:r>
          </w:p>
        </w:tc>
      </w:tr>
      <w:tr w14:paraId="1EBFC5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7CE14F">
            <w:r>
              <w:t>张力控制范围</w:t>
            </w:r>
          </w:p>
        </w:tc>
        <w:tc>
          <w:tcPr>
            <w:tcW w:w="0" w:type="auto"/>
            <w:vAlign w:val="center"/>
          </w:tcPr>
          <w:p w14:paraId="7F7F6BEE">
            <w:r>
              <w:t>5-500</w:t>
            </w:r>
          </w:p>
        </w:tc>
        <w:tc>
          <w:tcPr>
            <w:tcW w:w="0" w:type="auto"/>
            <w:vAlign w:val="center"/>
          </w:tcPr>
          <w:p w14:paraId="14D6F8A4">
            <w:r>
              <w:t>50-300</w:t>
            </w:r>
          </w:p>
        </w:tc>
        <w:tc>
          <w:tcPr>
            <w:tcW w:w="0" w:type="auto"/>
            <w:vAlign w:val="center"/>
          </w:tcPr>
          <w:p w14:paraId="08A3DF74">
            <w:r>
              <w:t>N</w:t>
            </w:r>
          </w:p>
        </w:tc>
        <w:tc>
          <w:tcPr>
            <w:tcW w:w="0" w:type="auto"/>
            <w:vAlign w:val="center"/>
          </w:tcPr>
          <w:p w14:paraId="2A19C761">
            <w:r>
              <w:t>-</w:t>
            </w:r>
          </w:p>
        </w:tc>
      </w:tr>
      <w:tr w14:paraId="58F3C0FE">
        <w:tc>
          <w:tcPr>
            <w:tcW w:w="0" w:type="auto"/>
            <w:vAlign w:val="center"/>
          </w:tcPr>
          <w:p w14:paraId="2005E0E7">
            <w:r>
              <w:t>主电机功率</w:t>
            </w:r>
          </w:p>
        </w:tc>
        <w:tc>
          <w:tcPr>
            <w:tcW w:w="0" w:type="auto"/>
            <w:vAlign w:val="center"/>
          </w:tcPr>
          <w:p w14:paraId="74BA2359">
            <w:r>
              <w:t>22（三菱）</w:t>
            </w:r>
          </w:p>
        </w:tc>
        <w:tc>
          <w:tcPr>
            <w:tcW w:w="0" w:type="auto"/>
            <w:vAlign w:val="center"/>
          </w:tcPr>
          <w:p w14:paraId="78061CC9">
            <w:r>
              <w:t>15（安徽皖南）</w:t>
            </w:r>
          </w:p>
        </w:tc>
        <w:tc>
          <w:tcPr>
            <w:tcW w:w="0" w:type="auto"/>
            <w:vAlign w:val="center"/>
          </w:tcPr>
          <w:p w14:paraId="001AB201">
            <w:r>
              <w:t>kW</w:t>
            </w:r>
          </w:p>
        </w:tc>
        <w:tc>
          <w:tcPr>
            <w:tcW w:w="0" w:type="auto"/>
            <w:vAlign w:val="center"/>
          </w:tcPr>
          <w:p w14:paraId="7DA2FF23">
            <w:r>
              <w:t>-</w:t>
            </w:r>
          </w:p>
        </w:tc>
      </w:tr>
      <w:tr w14:paraId="7C35A2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708CBC">
            <w:r>
              <w:t>最大绕制线圈外径</w:t>
            </w:r>
          </w:p>
        </w:tc>
        <w:tc>
          <w:tcPr>
            <w:tcW w:w="0" w:type="auto"/>
            <w:vAlign w:val="center"/>
          </w:tcPr>
          <w:p w14:paraId="796EDADD">
            <w:r>
              <w:t>1000</w:t>
            </w:r>
          </w:p>
        </w:tc>
        <w:tc>
          <w:tcPr>
            <w:tcW w:w="0" w:type="auto"/>
            <w:vAlign w:val="center"/>
          </w:tcPr>
          <w:p w14:paraId="41A1BFF2">
            <w:r>
              <w:t>2000</w:t>
            </w:r>
          </w:p>
        </w:tc>
        <w:tc>
          <w:tcPr>
            <w:tcW w:w="0" w:type="auto"/>
            <w:vAlign w:val="center"/>
          </w:tcPr>
          <w:p w14:paraId="767DC266">
            <w:r>
              <w:t>mm</w:t>
            </w:r>
          </w:p>
        </w:tc>
        <w:tc>
          <w:tcPr>
            <w:tcW w:w="0" w:type="auto"/>
            <w:vAlign w:val="center"/>
          </w:tcPr>
          <w:p w14:paraId="341D33B7">
            <w:r>
              <w:t>-</w:t>
            </w:r>
          </w:p>
        </w:tc>
      </w:tr>
      <w:tr w14:paraId="71D17C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014B71">
            <w:r>
              <w:t>胀缩式承料筒直径范围</w:t>
            </w:r>
          </w:p>
        </w:tc>
        <w:tc>
          <w:tcPr>
            <w:tcW w:w="0" w:type="auto"/>
            <w:vAlign w:val="center"/>
          </w:tcPr>
          <w:p w14:paraId="3C4DB6E6">
            <w:r>
              <w:t>400-520</w:t>
            </w:r>
          </w:p>
        </w:tc>
        <w:tc>
          <w:tcPr>
            <w:tcW w:w="0" w:type="auto"/>
            <w:vAlign w:val="center"/>
          </w:tcPr>
          <w:p w14:paraId="05AD61AF">
            <w:r>
              <w:t>-（花盘结构）</w:t>
            </w:r>
          </w:p>
        </w:tc>
        <w:tc>
          <w:tcPr>
            <w:tcW w:w="0" w:type="auto"/>
            <w:vAlign w:val="center"/>
          </w:tcPr>
          <w:p w14:paraId="019602FE">
            <w:r>
              <w:t>mm</w:t>
            </w:r>
          </w:p>
        </w:tc>
        <w:tc>
          <w:tcPr>
            <w:tcW w:w="0" w:type="auto"/>
            <w:vAlign w:val="center"/>
          </w:tcPr>
          <w:p w14:paraId="240A1C7F">
            <w:r>
              <w:t>-</w:t>
            </w:r>
          </w:p>
        </w:tc>
      </w:tr>
      <w:tr w14:paraId="0E6B7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F2B015">
            <w:r>
              <w:t>整机外形尺寸</w:t>
            </w:r>
          </w:p>
        </w:tc>
        <w:tc>
          <w:tcPr>
            <w:tcW w:w="0" w:type="auto"/>
            <w:vAlign w:val="center"/>
          </w:tcPr>
          <w:p w14:paraId="05BF15C6">
            <w:r>
              <w:t>7000×5500×2500</w:t>
            </w:r>
          </w:p>
        </w:tc>
        <w:tc>
          <w:tcPr>
            <w:tcW w:w="0" w:type="auto"/>
            <w:vAlign w:val="center"/>
          </w:tcPr>
          <w:p w14:paraId="1F578E5C">
            <w:r>
              <w:t>5000×2000×1800</w:t>
            </w:r>
          </w:p>
        </w:tc>
        <w:tc>
          <w:tcPr>
            <w:tcW w:w="0" w:type="auto"/>
            <w:vAlign w:val="center"/>
          </w:tcPr>
          <w:p w14:paraId="2F25BC32">
            <w:r>
              <w:t>mm</w:t>
            </w:r>
          </w:p>
        </w:tc>
        <w:tc>
          <w:tcPr>
            <w:tcW w:w="0" w:type="auto"/>
            <w:vAlign w:val="center"/>
          </w:tcPr>
          <w:p w14:paraId="6E1B21BA">
            <w:r>
              <w:t>-</w:t>
            </w:r>
          </w:p>
        </w:tc>
      </w:tr>
      <w:tr w14:paraId="6163CBC1">
        <w:tc>
          <w:tcPr>
            <w:tcW w:w="0" w:type="auto"/>
            <w:vAlign w:val="center"/>
          </w:tcPr>
          <w:p w14:paraId="474CA638">
            <w:r>
              <w:t>防护等级</w:t>
            </w:r>
          </w:p>
        </w:tc>
        <w:tc>
          <w:tcPr>
            <w:tcW w:w="0" w:type="auto"/>
            <w:vAlign w:val="center"/>
          </w:tcPr>
          <w:p w14:paraId="2C92FE98">
            <w:r>
              <w:t>IP54（电气柜）</w:t>
            </w:r>
          </w:p>
        </w:tc>
        <w:tc>
          <w:tcPr>
            <w:tcW w:w="0" w:type="auto"/>
            <w:vAlign w:val="center"/>
          </w:tcPr>
          <w:p w14:paraId="1544997D">
            <w:r>
              <w:t>IP54（电气柜）</w:t>
            </w:r>
          </w:p>
        </w:tc>
        <w:tc>
          <w:tcPr>
            <w:tcW w:w="0" w:type="auto"/>
            <w:vAlign w:val="center"/>
          </w:tcPr>
          <w:p w14:paraId="23C9957B">
            <w:r>
              <w:t>-</w:t>
            </w:r>
          </w:p>
        </w:tc>
        <w:tc>
          <w:tcPr>
            <w:tcW w:w="0" w:type="auto"/>
            <w:vAlign w:val="center"/>
          </w:tcPr>
          <w:p w14:paraId="43B41886">
            <w:r>
              <w:t>GB/T 4208-2017</w:t>
            </w:r>
          </w:p>
        </w:tc>
      </w:tr>
    </w:tbl>
    <w:p w14:paraId="03CFDD66">
      <w:pPr>
        <w:pStyle w:val="3"/>
      </w:pPr>
      <w:r>
        <w:t>二、结构组成与功能特点</w:t>
      </w:r>
    </w:p>
    <w:p w14:paraId="0D5DFF79">
      <w:pPr>
        <w:pStyle w:val="4"/>
      </w:pPr>
      <w:r>
        <w:t>2.1 主轴系统</w:t>
      </w:r>
    </w:p>
    <w:p w14:paraId="69B5EFAD">
      <w:r>
        <w:t>主轴系统是双层箔绕机的核心执行部件，主要由胀缩式承料筒、液压涨紧机构、双列圆柱滚子轴承及主轴驱动端组成。胀缩式承料筒采用45号钢锻造后调质处理（硬度HB240-280），直径范围400-520mm，表面加工T型槽用于固定线圈骨架，通过液压涨紧机构实现直径无级调节，涨紧力10-18000N，工作压力0-0.6MPa，可适配不同内径的箔材卷材。主轴支撑采用哈尔滨轴承NU2320双列圆柱滚子轴承，额定动载荷290kN，径向圆跳动≤0.1mm，轴向窜动≤0.05mm，确保高速旋转时的稳定性。与传统花盘结构相比，胀缩式承料筒装夹效率提升30%，且避免了因螺栓固定导致的应力集中，特别适合大直径、薄壁线圈的绕制。</w:t>
      </w:r>
    </w:p>
    <w:p w14:paraId="0C8C7EB8">
      <w:pPr>
        <w:pStyle w:val="4"/>
      </w:pPr>
      <w:r>
        <w:t>2.2 传动装置</w:t>
      </w:r>
    </w:p>
    <w:p w14:paraId="0A276BC8">
      <w:r>
        <w:t>传动装置负责将电机动力传递至主轴及辅助机构，由V带传动和蜗杆-蜗轮减速器组成。V带传动位于电机与减速器之间，采用3根B型V带（基准长度1600mm），主动轮直径140mm，从动轮直径350mm，传动比2.5，传递功率7.5kW，通过张紧轮调节下垂量至20mm（中心距500mm时），起缓冲减振和过载保护作用。蜗杆-蜗轮减速器为江苏国茂RV系列，蜗杆采用45号钢表面淬火（HRC55-60），蜗轮为锡青铜ZCuSn10P1，单头蜗杆传动比40，总传动比96（电机1440r/min→主轴15r/min），输出转矩4800N·m。蜗杆导程角γ=5.7°（arctan(1/10)），小于当量摩擦角（6°-8°），具备自锁功能，可防止线圈自重导致主轴反转。</w:t>
      </w:r>
    </w:p>
    <w:p w14:paraId="08128FEC">
      <w:pPr>
        <w:pStyle w:val="4"/>
      </w:pPr>
      <w:r>
        <w:t>2.3 箔材送进与张力控制系统</w:t>
      </w:r>
    </w:p>
    <w:p w14:paraId="6D4C8431">
      <w:r>
        <w:t>箔材送进与张力控制系统由开卷机、导向辊组、张紧胶辊、磁粉制动器及张力传感器组成。开卷机承载最大卷料外径1000mm，通过气动胀紧轴固定箔材卷材；导向辊组采用镀铬钢辊（直径80mm，表面粗糙度Ra0.8μm），确保箔材平整输送；张紧胶辊为丁腈橡胶材质（邵氏硬度90±2），上下辊直径差≤0.1mm，圆柱度≤0.05mm，防止箔材起拱或打滑。张力控制采用闭环反馈系统，济南乔森BRJ-1400型配置拉压力传感器（量程0-14000N，精度±0.5%FS），实时检测箔材张力并输出4-20mA信号至PLC，PLC通过PID算法调节磁粉制动器励磁电流（0-5A），实现张力5-500N范围内无级调节，动态波动≤±1%。系统支持分段张力控制，起绕阶段张力设为正常值的120%（确保初始层紧密），正常绕制100%，收尾阶段80%（避免端部应力集中），并配备电磁刹车防松卷装置，停机时0.5秒内响应。</w:t>
      </w:r>
    </w:p>
    <w:p w14:paraId="4DC3CB5F">
      <w:pPr>
        <w:pStyle w:val="4"/>
      </w:pPr>
      <w:r>
        <w:t>2.4 纠偏系统</w:t>
      </w:r>
    </w:p>
    <w:p w14:paraId="6B295FF8">
      <w:r>
        <w:t>纠偏系统用于保证双层箔带边缘对齐，由光电传感器、伺服纠偏电机、滚珠丝杠及纠偏架组成。Omron E3Z光电传感器采用非接触式扫描，采样频率5kHz，检测箔带边沿位置，分辨率±0.05mm；伺服系统为台达ASD-A2-0721-M驱动器（功率0.75kW）配合ECMA-C20604RS电机（额定转速3000r/min，扭矩2.39N·m），驱动滚珠丝杠（导程10mm，精度C3级）带动纠偏架左右移动，行程±50mm，定位精度±0.01mm。当箔带边沿偏离设定基准线＞0.3mm时，传感器触发伺服电机动作，响应时间≤0.2秒，确保双层箔带对齐误差≤0.1mm/1000mm。系统支持手动/自动切换，自动模式下通过PID调节实现无超调控制，特别适合宽幅箔材（＞1000mm）的高精度绕制。</w:t>
      </w:r>
    </w:p>
    <w:p w14:paraId="391D3C22">
      <w:pPr>
        <w:pStyle w:val="4"/>
      </w:pPr>
      <w:r>
        <w:t>2.5 焊接机构</w:t>
      </w:r>
    </w:p>
    <w:p w14:paraId="14FFD576">
      <w:r>
        <w:t>焊接机构集成氩弧焊机、焊枪行走机构及送丝装置，用于箔带接头及引线的自动化焊接。氩弧焊机为深圳瑞凌WS-250型，焊接电流180-250A，氩气流量5-12L/min，焊接速度0.5-1m/min，可根据箔材厚度自动匹配参数：铜箔厚度2mm时电流180-200A，铝箔3mm时220-250A。焊枪行走机构采用直线导轨导向，伺服电机驱动，定位精度±0.1mm，焊枪角度可调节（0°-45°），确保平焊、立焊等不同位置的焊接质量。焊缝强度≥母材80%，无氧化、气孔等缺陷，符合GB/T 1094.11-2022对绕组连接的要求。焊接过程中通过红外温度传感器实时监控焊缝温度（铜箔≤350℃，铝箔≤300℃），防止过热导致箔材性能下降。</w:t>
      </w:r>
    </w:p>
    <w:p w14:paraId="2D817686">
      <w:pPr>
        <w:pStyle w:val="4"/>
      </w:pPr>
      <w:r>
        <w:t>2.6 整机结构与安全装置</w:t>
      </w:r>
    </w:p>
    <w:p w14:paraId="5C6343FB">
      <w:r>
        <w:t>整机框架采用Q235B钢板焊接，关键部位（主轴箱、开卷机底座）进行CO₂气体保护焊接后时效处理（200℃×4h），消除焊接应力，机身变形量≤0.1mm/m。电气柜防护等级IP54，内置正压通风系统（换气量5m³/h），防止粉尘进入；操作区域设置SICK C40S安全光幕（分辨率14mm），光幕被遮挡时立即停机；设备前后各配备2个红色蘑菇头急停按钮，响应时间≤10ms。安全联锁功能包括主轴过载保护（电流＞150%额定值60秒停机）、尾架顶尖压力不足报警（压力＜5kN时提示）、张力异常停机（波动＞±10%时），所有安全信号直接接入PLC安全输入模块，符合GB/T 5226.1-2019机械安全标准。</w:t>
      </w:r>
    </w:p>
    <w:p w14:paraId="1CBA58BD">
      <w:pPr>
        <w:pStyle w:val="3"/>
      </w:pPr>
      <w:r>
        <w:t>三、机械传动原理</w:t>
      </w:r>
    </w:p>
    <w:p w14:paraId="094B5420">
      <w:pPr>
        <w:pStyle w:val="4"/>
      </w:pPr>
      <w:r>
        <w:t>3.1 动力传递路径与传动系统组成</w:t>
      </w:r>
    </w:p>
    <w:p w14:paraId="2BAFA34C">
      <w:r>
        <w:t>动力传递路径从主电机输出到主轴旋转形成闭环传动链：主电机（15kW，1440r/min）→V带传动（传动比2.5）→蜗杆-蜗轮减速器（传动比40）→主轴（15r/min）。辅助动力分支：主轴→链传动（08A滚子链，传动比3）→排线编码器→PLC→伺服电机→滚珠丝杠→排线架。主传动链传递效率92%（V带95%×减速器75%×轴承98%），输出功率6.75kW，满足低速大转矩需求。链传动中心距500mm，主动链轮17齿，从动链轮51齿，确保排线速度v=πDn/(1000p)（D为线圈直径，n为主轴转速，p为螺距）与主轴转速实时匹配，同步误差≤±0.2%。</w:t>
      </w:r>
    </w:p>
    <w:p w14:paraId="557D0B59">
      <w:pPr>
        <w:pStyle w:val="4"/>
      </w:pPr>
      <w:r>
        <w:t>3.2 蜗杆-蜗轮减速器工作原理</w:t>
      </w:r>
    </w:p>
    <w:p w14:paraId="27FEA740">
      <w:r>
        <w:t>蜗杆-蜗轮减速器通过空间交错轴齿轮啮合实现减速增扭，蜗杆为主动件，螺旋齿推动蜗轮齿面旋转，传动比i=z₂/z₁（z₂=40，z₁=1，i=40）。齿面接触强度按GB/T 10085-2018校核：σ_H=500√(T₂/(KA·KHβ·KHα·d₁³/z₂²))，其中T₂=4800N·m，KA=1.2（冲击系数），KHβ=0.9（齿宽系数），KHα=1.0（使用系数），d₁=100mm，计算得σ_H=120MPa＜[σ_H]=180MPa（锡青铜许用值），满足强度要求。啮合效率η₁=(tanγ)/tan(γ+ρ')=tan5.7°/tan(5.7°+1.5°)=0.85，总效率η=η₁×η₂×η₃=0.85×0.95×0.95=0.76（η₂轴承效率，η₃搅油损耗效率）。通过有限元分析优化蜗杆齿根过渡圆角（R=2mm），降低应力集中系数15%，提高疲劳寿命至15000小时。</w:t>
      </w:r>
    </w:p>
    <w:p w14:paraId="19B86D8F">
      <w:pPr>
        <w:pStyle w:val="4"/>
      </w:pPr>
      <w:r>
        <w:t>3.3 带传动设计与张紧控制</w:t>
      </w:r>
    </w:p>
    <w:p w14:paraId="73AFCF0C">
      <w:r>
        <w:t>V带传动设计依据GB/T 13575.1-2008，传递功率P=7.5kW，小带轮转速n₁=1440r/min，选用B型带，基准长度1600mm，根数z=3。单根带额定功率P₀=2.7kW（n₁=1440r/min，i=2.5），包角系数Kα=0.92（包角α=160°），长度系数KL=0.96，实际传递功率P=z×P₀×Kα×KL=3×2.7×0.92×0.96=7.1kW≈7.5kW。初拉力F₀=500P(2.5/Kα-1)/(zv)+qv²=500×7.5×(2.5/0.92-1)/(3×9.2)+0.17×9.2²≈250N，安装时通过张紧轮调节，确保带下垂量20mm（中心距500mm）。带轮槽角38°，槽深10.8mm，材质HT200，运行中带速波动≤±2%，防止打滑。</w:t>
      </w:r>
    </w:p>
    <w:p w14:paraId="3E00AEDD">
      <w:pPr>
        <w:pStyle w:val="4"/>
      </w:pPr>
      <w:r>
        <w:t>3.4 传动系统协同工作机制</w:t>
      </w:r>
    </w:p>
    <w:p w14:paraId="12E670D9">
      <w:r>
        <w:t>传动系统通过速度同步和负载分配实现协同工作。速度同步方面，PLC实时采集主轴编码器信号（1000P/R），计算线圈直径D=D₀+2n×d（D₀初始直径，n圈数，d箔材厚度），动态修正排线速度v=πDn/(1000p)，如D=800mm，n=10r/min，p=2mm时，v=π×800×10/(1000×2)=12.56mm/s，伺服电机输出脉冲频率f=v×1000/(导程×减速比)=12.56×1000/(10×5)=251.2Hz。负载分配方面，启动阶段V带缓冲电机冲击载荷（冲击系数1.5），稳定运行时蜗杆-蜗轮承担90%负载，轴承径向力F_r=2T/d=2×4800/0.2=48000N，由双列轴承均匀承载，单个轴承负载24000N＜额定动载荷290kN，安全系数＞10。当负载突变时（如箔材接头通过），张力传感器反馈信号，PLC在0.1秒内调整伺服速度±5%，同时降低主轴转速±2%，维持系统动态平衡。</w:t>
      </w:r>
    </w:p>
    <w:p w14:paraId="0BB5FAF2">
      <w:pPr>
        <w:pStyle w:val="3"/>
      </w:pPr>
      <w:r>
        <w:t>四、电气控制系统</w:t>
      </w:r>
    </w:p>
    <w:p w14:paraId="78F3229C">
      <w:pPr>
        <w:pStyle w:val="4"/>
      </w:pPr>
      <w:r>
        <w:t>4.1 硬件组成与核心部件</w:t>
      </w:r>
    </w:p>
    <w:p w14:paraId="3B143D63">
      <w:r>
        <w:t>电气控制系统以三菱FX5U-32MT/ES PLC为核心，集成变频驱动、伺服控制、人机交互及传感检测模块。PLC支持高速脉冲输出（200kHz×4轴）、模拟量输入（4通道12位）及EtherCAT总线通讯，内存64KB，可存储100组工艺参数，运算速度0.065μs/基本指令。主轴变频驱动采用三菱FR-D740-15K-CHT变频器（功率15kW），矢量控制模式，调速范围1:100（0.5-50Hz），过载能力150%×60s，通过RS485通讯与PLC交换数据。排线伺服系统为台达ASD-A2-0721-M驱动器（0.75kW），配合ECMA-C20604RS电机（3000r/min，2.39N·m），位置控制精度±0.01mm，电子齿轮比1-10000可调。人机界面采用威纶通MT8102iE触摸屏（10.1英寸，1024×600），支持参数设置、状态监控及故障报警，防护等级IP65。传感检测包括Omron E6B2编码器（1000P/R）、激光边缘传感器（采样5kHz）、张力传感器（0-14000N）及接近开关（TL-N5ME1），确保各环节精确控制。</w:t>
      </w:r>
    </w:p>
    <w:p w14:paraId="3D29ED0C">
      <w:pPr>
        <w:pStyle w:val="4"/>
      </w:pPr>
      <w:r>
        <w:t>4.2 张力控制原理与实现方案</w:t>
      </w:r>
    </w:p>
    <w:p w14:paraId="625F9AA1">
      <w:r>
        <w:t>张力控制采用PID闭环调节，控制流程为：操作员通过触摸屏设定目标张力（如800N）→PLC转换为4-20mA对应信号（800N对应12mA）→张力传感器实时检测实际张力→反馈4-20mA信号至PLC模拟量输入模块→PLC计算偏差e=设定值-实际值→PID算法输出0-10V调节量→控制磁粉制动器励磁电流（0-5A）→调整制动力矩，使实际张力跟踪设定值。PID参数分段整定：小张力（5-50N）Kp=8，Ti=0.8s；中张力（50-300N）Kp=6，Ti=1.2s；大张力（300-500N）Kp=5，Ti=1.5s，避免小张力超调、大张力滞后。动态前馈补偿根据主轴转速变化率dn/dt（r/min/s）预输出调节量ΔU=0.1×dn/dt V，如启动时dn/dt=10r/min/s，ΔU=1V，防止张力骤降。断线检测功能在张力＜设定值50%且持续0.5秒时触发急停，报警代码“E01张力过低”。</w:t>
      </w:r>
    </w:p>
    <w:p w14:paraId="7EEBFB18">
      <w:pPr>
        <w:pStyle w:val="4"/>
      </w:pPr>
      <w:r>
        <w:t>4.3 同步控制与纠偏控制技术</w:t>
      </w:r>
    </w:p>
    <w:p w14:paraId="3E4BD1C4">
      <w:r>
        <w:t>同步控制通过电子齿轮实现主轴与排线的精确配合，主轴编码器每转输出1000脉冲，PLC设置电子齿轮比N/M=1000/10000=0.1，即主轴旋转1圈（1000脉冲），向排线伺服发送100脉冲，驱动丝杠旋转0.1圈（导程10mm），实现排线移动1mm（螺距1mm）。直径补偿功能实时计算线圈直径D=D₀+2n×d，修正排线速度v=πDn/(1000p)，确保层间螺距恒定。纠偏控制采用光电非接触检测，激光传感器扫描箔带边沿，偏差信号经PLC处理后驱动伺服电机，通过滚珠丝杠带动纠偏架移动，响应时间≤0.2秒，纠偏精度±0.3mm。双层箔带同步纠偏时，主箔传感器作为基准，从箔传感器跟踪主箔边沿，偏差≤0.1mm/1000mm，防止层间错位。</w:t>
      </w:r>
    </w:p>
    <w:p w14:paraId="46AF952E">
      <w:pPr>
        <w:pStyle w:val="4"/>
      </w:pPr>
      <w:r>
        <w:t>4.4 人机交互与故障自诊断</w:t>
      </w:r>
    </w:p>
    <w:p w14:paraId="37562E95">
      <w:r>
        <w:t>人机界面主界面显示主轴转速（r/min）、当前张力（N）、绕制圈数（当前/设定）、产量计数及设备状态（绿色运行、黄色待机、红色故障）。参数设置界面分“基本参数”（箔宽、绕制圈数、螺距）、“张力参数”（目标张力、PID参数）、“焊接参数”（电流、速度、氩气流量），参数修改需操作员/管理员密码（两级权限）。故障自诊断系统监控电气、机械及控制故障：电气故障（电机过流、变频器OC报警）通过I/O点检测；机械故障（张力异常、超程）通过传感器信号判断；控制故障（参数错误、通讯超时）通过程序逻辑监控。故障记录存储最近100条，包含代码、时间、处理建议，如“E02编码器故障”建议“检查线缆屏蔽层接地”，支持USB导出CSV格式文件。</w:t>
      </w:r>
    </w:p>
    <w:p w14:paraId="27C89E04">
      <w:pPr>
        <w:pStyle w:val="3"/>
      </w:pPr>
      <w:r>
        <w:t>五、操作流程与注意事项</w:t>
      </w:r>
    </w:p>
    <w:p w14:paraId="12ED242B">
      <w:pPr>
        <w:pStyle w:val="4"/>
      </w:pPr>
      <w:r>
        <w:t>5.1 开机前检查与准备</w:t>
      </w:r>
    </w:p>
    <w:p w14:paraId="72346FC1">
      <w:r>
        <w:t>开机前需进行全面检查：电源检查用万用表测量三相电压380V±10%，接地电阻≤4Ω（接地电阻测试仪）；机械检查手动盘动主轴，转动灵活无卡滞，花盘T型槽无异物，张紧胶辊表面无裂纹，剪切刀具刃口锋利（磨损量≤0.2mm）；电气检查控制柜内接线端子无松动（螺丝刀逐个紧固），传感器线缆屏蔽层接地良好，触摸屏校准准确（点击偏差≤1mm）。物料准备核对箔材规格（厚度2mm铜箔，宽度800mm），检查表面无氧化、划痕，绝缘纸宽度850mm，搭叠率25%，工具准备张力计（0-1000N）、卡尺（0-300mm）、扳手（M12-M20）。</w:t>
      </w:r>
    </w:p>
    <w:p w14:paraId="59905DA7">
      <w:pPr>
        <w:pStyle w:val="4"/>
      </w:pPr>
      <w:r>
        <w:t>5.2 基本操作流程</w:t>
      </w:r>
    </w:p>
    <w:p w14:paraId="47A5FB9C">
      <w:r>
        <w:t>手动调试阶段：按下“电源开”按钮，PLC、触摸屏上电初始化（3秒）→切换“手动”模式→操作“主轴点动”按钮，主轴正转/反转5r/min，确认转向正确（顺时针为正转）→操作“排线点动”按钮，排线架左右移动，检查限位开关功能（触及限位立即停止，报警“E15排线超程”）→启动张力系统，设定预紧张力400N（目标张力800N的50%），手动放线，张力计实测值与显示值偏差≤±1N。自动运行阶段：在“参数设置”界面输入绕制圈数500、排线幅宽200mm、箔材直径2mm、目标张力800N、主轴转速10r/min→按下“自动启动”按钮→系统执行张力预紧→主轴启动（按0.5Hz/s加速度升至10r/min）→排线启动（同步移动）→绕制计数→达到设定圈数自动停机：主轴减速至0→排线停止→张力释放→尾架顶尖退回，触摸屏显示“绕制完成”。停机清理：卸下线圈骨架→清理花盘T型槽铁屑→吸尘器清理设备表面粉尘→关闭控制柜电源。</w:t>
      </w:r>
    </w:p>
    <w:p w14:paraId="76F6FC91">
      <w:pPr>
        <w:pStyle w:val="4"/>
      </w:pPr>
      <w:r>
        <w:t>5.3 参数设置与工艺适配</w:t>
      </w:r>
    </w:p>
    <w:p w14:paraId="5CE9FF56">
      <w:r>
        <w:t>参数设置需根据箔材类型和工艺要求匹配：铜箔（厚度0.5-2mm）张力50-300N，铝箔（0.5-3mm）张力30-200N（铝箔抗拉强度低，为铜箔60%-70%）；排线螺距p=d×1.05（d箔材厚度），如d=2mm，p=2.1mm，确保层间间隙0.05d；主轴转速根据箔宽设定：箔宽≤300mm时≤20r/min，300-800mm时≤15r/min，＞800mm时≤10r/min，防止箔材撕裂。焊接参数匹配：铜箔厚度1mm对应电流120-150A，2mm对应180-200A，氩气流量5-8L/min；铝箔厚度2mm对应电流150-180A，3mm对应220-250A，氩气流量8-12L/min，焊接速度0.5-1m/min。举例3T干式变压器低压绕组参数：箔材2mm铜箔，宽度800mm，绕制圈数450，张力800N，转速10r/min，螺距2.1mm，焊接电流180A，氩气流量8L/min。</w:t>
      </w:r>
    </w:p>
    <w:p w14:paraId="0FF7B4A0">
      <w:pPr>
        <w:pStyle w:val="4"/>
      </w:pPr>
      <w:r>
        <w:t>5.4 安全操作注意事项</w:t>
      </w:r>
    </w:p>
    <w:p w14:paraId="0971B73C">
      <w:r>
        <w:t>人身安全防护要求操作员佩戴安全帽、防护眼镜、防滑手套；设备运行时严禁打开防护门或进入安全光幕区域，检查需按下急停按钮并悬挂“正在检修”警示牌；禁止在设备上放置工具、工件，防止振动坠落伤人。设备安全操作严禁超参数运行：承重≤额定值（如BRJ-1400禁绕＞2000kg线圈），转速≤最高限值（禁超20r/min）；导线接头需打磨光滑（直径≤原直径+0.1mm），绝缘胶带包裹长度≥50mm，禁止接头直接通过排线嘴；遇异响（轴承尖叫）、异味（焦糊味）、冒烟等异常，立即按下急停按钮，切断电源后检查。电气安全禁止带电作业，检修需断开主电源，验电确认无电并悬挂“禁止合闸”警示牌；操作前擦干手上水分，设备移动部件需接地（电阻≤4Ω）；雷雨天气关闭电源，拔掉插头，防止雷击损坏电气元件。</w:t>
      </w:r>
    </w:p>
    <w:p w14:paraId="61F222A1">
      <w:pPr>
        <w:pStyle w:val="3"/>
      </w:pPr>
      <w:r>
        <w:t>六、常见故障诊断与排除</w:t>
      </w:r>
    </w:p>
    <w:p w14:paraId="4031B14F">
      <w:pPr>
        <w:pStyle w:val="4"/>
      </w:pPr>
      <w:r>
        <w:t>6.1 电气系统故障</w:t>
      </w:r>
    </w:p>
    <w:p w14:paraId="5A6C73D3">
      <w:pPr>
        <w:pStyle w:val="5"/>
      </w:pPr>
      <w:r>
        <w:t>6.1.1 电机缺相运行</w:t>
      </w:r>
    </w:p>
    <w:p w14:paraId="18D1EF29">
      <w:r>
        <w:t>故障现象：电机无法启动，或启动后转速缓慢（≤额定转速50%），伴有“嗡嗡”异响；运行时三相电流严重不平衡（两相电流1.5倍额定值，一相接近0），电机外壳温度10分钟内超过80℃，热继电器频繁跳闸。故障成因：供电回路B相熔丝熔断；电机接线端子U相松动；绕组星形连接中点断线。排除步骤：断电测量控制柜输入侧三相电压，若Uca=0V，检查上级配电箱B相断路器，更换32A熔丝；打开电机接线盒，测量三相绕组电阻，若U相电阻无穷大，紧固端子排螺丝（扭矩8N·m）；若绕组中点断线，重新焊接中点接头，包裹绝缘胶带（厚度≥0.5mm），浸漆烘干（120℃×2h）。预防措施：每月检查电机接线端子紧固度，每年测量绕组绝缘电阻≥1MΩ（500V兆欧表）。</w:t>
      </w:r>
    </w:p>
    <w:p w14:paraId="486EFD4E">
      <w:pPr>
        <w:pStyle w:val="5"/>
      </w:pPr>
      <w:r>
        <w:t>6.1.2 变频器OC/OU/OH报警</w:t>
      </w:r>
    </w:p>
    <w:p w14:paraId="0B51740C">
      <w:r>
        <w:t>OC过流报警：变频器显示“OC”，电机无法启动或启动后立即跳闸。成因：电机绕组U-V相间短路；变频器输出模块IGBT击穿。排除：断电测量电机绕组相间电阻，正常＞0.5MΩ，短路时修复电机；否则更换变频器输出模块（PM200DVA060）。OU过压报警：显示“OU”，电源电压＞420V。成因：电网波动；制动单元故障（制动电阻开路）。排除：测量输入电压，过高时加装SBW-50KVA稳压器；检查制动电阻（正常100Ω±5%），开路时更换1kW电阻。OH过热报警：显示“OH”，变频器散热不良。成因：风扇滤网堵塞；环境温度＞40℃。排除：用压缩空气吹扫风扇滤网，更换UF-15P23BWH风扇（230V）；环境温度过高时加装空调（制冷量2.5kW）。</w:t>
      </w:r>
    </w:p>
    <w:p w14:paraId="461987A8">
      <w:pPr>
        <w:pStyle w:val="4"/>
      </w:pPr>
      <w:r>
        <w:t>6.2 机械系统故障</w:t>
      </w:r>
    </w:p>
    <w:p w14:paraId="41A74956">
      <w:pPr>
        <w:pStyle w:val="5"/>
      </w:pPr>
      <w:r>
        <w:t>6.2.1 张力异常</w:t>
      </w:r>
    </w:p>
    <w:p w14:paraId="2E2C95ED">
      <w:r>
        <w:t>张力过小故障现象：线圈绕制后层间间隙＞0.2mm，按压可凹陷，端面径向偏差＞2mm。成因：张力传感器安装位置与箔材路径不垂直（偏差＞1°）；磁粉制动器磁粉磨损（使用超2000小时）。排除：调整传感器支架，确保与箔材夹角90°±1°，紧固螺栓（扭矩5N·m）；更换磁粉（型号CF-2，填充量80%）。张力过大故障现象：箔材边缘撕裂，厚度减薄＞0.01mm，电机电流超过额定值120%。成因：参数设置错误（铝箔用铜箔张力值）。排除：在“张力参数”界面将张力从1000N调整为600N（铝箔为铜箔60%）。张力波动故障现象：运行中张力波动＞±5N，箔材表面出现明暗条纹。成因：张紧胶辊磨损不均（直径差＞0.1mm）。排除：拆卸胶辊，在磨床上磨削至直径差≤0.1mm，圆柱度≤0.05mm。</w:t>
      </w:r>
    </w:p>
    <w:p w14:paraId="6CA8E3DE">
      <w:pPr>
        <w:pStyle w:val="5"/>
      </w:pPr>
      <w:r>
        <w:t>6.2.2 箔材跑偏</w:t>
      </w:r>
    </w:p>
    <w:p w14:paraId="4FEC4830">
      <w:r>
        <w:t>故障现象：箔带边缘对齐偏差＞0.5mm，出现叠线或疏线，纠偏系统频繁动作。成因：光电传感器镜头油污；纠偏导轨平行度超差（＞0.05mm/m）。排除：用酒精棉球清洁传感器镜头，顺时针调节感度旋钮至指示灯“一红两绿”稳定；用百分表测量纠偏导轨全长平行度，松开固定螺栓，塞铁片调整至≤0.05mm/m，紧固螺栓（扭矩25N·m）。若仍跑偏，检查滚珠丝杠导程误差（激光干涉仪测量＞0.02mm/300mm时更换丝杠）。</w:t>
      </w:r>
    </w:p>
    <w:p w14:paraId="76790DAE">
      <w:pPr>
        <w:pStyle w:val="4"/>
      </w:pPr>
      <w:r>
        <w:t>6.3 控制系统故障</w:t>
      </w:r>
    </w:p>
    <w:p w14:paraId="27982943">
      <w:pPr>
        <w:pStyle w:val="5"/>
      </w:pPr>
      <w:r>
        <w:t>6.3.1 PLC程序参数错误</w:t>
      </w:r>
    </w:p>
    <w:p w14:paraId="5AB3320F">
      <w:r>
        <w:t>故障现象：绕制圈数与设定值偏差＞1圈，或计数不递增；触摸屏显示“E20参数错误”，参数红色闪烁。成因：绕制圈数输入位数错误（50圈输为5）；PLC工作存储区电池电压＜2.7V，参数断电丢失。排除：在“参数设置”界面核对绕制圈数，将“5”修改为“500”；关闭PLC电源，更换CR1025锂电池（3V），重新输入参数并按“保存”按钮。预防措施：重要参数设置后通过USB备份，每2年更换PLC电池。</w:t>
      </w:r>
    </w:p>
    <w:p w14:paraId="5A3F5727">
      <w:pPr>
        <w:pStyle w:val="5"/>
      </w:pPr>
      <w:r>
        <w:t>6.3.2 传感器信号异常</w:t>
      </w:r>
    </w:p>
    <w:p w14:paraId="36850E8C">
      <w:r>
        <w:t>编码器信号丢失故障现象：主轴旋转时触摸屏显示转速为0，排线架不移动。成因：编码器线缆屏蔽层破损，引入电磁干扰；编码器与主轴连接的软连接器松动。排除：更换双绞屏蔽线缆（型号JZSP-CMP00-03），屏蔽层接地电阻≤1Ω；紧固软连接器螺丝（扭矩3N·m），用示波器测量编码器输出脉冲，确保波形清晰无毛刺。光电传感器漂移故障现象：无箔材通过时，传感器显示值波动＞±0.5mm。成因：传感器镜头污染；环境光干扰。排除：用压缩空气吹扫镜头；加装遮光罩，避免强光直射传感器检测区域。</w:t>
      </w:r>
    </w:p>
    <w:p w14:paraId="77540BEF">
      <w:pPr>
        <w:pStyle w:val="3"/>
      </w:pPr>
      <w:r>
        <w:t>七、维护保养</w:t>
      </w:r>
    </w:p>
    <w:p w14:paraId="7B687795">
      <w:pPr>
        <w:pStyle w:val="4"/>
      </w:pPr>
      <w:r>
        <w:t>7.1 日常维护流程</w:t>
      </w:r>
    </w:p>
    <w:p w14:paraId="0A80BBF1">
      <w:r>
        <w:t>每日维护（15分钟）：用吸尘器清理开卷机构、卷绕压辊处金属碎屑和绝缘粉尘；检查主轴箱润滑油位（油标1/2-2/3处），不足时添加L-TSA46号汽轮机油；检查气动系统压力（0.5-0.6MPa），排放储气罐冷凝水；紧固花盘T型槽螺栓（扭矩15N·m）。每周维护（30分钟）：向排线导轨（THK HSR20）、开卷机胀紧轴加注3号锂基脂（每个润滑点5-8次）；检查V带张紧度，按压中点下垂量20mm，不足时调整张紧轮；清洁电气柜散热风扇滤网，用压缩空气吹扫灰尘。每月维护（1小时）：用标准砝码（50N、100N、500N）校准张力传感器，调整PLC模拟量输入偏移量，使显示值=实测值±0.5N；检查编码器信号线输出波形（示波器测量，频率随转速线性变化）；启动液压站，检查压力6.3MPa，各油管接头无泄漏。</w:t>
      </w:r>
    </w:p>
    <w:p w14:paraId="0BF92208">
      <w:pPr>
        <w:pStyle w:val="4"/>
      </w:pPr>
      <w:r>
        <w:t>7.2 定期检查与精度校准</w:t>
      </w:r>
    </w:p>
    <w:p w14:paraId="50EE28E1">
      <w:r>
        <w:t>季度检查（2小时）：测量主轴径向圆跳动（百分表固定在床身，测头触及主轴端部），误差＞0.1mm时调整轴承预紧螺母；测试纠偏系统精度，用500mm标准箔带运行，记录偏差值，超±0.3mm时重新校准光电传感器位置；检查安全光幕响应时间（≤0.1秒），遮挡光幕测试设备是否立即停机。半年检查（4小时）：测量蜗杆-蜗轮啮合间隙（塞尺插入齿侧），＞0.3mm时调整垫片；检查剪切刀具刃口磨损量，＞0.2mm时刃磨刀具（角度30°）；测试PLC程序断电记忆功能，断电30分钟后参数无丢失。年度校准（8小时）：用激光干涉仪（Renishaw XL-80）校准排线定位精度，误差＞±0.01mm时调整电子齿轮比；动平衡机校准花盘，静不平衡量≤5g·mm；对电气系统进行耐压试验（1500V AC，1min无击穿）。</w:t>
      </w:r>
    </w:p>
    <w:p w14:paraId="7581B255">
      <w:pPr>
        <w:pStyle w:val="4"/>
      </w:pPr>
      <w:r>
        <w:t>7.3 润滑保养规范</w:t>
      </w:r>
    </w:p>
    <w:p w14:paraId="1C10740D">
      <w:r>
        <w:t>润滑部位与油品要求：主轴轴承采用L-TSA46号汽轮机油，油浴润滑，半年更换一次，油位1/2-2/3，换油时用煤油清洗油箱，过滤精度10μm；排线导轨、滚珠丝杠用3号锂基脂（ZL-3），每周油枪加注，每个润滑点5-8次，确保油脂均匀覆盖摩擦面；蜗杆-蜗轮减速器用L-CKC100号齿轮油，年度更换，油位1/2-2/3，油样污染度≤NAS 8级；尾架顶尖涂抹二硫化钼润滑脂，每周手动涂抹薄层；液压系统用L-HM46号抗磨液压油，年度更换，过滤精度≤10μm，油位1/2以上，换油后排气（启动液压站，打开排气阀至无气泡溢出）。润滑注意事项：添加新油前用100目滤网过滤；润滑点周围油污、铁屑需清理干净；废油倒入专用回收桶，按危废处理规定处置。</w:t>
      </w:r>
    </w:p>
    <w:p w14:paraId="2243AF75">
      <w:pPr>
        <w:pStyle w:val="4"/>
      </w:pPr>
      <w:r>
        <w:t>7.4 大修周期与内容</w:t>
      </w:r>
    </w:p>
    <w:p w14:paraId="5E7B1823">
      <w:r>
        <w:t>大修周期为运行1年或绕制1000台线圈，大修准备需制定计划（备件清单、工具清单、进度表），准备主轴拆卸工具、轴承拉马等专用工具，停机前记录PLC程序、伺服参数及精度检测数据。大修内容：机械系统拆卸主轴箱，更换主轴轴承（NU2320）、蜗杆-蜗轮副（齿面磨损＞0.2mm时）；更换滚珠丝杠（导程误差＞0.02mm/300mm）、剪切刀具；修复机身导轨，磨削加工至平面度≤0.02mm/m。电气系统更换PLC锂电池、变频器风扇（运行5000小时）、伺服电机碳刷（磨损＞2mm）；重布线（老化线缆更换，信号线与动力线分开敷设）；升级PLC程序，优化控制逻辑。精度恢复校准主轴与尾架同轴度（≤0.05mm/m）、花盘静平衡（≤5g·mm）、排线定位精度（±0.01mm）、张力控制精度（±0.5N）。大修验收：空载试运行8小时，轴承温升≤30K，振动≤0.1mm/s；负载试验绕制3台典型线圈（小、中、大容量），尺寸精度、电气性能符合工艺要求；整理大修记录（更换部件清单、精度检测报告），更新设备档案。</w:t>
      </w:r>
    </w:p>
    <w:p w14:paraId="38659C68">
      <w:pPr>
        <w:pStyle w:val="3"/>
      </w:pPr>
      <w:r>
        <w:t>八、技术参数与选型指南</w:t>
      </w:r>
    </w:p>
    <w:p w14:paraId="7C597500">
      <w:pPr>
        <w:pStyle w:val="4"/>
      </w:pPr>
      <w:r>
        <w:t>8.1 主流型号技术参数汇总</w:t>
      </w:r>
    </w:p>
    <w:p w14:paraId="6F47A8A0">
      <w:r>
        <w:t>主流双层箔绕机型号技术参数对比：BRJ-1400型承重2000kg（开卷机），箔宽150-1400mm，主轴转速0-20r/min，电机功率22kW，纠偏精度±0.3mm，适合10kV级大容量干式变压器低压绕组；RXW-10H型承重10T（整机），花盘直径1000mm，主轴转速0-15r/min，电机功率15kW，中心高1400mm，适合中小型线圈绕制；LG-BRJ-1400A-II型配备西门子S7-1500 PLC，支持1400mm宽箔带双箔同步绕制，焊接系统集成自动送丝，适合批量生产。参数差异主要体现在承重能力（箔材卷材vs整机线圈）、箔宽范围（1400mm vs 1000mm）、自动化程度（双箔同步vs单箔），用户需根据生产需求选择。</w:t>
      </w:r>
    </w:p>
    <w:p w14:paraId="143F5044">
      <w:pPr>
        <w:pStyle w:val="4"/>
      </w:pPr>
      <w:r>
        <w:t>8.2 设备选型依据与方法</w:t>
      </w:r>
    </w:p>
    <w:p w14:paraId="4555A838">
      <w:r>
        <w:t>设备选型三步法：Step1确定负载参数，根据线圈重量（如3T变压器线圈约500kg）选择承重≥2倍线圈重量的机型（选2000kg开卷机）；根据线圈直径（如800mm）选择最大绕制直径≥1000mm的机型。Step2匹配工艺要求，低压大电流绕组需双箔同步绕制，选BRJ-1400型；精密电子变压器需高精度排线，选伺服纠偏机型（±0.3mm）；小批量生产可选半自动机型，批量生产选全自动机型（100组参数存储）。Step3考虑环境条件，海拔＞1000m时电机功率降容（每1000m降5%）；湿度＞85%车间选IP54电气柜+加热除湿装置；电源波动＞±10%地区配稳压器（SBW-50KVA）。选型案例：绕制3T干式变压器低压绕组（重量500kg，箔宽800mm，铜箔厚度2mm），选BRJ-1400型（承重2000kg，箔宽1400mm，纠偏精度±0.3mm）。</w:t>
      </w:r>
    </w:p>
    <w:p w14:paraId="29DEA6B8">
      <w:pPr>
        <w:pStyle w:val="4"/>
      </w:pPr>
      <w:r>
        <w:t>8.3 与其他绕线设备的对比分析</w:t>
      </w:r>
    </w:p>
    <w:p w14:paraId="5E8658A6">
      <w:r>
        <w:t>双层箔绕机与卧式绕线机、环形绕线机对比：结构上，双层箔绕机水平主轴+胀缩承料筒，适合箔式绕组；卧式绕线机水平主轴+花盘，适合线绕式绕组；环形绕线机垂直主轴，适合环形绕组。性能上，双层箔绕机绕制效率高（双箔同步提升50%），电阻偏差≤1%，局部放电量低；卧式绕线机适应线径范围广（0.5-10mm），但效率较低；环形绕线机适合特种变压器，但通用性差。应用场景上，双层箔绕机用于10kV及以上干式变压器低压绕组；卧式绕线机用于中小型变压器层式绕组；环形绕线机用于电流互感器、特种电抗器。用户需根据绕组类型（箔式/线绕式/环形）、生产规模（批量/小批量）、精度要求（局部放电/电阻偏差）选择设备，双层箔绕机在低损耗、大电流绕组生产中不可替代。</w:t>
      </w:r>
    </w:p>
    <w:p w14:paraId="3E9692E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7F71E15"/>
    <w:rsid w:val="7B77B008"/>
    <w:rsid w:val="7FF6C12C"/>
    <w:rsid w:val="BCB98261"/>
    <w:rsid w:val="F3EB132D"/>
    <w:rsid w:val="F7BD23EC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2025-09-30T22:19:18Z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977DEC2F2E1C9E63E6E6DB688D88A39C_43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