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49B288C">
      <w:pPr>
        <w:pStyle w:val="2"/>
      </w:pPr>
    </w:p>
    <w:p w14:paraId="4C01357E">
      <w:pPr>
        <w:pStyle w:val="2"/>
      </w:pPr>
      <w:r>
        <w:t>干变绕线车间低压线圈打磨房升降机技术分析报告</w:t>
      </w:r>
    </w:p>
    <w:p w14:paraId="090A87FB">
      <w:pPr>
        <w:pStyle w:val="3"/>
      </w:pPr>
      <w:r>
        <w:t>一、升降机结构组成与功能特点</w:t>
      </w:r>
    </w:p>
    <w:p w14:paraId="1108CA2F">
      <w:pPr>
        <w:pStyle w:val="4"/>
      </w:pPr>
      <w:r>
        <w:t>1.1 核心结构组成与部件设计</w:t>
      </w:r>
    </w:p>
    <w:p w14:paraId="34A0FBDA">
      <w:r>
        <w:t>干变绕线车间低压线圈打磨房升降机的核心结构围绕“稳定承载、精准调节、粉尘适应”三大目标设计，主要由升降结构、调节平台、导向系统及支撑框架四部分组成。升降结构作为动力传递核心，采用双轴电机驱动方案，电机通过弹性联轴器连接横向传动轴，两侧分别通过锥齿轮箱换向，驱动竖直布置的梯形丝杆。丝杆与调节平台底部的传动座形成螺纹副，螺纹升角设计为3°~5°，既满足自锁要求（防止断电坠落），又确保传动效率（≥85%）。为保证两侧同步性，传动轴采用45#钢调质处理（硬度HB220~250），两端安装编码器实时监测转速差，当同步误差超过0.2rad/s时触发减速保护。</w:t>
      </w:r>
    </w:p>
    <w:p w14:paraId="60779D80">
      <w:r>
        <w:t>调节平台为矩形框架结构，采用Q235B钢板焊接而成，台面铺设3mm厚防滑花纹钢板，边缘焊接100mm高防护栏杆（间距≤150mm），防止工具或工件滑落。平台底部通过4组滑块与导向系统连接，导向系统由两根平行布置的竖直滑轨构成，滑轨采用20CrMnTi精密轧制而成，表面淬火硬度HRC58~62，直线度误差≤0.3mm/m，平行度误差≤0.5mm/m。滑块内置双列角接触球轴承，配合锂基润滑脂（NLGI 2级）实现低摩擦滑动，运行阻力≤50N。</w:t>
      </w:r>
    </w:p>
    <w:p w14:paraId="1922D160">
      <w:r>
        <w:t>支撑框架采用型钢焊接结构，底部通过膨胀螺栓固定在混凝土基础上（基础平整度误差≤2mm/m），框架两侧设置加强斜撑，提升整体刚度（一阶固有频率≥25Hz）。电机与传动部件外侧安装可拆卸式防护罩，防护罩采用1.5mm厚冷轧钢板，表面喷塑处理（颜色RAL7035），开设观察窗（亚克力板厚度≥5mm）便于状态监测。框架顶部安装限位挡板，与平台上的聚氨酯缓冲块配合，吸收冲击能量（缓冲行程20mm，最大冲击力≤5kN）。</w:t>
      </w:r>
    </w:p>
    <w:p w14:paraId="46C5E6EA">
      <w:r>
        <w:t>各部件连接采用高强度螺栓（8.8级），关键节点设置防松螺母（拧紧扭矩按M12螺栓45~50N·m控制），并涂抹螺纹锁固剂（乐泰243）。传动系统与导向系统的安装间隙需严格控制：丝杆与传动座配合间隙0.1~0.15mm，滑块与滑轨间隙0.05~0.1mm，通过塞尺检测并调整，确保升降过程无卡顿或异响。</w:t>
      </w:r>
    </w:p>
    <w:p w14:paraId="6877C3D9">
      <w:pPr>
        <w:pStyle w:val="4"/>
      </w:pPr>
      <w:r>
        <w:t>1.2 功能特点与主要技术参数</w:t>
      </w:r>
    </w:p>
    <w:p w14:paraId="50066473">
      <w:r>
        <w:t>升降机的核心功能是实现低压线圈打磨作业的高度适配，具体表现为三大特性：一是</w:t>
      </w:r>
      <w:r>
        <w:rPr>
          <w:b/>
        </w:rPr>
        <w:t>柔性调节能力</w:t>
      </w:r>
      <w:r>
        <w:t>，可通过操作台或PLC远程控制实现0.1mm级微调，满足不同规格线圈（高度300~1800mm）的打磨需求；二是</w:t>
      </w:r>
      <w:r>
        <w:rPr>
          <w:b/>
        </w:rPr>
        <w:t>重载稳定运行</w:t>
      </w:r>
      <w:r>
        <w:t>，平台最大承载1000kg时，升降过程中台面倾斜度≤0.5°，确保线圈打磨面水平；三是</w:t>
      </w:r>
      <w:r>
        <w:rPr>
          <w:b/>
        </w:rPr>
        <w:t>生产线协同性</w:t>
      </w:r>
      <w:r>
        <w:t>，支持与绕线机、打磨机器人的信号交互（Profinet通讯），实现工件自动转运对接。</w:t>
      </w:r>
    </w:p>
    <w:p w14:paraId="76817D84">
      <w:r>
        <w:t>主要技术参数如表1所示（以3种典型规格为例）：</w:t>
      </w:r>
    </w:p>
    <w:tbl>
      <w:tblPr>
        <w:tblStyle w:val="50"/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160"/>
        <w:gridCol w:w="2160"/>
        <w:gridCol w:w="2160"/>
        <w:gridCol w:w="2160"/>
      </w:tblGrid>
      <w:tr w14:paraId="7260241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652FFD25">
            <w:pPr>
              <w:jc w:val="center"/>
              <w:rPr>
                <w:b/>
              </w:rPr>
            </w:pPr>
            <w:r>
              <w:rPr>
                <w:b/>
              </w:rPr>
              <w:t>参数项</w:t>
            </w:r>
          </w:p>
        </w:tc>
        <w:tc>
          <w:tcPr>
            <w:tcW w:w="0" w:type="auto"/>
            <w:vAlign w:val="center"/>
          </w:tcPr>
          <w:p w14:paraId="13FE7FF0">
            <w:pPr>
              <w:jc w:val="center"/>
              <w:rPr>
                <w:b/>
              </w:rPr>
            </w:pPr>
            <w:r>
              <w:rPr>
                <w:b/>
              </w:rPr>
              <w:t>规格A（小型）</w:t>
            </w:r>
          </w:p>
        </w:tc>
        <w:tc>
          <w:tcPr>
            <w:tcW w:w="0" w:type="auto"/>
            <w:vAlign w:val="center"/>
          </w:tcPr>
          <w:p w14:paraId="6450AF21">
            <w:pPr>
              <w:jc w:val="center"/>
              <w:rPr>
                <w:b/>
              </w:rPr>
            </w:pPr>
            <w:r>
              <w:rPr>
                <w:b/>
              </w:rPr>
              <w:t>规格B（中型）</w:t>
            </w:r>
          </w:p>
        </w:tc>
        <w:tc>
          <w:tcPr>
            <w:tcW w:w="0" w:type="auto"/>
            <w:vAlign w:val="center"/>
          </w:tcPr>
          <w:p w14:paraId="6E347A42">
            <w:pPr>
              <w:jc w:val="center"/>
              <w:rPr>
                <w:b/>
              </w:rPr>
            </w:pPr>
            <w:r>
              <w:rPr>
                <w:b/>
              </w:rPr>
              <w:t>规格C（大型）</w:t>
            </w:r>
          </w:p>
        </w:tc>
      </w:tr>
      <w:tr w14:paraId="16A9E4A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3D2CB493">
            <w:r>
              <w:t>额定载重量</w:t>
            </w:r>
          </w:p>
        </w:tc>
        <w:tc>
          <w:tcPr>
            <w:tcW w:w="0" w:type="auto"/>
            <w:vAlign w:val="center"/>
          </w:tcPr>
          <w:p w14:paraId="6A56FC5B">
            <w:r>
              <w:t>500kg</w:t>
            </w:r>
          </w:p>
        </w:tc>
        <w:tc>
          <w:tcPr>
            <w:tcW w:w="0" w:type="auto"/>
            <w:vAlign w:val="center"/>
          </w:tcPr>
          <w:p w14:paraId="2B615060">
            <w:r>
              <w:t>800kg</w:t>
            </w:r>
          </w:p>
        </w:tc>
        <w:tc>
          <w:tcPr>
            <w:tcW w:w="0" w:type="auto"/>
            <w:vAlign w:val="center"/>
          </w:tcPr>
          <w:p w14:paraId="4025ACB0">
            <w:r>
              <w:t>1000kg</w:t>
            </w:r>
          </w:p>
        </w:tc>
      </w:tr>
      <w:tr w14:paraId="6061114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1825659A">
            <w:r>
              <w:t>最大提升高度</w:t>
            </w:r>
          </w:p>
        </w:tc>
        <w:tc>
          <w:tcPr>
            <w:tcW w:w="0" w:type="auto"/>
            <w:vAlign w:val="center"/>
          </w:tcPr>
          <w:p w14:paraId="45BE2A08">
            <w:r>
              <w:t>3m</w:t>
            </w:r>
          </w:p>
        </w:tc>
        <w:tc>
          <w:tcPr>
            <w:tcW w:w="0" w:type="auto"/>
            <w:vAlign w:val="center"/>
          </w:tcPr>
          <w:p w14:paraId="2891CF35">
            <w:r>
              <w:t>4.5m</w:t>
            </w:r>
          </w:p>
        </w:tc>
        <w:tc>
          <w:tcPr>
            <w:tcW w:w="0" w:type="auto"/>
            <w:vAlign w:val="center"/>
          </w:tcPr>
          <w:p w14:paraId="29B94958">
            <w:r>
              <w:t>6m</w:t>
            </w:r>
          </w:p>
        </w:tc>
      </w:tr>
      <w:tr w14:paraId="5038229B">
        <w:tc>
          <w:tcPr>
            <w:tcW w:w="0" w:type="auto"/>
            <w:vAlign w:val="center"/>
          </w:tcPr>
          <w:p w14:paraId="4F52D748">
            <w:r>
              <w:t>提升速度</w:t>
            </w:r>
          </w:p>
        </w:tc>
        <w:tc>
          <w:tcPr>
            <w:tcW w:w="0" w:type="auto"/>
            <w:vAlign w:val="center"/>
          </w:tcPr>
          <w:p w14:paraId="51D9AFFF">
            <w:r>
              <w:t>0.5~1.0m/min</w:t>
            </w:r>
          </w:p>
        </w:tc>
        <w:tc>
          <w:tcPr>
            <w:tcW w:w="0" w:type="auto"/>
            <w:vAlign w:val="center"/>
          </w:tcPr>
          <w:p w14:paraId="1CCD76CD">
            <w:r>
              <w:t>0.8~1.2m/min</w:t>
            </w:r>
          </w:p>
        </w:tc>
        <w:tc>
          <w:tcPr>
            <w:tcW w:w="0" w:type="auto"/>
            <w:vAlign w:val="center"/>
          </w:tcPr>
          <w:p w14:paraId="79F814DB">
            <w:r>
              <w:t>1.0~1.5m/min</w:t>
            </w:r>
          </w:p>
        </w:tc>
      </w:tr>
      <w:tr w14:paraId="1D1AD83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32524FC7">
            <w:r>
              <w:t>定位精度</w:t>
            </w:r>
          </w:p>
        </w:tc>
        <w:tc>
          <w:tcPr>
            <w:tcW w:w="0" w:type="auto"/>
            <w:vAlign w:val="center"/>
          </w:tcPr>
          <w:p w14:paraId="63028DB7">
            <w:r>
              <w:t>±0.5mm</w:t>
            </w:r>
          </w:p>
        </w:tc>
        <w:tc>
          <w:tcPr>
            <w:tcW w:w="0" w:type="auto"/>
            <w:vAlign w:val="center"/>
          </w:tcPr>
          <w:p w14:paraId="2968A373">
            <w:r>
              <w:t>±0.8mm</w:t>
            </w:r>
          </w:p>
        </w:tc>
        <w:tc>
          <w:tcPr>
            <w:tcW w:w="0" w:type="auto"/>
            <w:vAlign w:val="center"/>
          </w:tcPr>
          <w:p w14:paraId="696106BC">
            <w:r>
              <w:t>±1.0mm</w:t>
            </w:r>
          </w:p>
        </w:tc>
      </w:tr>
      <w:tr w14:paraId="33D4E31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2D4FE8A1">
            <w:r>
              <w:t>平台尺寸（长×宽）</w:t>
            </w:r>
          </w:p>
        </w:tc>
        <w:tc>
          <w:tcPr>
            <w:tcW w:w="0" w:type="auto"/>
            <w:vAlign w:val="center"/>
          </w:tcPr>
          <w:p w14:paraId="04B2BF12">
            <w:r>
              <w:t>1.5m×1.2m</w:t>
            </w:r>
          </w:p>
        </w:tc>
        <w:tc>
          <w:tcPr>
            <w:tcW w:w="0" w:type="auto"/>
            <w:vAlign w:val="center"/>
          </w:tcPr>
          <w:p w14:paraId="71ADFE78">
            <w:r>
              <w:t>2.0m×1.5m</w:t>
            </w:r>
          </w:p>
        </w:tc>
        <w:tc>
          <w:tcPr>
            <w:tcW w:w="0" w:type="auto"/>
            <w:vAlign w:val="center"/>
          </w:tcPr>
          <w:p w14:paraId="5FBE353E">
            <w:r>
              <w:t>2.5m×1.8m</w:t>
            </w:r>
          </w:p>
        </w:tc>
      </w:tr>
      <w:tr w14:paraId="080D099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4A06274A">
            <w:r>
              <w:t>电机功率</w:t>
            </w:r>
          </w:p>
        </w:tc>
        <w:tc>
          <w:tcPr>
            <w:tcW w:w="0" w:type="auto"/>
            <w:vAlign w:val="center"/>
          </w:tcPr>
          <w:p w14:paraId="154544D0">
            <w:r>
              <w:t>1.5kW</w:t>
            </w:r>
          </w:p>
        </w:tc>
        <w:tc>
          <w:tcPr>
            <w:tcW w:w="0" w:type="auto"/>
            <w:vAlign w:val="center"/>
          </w:tcPr>
          <w:p w14:paraId="170B515A">
            <w:r>
              <w:t>2.2kW</w:t>
            </w:r>
          </w:p>
        </w:tc>
        <w:tc>
          <w:tcPr>
            <w:tcW w:w="0" w:type="auto"/>
            <w:vAlign w:val="center"/>
          </w:tcPr>
          <w:p w14:paraId="30757627">
            <w:r>
              <w:t>3.0kW</w:t>
            </w:r>
          </w:p>
        </w:tc>
      </w:tr>
      <w:tr w14:paraId="6DEDEFF5">
        <w:tc>
          <w:tcPr>
            <w:tcW w:w="0" w:type="auto"/>
            <w:vAlign w:val="center"/>
          </w:tcPr>
          <w:p w14:paraId="48AC7E3C">
            <w:r>
              <w:t>电源规格</w:t>
            </w:r>
          </w:p>
        </w:tc>
        <w:tc>
          <w:tcPr>
            <w:tcW w:w="0" w:type="auto"/>
            <w:vAlign w:val="center"/>
          </w:tcPr>
          <w:p w14:paraId="1719D547">
            <w:r>
              <w:t>380V/50Hz</w:t>
            </w:r>
          </w:p>
        </w:tc>
        <w:tc>
          <w:tcPr>
            <w:tcW w:w="0" w:type="auto"/>
            <w:vAlign w:val="center"/>
          </w:tcPr>
          <w:p w14:paraId="3C4D4296">
            <w:r>
              <w:t>380V/50Hz</w:t>
            </w:r>
          </w:p>
        </w:tc>
        <w:tc>
          <w:tcPr>
            <w:tcW w:w="0" w:type="auto"/>
            <w:vAlign w:val="center"/>
          </w:tcPr>
          <w:p w14:paraId="25A147D7">
            <w:r>
              <w:t>380V/50Hz</w:t>
            </w:r>
          </w:p>
        </w:tc>
      </w:tr>
      <w:tr w14:paraId="5C3B549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79ADD7BC">
            <w:r>
              <w:t>防护等级</w:t>
            </w:r>
          </w:p>
        </w:tc>
        <w:tc>
          <w:tcPr>
            <w:tcW w:w="0" w:type="auto"/>
            <w:vAlign w:val="center"/>
          </w:tcPr>
          <w:p w14:paraId="757B1B2D">
            <w:r>
              <w:t>IP54</w:t>
            </w:r>
          </w:p>
        </w:tc>
        <w:tc>
          <w:tcPr>
            <w:tcW w:w="0" w:type="auto"/>
            <w:vAlign w:val="center"/>
          </w:tcPr>
          <w:p w14:paraId="4F65C7A4">
            <w:r>
              <w:t>IP54</w:t>
            </w:r>
          </w:p>
        </w:tc>
        <w:tc>
          <w:tcPr>
            <w:tcW w:w="0" w:type="auto"/>
            <w:vAlign w:val="center"/>
          </w:tcPr>
          <w:p w14:paraId="349138DC">
            <w:r>
              <w:t>IP54</w:t>
            </w:r>
          </w:p>
        </w:tc>
      </w:tr>
      <w:tr w14:paraId="1A1CEB3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030D3553">
            <w:r>
              <w:t>最大倾斜角度</w:t>
            </w:r>
          </w:p>
        </w:tc>
        <w:tc>
          <w:tcPr>
            <w:tcW w:w="0" w:type="auto"/>
            <w:vAlign w:val="center"/>
          </w:tcPr>
          <w:p w14:paraId="18628505">
            <w:r>
              <w:t>≤0.3°</w:t>
            </w:r>
          </w:p>
        </w:tc>
        <w:tc>
          <w:tcPr>
            <w:tcW w:w="0" w:type="auto"/>
            <w:vAlign w:val="center"/>
          </w:tcPr>
          <w:p w14:paraId="216423D8">
            <w:r>
              <w:t>≤0.4°</w:t>
            </w:r>
          </w:p>
        </w:tc>
        <w:tc>
          <w:tcPr>
            <w:tcW w:w="0" w:type="auto"/>
            <w:vAlign w:val="center"/>
          </w:tcPr>
          <w:p w14:paraId="61FABC4F">
            <w:r>
              <w:t>≤0.5°</w:t>
            </w:r>
          </w:p>
        </w:tc>
      </w:tr>
    </w:tbl>
    <w:p w14:paraId="6C1D5806">
      <w:r>
        <w:t>其中，定位精度通过“编码器+接近开关”双重检测实现：编码器（分辨率1024P/R）实时反馈平台位置，每层楼设置2个接近开关（检测距离5~15mm）作为校正点，当累计误差超过±0.5mm时自动触发校准。提升速度采用S型曲线控制，启动阶段加速度0.1m/s²，匀速阶段速度稳定在设定值±5%范围内，减速阶段减速度0.1m/s²，避免载荷冲击。</w:t>
      </w:r>
    </w:p>
    <w:p w14:paraId="4D670ABA">
      <w:pPr>
        <w:pStyle w:val="4"/>
      </w:pPr>
      <w:r>
        <w:t>1.3 粉尘环境下的结构优化设计</w:t>
      </w:r>
    </w:p>
    <w:p w14:paraId="425EEB06">
      <w:r>
        <w:t>针对低压线圈打磨过程中产生的环氧树脂粉尘（粒径≤10μm）和金属碎屑，升降机在结构设计上采取多重优化措施，重点解决粉尘堆积、侵入及磨损问题。</w:t>
      </w:r>
    </w:p>
    <w:p w14:paraId="0BC393AD">
      <w:r>
        <w:rPr>
          <w:b/>
        </w:rPr>
        <w:t>传动系统密封防护</w:t>
      </w:r>
      <w:r>
        <w:t>：丝杆与传动座结合处采用“双唇口防尘圈+伸缩式防护罩”组合方案。防尘圈选用聚氨酯材质（硬度邵氏A70~80），内侧唇口接触丝杆表面，外侧唇口与防护罩连接，形成第一道密封；防护罩采用风琴式结构（PVC涂层尼龙布），拉伸长度与最大提升高度匹配（如6m提升高度配8m防护罩），两端通过金属法兰分别固定在平台和支撑框架上，防护罩内设置支撑环（间隔300mm）防止塌陷，有效阻挡95%以上的大颗粒粉尘侵入。</w:t>
      </w:r>
    </w:p>
    <w:p w14:paraId="32D0A6D1">
      <w:r>
        <w:rPr>
          <w:b/>
        </w:rPr>
        <w:t>调节平台集尘设计</w:t>
      </w:r>
      <w:r>
        <w:t>：平台台面边缘开设5mm宽集尘槽（深度10mm），槽内铺设可拆卸式不锈钢滤网（目数120目），打磨产生的粉尘通过重力落入槽内，滤网阻隔大颗粒碎屑（≥100μm），细小粉尘通过滤网间隙进入下方集尘盒。集尘盒采用抽屉式结构，容积20L，前端安装透明观察窗，当粉尘堆积至2/3高度时可抽出清理，清理周期约3天（按每日8小时作业计）。平台底部安装4个吸尘口（直径50mm），与打磨房中央除尘系统连接（风量800m³/h），形成局部负压，将悬浮粉尘吸入除尘管道，使平台表面粉尘浓度控制在2mg/m³以下。</w:t>
      </w:r>
    </w:p>
    <w:p w14:paraId="6E183E22">
      <w:r>
        <w:rPr>
          <w:b/>
        </w:rPr>
        <w:t>导向系统防卡滞优化</w:t>
      </w:r>
      <w:r>
        <w:t>：滑轨外侧安装可拆卸式防尘盖板（铝合金材质），盖板与滑块间隙控制在1~2mm，防止粉尘直接落在滑轨表面；滑块内部设置自动润滑装置，通过弹簧推动油脂（特种锂基脂）缓慢渗出，润滑周期延长至200小时（常规环境为50小时），同时油脂在滑轨表面形成保护膜，减少粉尘附着。每侧滑轨底部安装刮尘板（聚氨酯材质，硬度邵氏A60），随平台升降刮除滑轨表面的粉尘，刮尘板磨损量超过2mm时需更换。</w:t>
      </w:r>
    </w:p>
    <w:p w14:paraId="07523CBA">
      <w:r>
        <w:t>某干变绕线车间应用案例显示，经上述优化后，升降机传动部件的粉尘清理周期从每周1次延长至每月1次，丝杆磨损量从0.05mm/月降至0.01mm/月，平台卡滞故障发生率下降82%，有效提升了设备运行可靠性。</w:t>
      </w:r>
    </w:p>
    <w:p w14:paraId="0E8F0FDA">
      <w:pPr>
        <w:pStyle w:val="3"/>
      </w:pPr>
      <w:r>
        <w:t>二、机械传动原理与液压系统分析</w:t>
      </w:r>
    </w:p>
    <w:p w14:paraId="0FFA3F16">
      <w:pPr>
        <w:pStyle w:val="4"/>
      </w:pPr>
      <w:r>
        <w:t>2.1 机械传动方式对比与选型分析</w:t>
      </w:r>
    </w:p>
    <w:p w14:paraId="3825ACA9">
      <w:r>
        <w:t>干变绕线车间升降机常用的机械传动方式包括液压传动、齿轮齿条传动及链条传动，三种方式在承载能力、传动精度、维护成本等方面差异显著，需结合车间实际需求选型。</w:t>
      </w:r>
    </w:p>
    <w:p w14:paraId="5F368275">
      <w:r>
        <w:rPr>
          <w:b/>
        </w:rPr>
        <w:t>液压传动</w:t>
      </w:r>
      <w:r>
        <w:t>：基于帕斯卡定律（压力在密闭液体中均匀传递），通过液压泵将电机机械能转化为液压能，经油缸推动平台升降。其核心优势在于承载能力强（单缸最大推力可达100kN），运行平稳性好（速度波动≤2%），可通过平衡阀实现无级调速（0.1~1.5m/min），且结构紧凑（油缸可卧式安装节省空间）。但液压系统存在泄漏风险（密封件寿命约8000小时），维护成本较高（需定期更换液压油和滤芯）。</w:t>
      </w:r>
    </w:p>
    <w:p w14:paraId="5550A35B">
      <w:r>
        <w:rPr>
          <w:b/>
        </w:rPr>
        <w:t>齿轮齿条传动</w:t>
      </w:r>
      <w:r>
        <w:t>：由电机驱动齿轮旋转，与固定齿条啮合实现直线运动。传动精度高（定位误差≤±0.1mm），响应速度快（加速时间≤0.5s），传动效率可达90%以上，且结构简单（无液压油污染问题）。但齿条拼接处存在齿距误差（≤0.05mm），易产生冲击振动（振幅≥0.1mm），承载能力受齿轮模数限制（模数8时最大推力约15kN），不适合重载场景。</w:t>
      </w:r>
    </w:p>
    <w:p w14:paraId="5B99E287">
      <w:r>
        <w:rPr>
          <w:b/>
        </w:rPr>
        <w:t>链条传动</w:t>
      </w:r>
      <w:r>
        <w:t>：通过电机驱动链轮，链条带动平台升降。成本低廉（约为液压系统的1/3），安装维护简便（链条张紧度可通过调节螺杆调整），但传动平稳性差（速度波动≥5%），链条拉伸量（0.2%/1000小时）导致定位精度下降，且运行噪音大（≥75dB），不适合对噪音敏感的打磨车间。</w:t>
      </w:r>
    </w:p>
    <w:p w14:paraId="16A2F381">
      <w:r>
        <w:t>结合干变绕线车间需求：①负载要求（额定1000kg，安全余量150kg）；②平稳性要求（打磨时平台振动≤0.05mm）；③粉尘环境（需密封防护），液压传动成为最优选型。具体对比参数如下表所示：</w:t>
      </w:r>
    </w:p>
    <w:tbl>
      <w:tblPr>
        <w:tblStyle w:val="50"/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160"/>
        <w:gridCol w:w="2160"/>
        <w:gridCol w:w="2160"/>
        <w:gridCol w:w="2160"/>
      </w:tblGrid>
      <w:tr w14:paraId="76B3A4C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07801176">
            <w:pPr>
              <w:jc w:val="center"/>
              <w:rPr>
                <w:b/>
              </w:rPr>
            </w:pPr>
            <w:r>
              <w:rPr>
                <w:b/>
              </w:rPr>
              <w:t>性能指标</w:t>
            </w:r>
          </w:p>
        </w:tc>
        <w:tc>
          <w:tcPr>
            <w:tcW w:w="0" w:type="auto"/>
            <w:vAlign w:val="center"/>
          </w:tcPr>
          <w:p w14:paraId="0209BE61">
            <w:pPr>
              <w:jc w:val="center"/>
              <w:rPr>
                <w:b/>
              </w:rPr>
            </w:pPr>
            <w:r>
              <w:rPr>
                <w:b/>
              </w:rPr>
              <w:t>液压传动</w:t>
            </w:r>
          </w:p>
        </w:tc>
        <w:tc>
          <w:tcPr>
            <w:tcW w:w="0" w:type="auto"/>
            <w:vAlign w:val="center"/>
          </w:tcPr>
          <w:p w14:paraId="0A211137">
            <w:pPr>
              <w:jc w:val="center"/>
              <w:rPr>
                <w:b/>
              </w:rPr>
            </w:pPr>
            <w:r>
              <w:rPr>
                <w:b/>
              </w:rPr>
              <w:t>齿轮齿条传动</w:t>
            </w:r>
          </w:p>
        </w:tc>
        <w:tc>
          <w:tcPr>
            <w:tcW w:w="0" w:type="auto"/>
            <w:vAlign w:val="center"/>
          </w:tcPr>
          <w:p w14:paraId="5DBCD0F4">
            <w:pPr>
              <w:jc w:val="center"/>
              <w:rPr>
                <w:b/>
              </w:rPr>
            </w:pPr>
            <w:r>
              <w:rPr>
                <w:b/>
              </w:rPr>
              <w:t>链条传动</w:t>
            </w:r>
          </w:p>
        </w:tc>
      </w:tr>
      <w:tr w14:paraId="6300D14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7C028413">
            <w:r>
              <w:t>额定承载能力</w:t>
            </w:r>
          </w:p>
        </w:tc>
        <w:tc>
          <w:tcPr>
            <w:tcW w:w="0" w:type="auto"/>
            <w:vAlign w:val="center"/>
          </w:tcPr>
          <w:p w14:paraId="75C57B51">
            <w:r>
              <w:t>1000kg（安全系数1.5）</w:t>
            </w:r>
          </w:p>
        </w:tc>
        <w:tc>
          <w:tcPr>
            <w:tcW w:w="0" w:type="auto"/>
            <w:vAlign w:val="center"/>
          </w:tcPr>
          <w:p w14:paraId="0526AC5D">
            <w:r>
              <w:t>600kg（安全系数1.2）</w:t>
            </w:r>
          </w:p>
        </w:tc>
        <w:tc>
          <w:tcPr>
            <w:tcW w:w="0" w:type="auto"/>
            <w:vAlign w:val="center"/>
          </w:tcPr>
          <w:p w14:paraId="6DAE6336">
            <w:r>
              <w:t>800kg（安全系数1.3）</w:t>
            </w:r>
          </w:p>
        </w:tc>
      </w:tr>
      <w:tr w14:paraId="489B18A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6F0A5771">
            <w:r>
              <w:t>传动效率</w:t>
            </w:r>
          </w:p>
        </w:tc>
        <w:tc>
          <w:tcPr>
            <w:tcW w:w="0" w:type="auto"/>
            <w:vAlign w:val="center"/>
          </w:tcPr>
          <w:p w14:paraId="2E9FA8E9">
            <w:r>
              <w:t>75%~85%</w:t>
            </w:r>
          </w:p>
        </w:tc>
        <w:tc>
          <w:tcPr>
            <w:tcW w:w="0" w:type="auto"/>
            <w:vAlign w:val="center"/>
          </w:tcPr>
          <w:p w14:paraId="692CC5AB">
            <w:r>
              <w:t>90%~95%</w:t>
            </w:r>
          </w:p>
        </w:tc>
        <w:tc>
          <w:tcPr>
            <w:tcW w:w="0" w:type="auto"/>
            <w:vAlign w:val="center"/>
          </w:tcPr>
          <w:p w14:paraId="7CF6021F">
            <w:r>
              <w:t>85%~90%</w:t>
            </w:r>
          </w:p>
        </w:tc>
      </w:tr>
      <w:tr w14:paraId="5F815C19">
        <w:tc>
          <w:tcPr>
            <w:tcW w:w="0" w:type="auto"/>
            <w:vAlign w:val="center"/>
          </w:tcPr>
          <w:p w14:paraId="68AFF756">
            <w:r>
              <w:t>定位精度</w:t>
            </w:r>
          </w:p>
        </w:tc>
        <w:tc>
          <w:tcPr>
            <w:tcW w:w="0" w:type="auto"/>
            <w:vAlign w:val="center"/>
          </w:tcPr>
          <w:p w14:paraId="22AC1767">
            <w:r>
              <w:t>±0.5mm</w:t>
            </w:r>
          </w:p>
        </w:tc>
        <w:tc>
          <w:tcPr>
            <w:tcW w:w="0" w:type="auto"/>
            <w:vAlign w:val="center"/>
          </w:tcPr>
          <w:p w14:paraId="65E75526">
            <w:r>
              <w:t>±0.1mm</w:t>
            </w:r>
          </w:p>
        </w:tc>
        <w:tc>
          <w:tcPr>
            <w:tcW w:w="0" w:type="auto"/>
            <w:vAlign w:val="center"/>
          </w:tcPr>
          <w:p w14:paraId="218F7EA1">
            <w:r>
              <w:t>±2mm</w:t>
            </w:r>
          </w:p>
        </w:tc>
      </w:tr>
      <w:tr w14:paraId="27C91F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3E9EFAA4">
            <w:r>
              <w:t>运行噪音</w:t>
            </w:r>
          </w:p>
        </w:tc>
        <w:tc>
          <w:tcPr>
            <w:tcW w:w="0" w:type="auto"/>
            <w:vAlign w:val="center"/>
          </w:tcPr>
          <w:p w14:paraId="08C17AE4">
            <w:r>
              <w:t>≤65dB</w:t>
            </w:r>
          </w:p>
        </w:tc>
        <w:tc>
          <w:tcPr>
            <w:tcW w:w="0" w:type="auto"/>
            <w:vAlign w:val="center"/>
          </w:tcPr>
          <w:p w14:paraId="3BACF099">
            <w:r>
              <w:t>≤70dB</w:t>
            </w:r>
          </w:p>
        </w:tc>
        <w:tc>
          <w:tcPr>
            <w:tcW w:w="0" w:type="auto"/>
            <w:vAlign w:val="center"/>
          </w:tcPr>
          <w:p w14:paraId="563124AC">
            <w:r>
              <w:t>≤75dB</w:t>
            </w:r>
          </w:p>
        </w:tc>
      </w:tr>
      <w:tr w14:paraId="47C9C91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4EAD1614">
            <w:r>
              <w:t>维护周期</w:t>
            </w:r>
          </w:p>
        </w:tc>
        <w:tc>
          <w:tcPr>
            <w:tcW w:w="0" w:type="auto"/>
            <w:vAlign w:val="center"/>
          </w:tcPr>
          <w:p w14:paraId="4C94C545">
            <w:r>
              <w:t>2000小时</w:t>
            </w:r>
          </w:p>
        </w:tc>
        <w:tc>
          <w:tcPr>
            <w:tcW w:w="0" w:type="auto"/>
            <w:vAlign w:val="center"/>
          </w:tcPr>
          <w:p w14:paraId="1B4FE0CF">
            <w:r>
              <w:t>1500小时</w:t>
            </w:r>
          </w:p>
        </w:tc>
        <w:tc>
          <w:tcPr>
            <w:tcW w:w="0" w:type="auto"/>
            <w:vAlign w:val="center"/>
          </w:tcPr>
          <w:p w14:paraId="6DF23A2B">
            <w:r>
              <w:t>1000小时</w:t>
            </w:r>
          </w:p>
        </w:tc>
      </w:tr>
      <w:tr w14:paraId="1B3BD06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5E9BF84F">
            <w:r>
              <w:t>粉尘适应性</w:t>
            </w:r>
          </w:p>
        </w:tc>
        <w:tc>
          <w:tcPr>
            <w:tcW w:w="0" w:type="auto"/>
            <w:vAlign w:val="center"/>
          </w:tcPr>
          <w:p w14:paraId="58CFCCD8">
            <w:r>
              <w:t>优（全密封结构）</w:t>
            </w:r>
          </w:p>
        </w:tc>
        <w:tc>
          <w:tcPr>
            <w:tcW w:w="0" w:type="auto"/>
            <w:vAlign w:val="center"/>
          </w:tcPr>
          <w:p w14:paraId="43989A41">
            <w:r>
              <w:t>中（需防尘罩）</w:t>
            </w:r>
          </w:p>
        </w:tc>
        <w:tc>
          <w:tcPr>
            <w:tcW w:w="0" w:type="auto"/>
            <w:vAlign w:val="center"/>
          </w:tcPr>
          <w:p w14:paraId="3958199A">
            <w:r>
              <w:t>差（链条暴露）</w:t>
            </w:r>
          </w:p>
        </w:tc>
      </w:tr>
    </w:tbl>
    <w:p w14:paraId="5A7F2B87">
      <w:r>
        <w:t>实际应用中，升降机采用双缸液压同步系统，两油缸并联连接，通过分流集流阀控制流量偏差≤3%，确保平台升降时倾斜度≤0.5°。液压系统工作压力设定为10MPa（油缸直径80mm，活塞杆直径45mm），可提供约40kN推力，满足1500kg负载（含安全余量）的驱动需求。</w:t>
      </w:r>
    </w:p>
    <w:p w14:paraId="4B2D029D">
      <w:pPr>
        <w:pStyle w:val="4"/>
      </w:pPr>
      <w:r>
        <w:t>2.2 液压系统组成与工作原理</w:t>
      </w:r>
    </w:p>
    <w:p w14:paraId="59AD357E">
      <w:r>
        <w:t>升降机液压系统采用“开式回路”设计，核心组成包括动力元件、执行元件、控制元件、辅助元件及工作介质，各部分协同实现能量传递与运动控制。</w:t>
      </w:r>
    </w:p>
    <w:p w14:paraId="68F838F2">
      <w:r>
        <w:rPr>
          <w:b/>
        </w:rPr>
        <w:t>动力元件</w:t>
      </w:r>
      <w:r>
        <w:t>：选用CB-B10齿轮泵（额定转速1450r/min，排量10mL/r），由3kW三相异步电机驱动，吸油口安装粗过滤器（精度80μm），防止油箱内杂质进入泵体。泵的额定工作压力16MPa，容积效率≥90%，当系统压力超过12MPa时，溢流阀（YF-L10H4）开启卸荷，保护泵及管路安全。</w:t>
      </w:r>
    </w:p>
    <w:p w14:paraId="076A490B">
      <w:r>
        <w:rPr>
          <w:b/>
        </w:rPr>
        <w:t>执行元件</w:t>
      </w:r>
      <w:r>
        <w:t>：采用双作用单活塞杆油缸（型号HSG80/45-600），缸筒材质20#无缝钢管（内壁粗糙度Ra0.8μm），活塞杆45#钢镀铬（镀层厚度0.05~0.08mm），密封件选用聚氨酯U形圈（耐温-20~80℃）。油缸底部安装液压锁（DF-B10H1），通过锥阀实现双向密封，当系统失压时锁闭油缸，防止平台坠落（保压时间≥24小时，沉降量≤5mm）。</w:t>
      </w:r>
    </w:p>
    <w:p w14:paraId="4DFEADB7">
      <w:r>
        <w:rPr>
          <w:b/>
        </w:rPr>
        <w:t>控制元件</w:t>
      </w:r>
      <w:r>
        <w:t>：</w:t>
      </w:r>
    </w:p>
    <w:p w14:paraId="24BC3D65">
      <w:pPr>
        <w:numPr>
          <w:ilvl w:val="0"/>
          <w:numId w:val="13"/>
        </w:numPr>
        <w:spacing w:before="0" w:beforeAutospacing="1" w:after="0" w:afterAutospacing="1"/>
        <w:ind w:left="720" w:hanging="360"/>
      </w:pPr>
      <w:r>
        <w:rPr>
          <w:b/>
        </w:rPr>
        <w:t>电磁换向阀（34EO-B10H-T）</w:t>
      </w:r>
      <w:r>
        <w:t>：三位四通阀，中位机能为O型（各油口封闭），通过电磁铁得失电控制油路方向，实现平台上升（左位）、下降（右位）或停止（中位）。电磁铁电压DC24V，响应时间≤0.1s。</w:t>
      </w:r>
    </w:p>
    <w:p w14:paraId="76006D29">
      <w:pPr>
        <w:numPr>
          <w:ilvl w:val="0"/>
          <w:numId w:val="13"/>
        </w:numPr>
        <w:spacing w:before="0" w:beforeAutospacing="1" w:after="0" w:afterAutospacing="1"/>
        <w:ind w:left="720" w:hanging="360"/>
      </w:pPr>
      <w:r>
        <w:rPr>
          <w:b/>
        </w:rPr>
        <w:t>平衡阀（FDF-B10H）</w:t>
      </w:r>
      <w:r>
        <w:t>：串联在油缸下腔油路，通过控制油口压力调节开度，使平台下降速度不受负载影响（速度稳定性±3%），同时防止超速下降（最大下降速度1.5m/min）。</w:t>
      </w:r>
    </w:p>
    <w:p w14:paraId="610C9845">
      <w:pPr>
        <w:numPr>
          <w:ilvl w:val="0"/>
          <w:numId w:val="13"/>
        </w:numPr>
        <w:spacing w:before="0" w:beforeAutospacing="1" w:after="0" w:afterAutospacing="1"/>
        <w:ind w:left="720" w:hanging="360"/>
      </w:pPr>
      <w:r>
        <w:rPr>
          <w:b/>
        </w:rPr>
        <w:t>单向节流阀（L-10H）</w:t>
      </w:r>
      <w:r>
        <w:t>：安装在油缸上腔进油路，通过调节节流口开度（通径0.5~5mm）控制上升速度，实现无级调速。</w:t>
      </w:r>
    </w:p>
    <w:p w14:paraId="563DB60E">
      <w:r>
        <w:rPr>
          <w:b/>
        </w:rPr>
        <w:t>辅助元件</w:t>
      </w:r>
      <w:r>
        <w:t>：油箱容积80L，采用钢板焊接（厚度3mm），内设隔板将吸回油腔分离，顶部安装空气滤清器（带干燥剂，过滤精度40μm），侧面安装液位计（量程0~80L）和温度计（量程0~100℃）。回油路上安装精过滤器（精度10μm，β10≥75），过滤系统污染物，当滤芯压差超过0.3MPa时发讯报警。</w:t>
      </w:r>
    </w:p>
    <w:p w14:paraId="3ADFBB4C">
      <w:r>
        <w:rPr>
          <w:b/>
        </w:rPr>
        <w:t>工作流程</w:t>
      </w:r>
      <w:r>
        <w:t>：</w:t>
      </w:r>
    </w:p>
    <w:p w14:paraId="7F7FA055">
      <w:pPr>
        <w:numPr>
          <w:ilvl w:val="0"/>
          <w:numId w:val="14"/>
        </w:numPr>
        <w:spacing w:before="0" w:beforeAutospacing="1" w:after="0" w:afterAutospacing="1"/>
        <w:ind w:left="720" w:hanging="360"/>
      </w:pPr>
      <w:r>
        <w:rPr>
          <w:b/>
        </w:rPr>
        <w:t>上升过程</w:t>
      </w:r>
      <w:r>
        <w:t>：电磁换向阀左电磁铁得电，压力油经换向阀左位→单向节流阀→油缸上腔，推动活塞杆伸出；油缸下腔油液经液压锁→换向阀左位→回油过滤器→油箱。通过调节节流阀开度控制上升速度（0.5~1.5m/min）。</w:t>
      </w:r>
    </w:p>
    <w:p w14:paraId="171186AC">
      <w:pPr>
        <w:numPr>
          <w:ilvl w:val="0"/>
          <w:numId w:val="14"/>
        </w:numPr>
        <w:spacing w:before="0" w:beforeAutospacing="1" w:after="0" w:afterAutospacing="1"/>
        <w:ind w:left="720" w:hanging="360"/>
      </w:pPr>
      <w:r>
        <w:rPr>
          <w:b/>
        </w:rPr>
        <w:t>下降过程</w:t>
      </w:r>
      <w:r>
        <w:t>：电磁换向阀右电磁铁得电，压力油经换向阀右位→液压锁控制油口→打开液压锁，同时压力油进入平衡阀控制腔；油缸上腔油液经换向阀右位→回油过滤器→油箱，下腔油液经平衡阀节流口→换向阀右位→回油过滤器→油箱，平衡阀控制下降速度。</w:t>
      </w:r>
    </w:p>
    <w:p w14:paraId="43A7928F">
      <w:pPr>
        <w:numPr>
          <w:ilvl w:val="0"/>
          <w:numId w:val="14"/>
        </w:numPr>
        <w:spacing w:before="0" w:beforeAutospacing="1" w:after="0" w:afterAutospacing="1"/>
        <w:ind w:left="720" w:hanging="360"/>
      </w:pPr>
      <w:r>
        <w:rPr>
          <w:b/>
        </w:rPr>
        <w:t>停止过程</w:t>
      </w:r>
      <w:r>
        <w:t>：电磁换向阀失电，中位封闭油路，液压锁锁闭油缸下腔，平台停止在当前位置。</w:t>
      </w:r>
    </w:p>
    <w:p w14:paraId="20345982">
      <w:r>
        <w:t>液压系统通过上述元件协同工作，实现了升降机的平稳升降、精准调速及安全锁止，满足低压线圈打磨的工艺要求。</w:t>
      </w:r>
    </w:p>
    <w:p w14:paraId="7A505031">
      <w:pPr>
        <w:pStyle w:val="4"/>
      </w:pPr>
      <w:r>
        <w:t>2.3 粉尘环境下的液压系统防护措施</w:t>
      </w:r>
    </w:p>
    <w:p w14:paraId="323A87D7">
      <w:r>
        <w:t>粉尘环境（尤其是环氧树脂粉尘）对液压系统的危害主要体现在：①固体颗粒进入液压元件，导致阀芯卡滞、磨损加剧；②粉尘堆积堵塞过滤器，引起系统压力损失增大；③导电性粉尘附着电气元件，引发短路故障。为此，需从过滤、密封、维护三方面构建防护体系。</w:t>
      </w:r>
    </w:p>
    <w:p w14:paraId="66BDE3EE">
      <w:r>
        <w:rPr>
          <w:b/>
        </w:rPr>
        <w:t>三级过滤系统</w:t>
      </w:r>
      <w:r>
        <w:t>：</w:t>
      </w:r>
    </w:p>
    <w:p w14:paraId="58147C33">
      <w:pPr>
        <w:numPr>
          <w:ilvl w:val="0"/>
          <w:numId w:val="15"/>
        </w:numPr>
        <w:spacing w:before="0" w:beforeAutospacing="1" w:after="0" w:afterAutospacing="1"/>
        <w:ind w:left="720" w:hanging="360"/>
      </w:pPr>
      <w:r>
        <w:rPr>
          <w:b/>
        </w:rPr>
        <w:t>吸油过滤</w:t>
      </w:r>
      <w:r>
        <w:t>：在油箱吸油口安装网式过滤器（WU-100×80-J），过滤精度80μm，通流能力100L/min，滤芯采用铜丝网（目数200目），可反复清洗使用。当滤芯堵塞导致吸油真空度超过0.02MPa时，需拆卸清洗。</w:t>
      </w:r>
    </w:p>
    <w:p w14:paraId="083543B7">
      <w:pPr>
        <w:numPr>
          <w:ilvl w:val="0"/>
          <w:numId w:val="15"/>
        </w:numPr>
        <w:spacing w:before="0" w:beforeAutospacing="1" w:after="0" w:afterAutospacing="1"/>
        <w:ind w:left="720" w:hanging="360"/>
      </w:pPr>
      <w:r>
        <w:rPr>
          <w:b/>
        </w:rPr>
        <w:t>压力过滤</w:t>
      </w:r>
      <w:r>
        <w:t>：在齿轮泵出口安装高压过滤器（DFBN/HC100QE10C1.X），过滤精度10μm，额定压力21MPa，采用玻璃纤维滤芯（β10≥1000），截留99.9%的10μm以上颗粒。滤芯内置旁通阀，当压差超过0.5MPa时自动开启（旁通流量≥80%额定流量），防止泵过载。</w:t>
      </w:r>
    </w:p>
    <w:p w14:paraId="4A8B6CC5">
      <w:pPr>
        <w:numPr>
          <w:ilvl w:val="0"/>
          <w:numId w:val="15"/>
        </w:numPr>
        <w:spacing w:before="0" w:beforeAutospacing="1" w:after="0" w:afterAutospacing="1"/>
        <w:ind w:left="720" w:hanging="360"/>
      </w:pPr>
      <w:r>
        <w:rPr>
          <w:b/>
        </w:rPr>
        <w:t>回油过滤</w:t>
      </w:r>
      <w:r>
        <w:t>：在系统回油路上安装回油过滤器（RFA-63×10L-Y），过滤精度10μm，带发讯装置（压差0.3MPa时报警），滤芯材质为化纤滤纸，需定期更换（更换周期约500小时）。</w:t>
      </w:r>
    </w:p>
    <w:p w14:paraId="18957061">
      <w:r>
        <w:t>某煤矿液压系统应用数据显示，采用三级过滤后，油液污染度可控制在ISO 4406 16/13级（每毫升油液中≥4μm颗粒≤2500个，≥6μm颗粒≤640个），系统平均无故障时间从300小时延长至1500小时。</w:t>
      </w:r>
    </w:p>
    <w:p w14:paraId="043D2A2F">
      <w:r>
        <w:rPr>
          <w:b/>
        </w:rPr>
        <w:t>全密封防护设计</w:t>
      </w:r>
      <w:r>
        <w:t>：</w:t>
      </w:r>
    </w:p>
    <w:p w14:paraId="4D010BA8">
      <w:pPr>
        <w:numPr>
          <w:ilvl w:val="0"/>
          <w:numId w:val="16"/>
        </w:numPr>
        <w:spacing w:before="0" w:beforeAutospacing="1" w:after="0" w:afterAutospacing="1"/>
        <w:ind w:left="720" w:hanging="360"/>
      </w:pPr>
      <w:r>
        <w:rPr>
          <w:b/>
        </w:rPr>
        <w:t>液压元件密封</w:t>
      </w:r>
      <w:r>
        <w:t>：电磁换向阀、平衡阀等元件选用IP65防护等级产品，接线盒采用防水型（带格兰头），电缆入口处填充密封胶（704硅橡胶）。油缸活塞杆伸出端安装防尘圈（聚氨酯材质）和刮油器（聚氨酯+金属骨架），刮除活塞杆表面附着的粉尘，刮油器唇边与活塞杆过盈量0.3~0.5mm。</w:t>
      </w:r>
    </w:p>
    <w:p w14:paraId="28188285">
      <w:pPr>
        <w:numPr>
          <w:ilvl w:val="0"/>
          <w:numId w:val="16"/>
        </w:numPr>
        <w:spacing w:before="0" w:beforeAutospacing="1" w:after="0" w:afterAutospacing="1"/>
        <w:ind w:left="720" w:hanging="360"/>
      </w:pPr>
      <w:r>
        <w:rPr>
          <w:b/>
        </w:rPr>
        <w:t>管路连接密封</w:t>
      </w:r>
      <w:r>
        <w:t>：高压油管采用卡套式接头（型号24°锥），卡套材料H62黄铜，装配时保证卡套切入钢管深度0.2~0.3mm，无渗漏。低压回油管采用法兰连接，法兰面加装耐油橡胶垫片（厚度3mm），螺栓拧紧扭矩按M10螺栓30~35N·m控制。</w:t>
      </w:r>
    </w:p>
    <w:p w14:paraId="6F5A9C71">
      <w:pPr>
        <w:numPr>
          <w:ilvl w:val="0"/>
          <w:numId w:val="16"/>
        </w:numPr>
        <w:spacing w:before="0" w:beforeAutospacing="1" w:after="0" w:afterAutospacing="1"/>
        <w:ind w:left="720" w:hanging="360"/>
      </w:pPr>
      <w:r>
        <w:rPr>
          <w:b/>
        </w:rPr>
        <w:t>电气控制箱密封</w:t>
      </w:r>
      <w:r>
        <w:t>：控制箱采用双层门结构，外层门安装观察窗（钢化玻璃厚度5mm），内层门铺设密封胶条（氯丁橡胶），门框开设迷宫式沟槽，防止粉尘从缝隙进入。箱内安装正压通风装置（风量50m³/h），保持箱内压力高于外界50Pa，阻止粉尘侵入。</w:t>
      </w:r>
    </w:p>
    <w:p w14:paraId="4B806B41">
      <w:r>
        <w:rPr>
          <w:b/>
        </w:rPr>
        <w:t>针对性维护策略</w:t>
      </w:r>
      <w:r>
        <w:t>：</w:t>
      </w:r>
    </w:p>
    <w:p w14:paraId="15630846">
      <w:pPr>
        <w:numPr>
          <w:ilvl w:val="0"/>
          <w:numId w:val="17"/>
        </w:numPr>
        <w:spacing w:before="0" w:beforeAutospacing="1" w:after="0" w:afterAutospacing="1"/>
        <w:ind w:left="720" w:hanging="360"/>
      </w:pPr>
      <w:r>
        <w:rPr>
          <w:b/>
        </w:rPr>
        <w:t>油液检测</w:t>
      </w:r>
      <w:r>
        <w:t>：每月取油样检测污染度（采用便携式颗粒计数器），当污染度超过ISO 4406 18/15级时，需更换液压油。新油注入前需通过离线过滤装置（精度3μm）循环过滤2小时，确保清洁度达标。</w:t>
      </w:r>
    </w:p>
    <w:p w14:paraId="0ECAC9EC">
      <w:pPr>
        <w:numPr>
          <w:ilvl w:val="0"/>
          <w:numId w:val="17"/>
        </w:numPr>
        <w:spacing w:before="0" w:beforeAutospacing="1" w:after="0" w:afterAutospacing="1"/>
        <w:ind w:left="720" w:hanging="360"/>
      </w:pPr>
      <w:r>
        <w:rPr>
          <w:b/>
        </w:rPr>
        <w:t>密封件更换</w:t>
      </w:r>
      <w:r>
        <w:t>：每1000小时检查电磁换向阀、液压锁的密封件，若发现老化、裂纹（深度≥0.2mm）或压缩永久变形（≥25%），立即更换。密封件优先选用氟橡胶（FKM）材质，耐温范围-20~200℃，耐油性优于丁腈橡胶。</w:t>
      </w:r>
    </w:p>
    <w:p w14:paraId="45989C2F">
      <w:pPr>
        <w:numPr>
          <w:ilvl w:val="0"/>
          <w:numId w:val="17"/>
        </w:numPr>
        <w:spacing w:before="0" w:beforeAutospacing="1" w:after="0" w:afterAutospacing="1"/>
        <w:ind w:left="720" w:hanging="360"/>
      </w:pPr>
      <w:r>
        <w:rPr>
          <w:b/>
        </w:rPr>
        <w:t>定期冲洗</w:t>
      </w:r>
      <w:r>
        <w:t>：每2000小时对液压系统进行循环冲洗，方法为：拆除油缸进出油管，接入临时回路，启动油泵以30%额定流量冲洗2小时，冲洗油采用与系统同型号的液压油（46#抗磨液压油），冲洗后更换所有过滤器滤芯。</w:t>
      </w:r>
    </w:p>
    <w:p w14:paraId="166C855E">
      <w:r>
        <w:t>通过上述措施，某水泥机械液压系统在粉尘浓度8mg/m³环境下，密封圈寿命从6个月延长至14个月，阀组故障率下降75%，验证了防护体系的有效性。</w:t>
      </w:r>
    </w:p>
    <w:p w14:paraId="68853BBA">
      <w:pPr>
        <w:pStyle w:val="3"/>
      </w:pPr>
      <w:r>
        <w:t>三、电气控制系统与PLC智能控制</w:t>
      </w:r>
    </w:p>
    <w:p w14:paraId="50A7F73D">
      <w:pPr>
        <w:pStyle w:val="4"/>
      </w:pPr>
      <w:r>
        <w:t>3.1 PLC智能控制系统架构设计</w:t>
      </w:r>
    </w:p>
    <w:p w14:paraId="4CB5347B">
      <w:r>
        <w:t>升降机电气控制系统采用“PLC+变频驱动+传感器网络”的分层架构，以西门子S7-1214C DC/DC/DC PLC为主控核心，实现升降过程的精准控制、安全保护及故障诊断。系统架构分为感知层、控制层、执行层三层，各层通过工业总线协同工作。</w:t>
      </w:r>
    </w:p>
    <w:p w14:paraId="3E00E1E9">
      <w:r>
        <w:rPr>
          <w:b/>
        </w:rPr>
        <w:t>感知层</w:t>
      </w:r>
      <w:r>
        <w:t>：负责采集设备运行状态参数，包括：</w:t>
      </w:r>
    </w:p>
    <w:p w14:paraId="291F8456">
      <w:pPr>
        <w:numPr>
          <w:ilvl w:val="0"/>
          <w:numId w:val="18"/>
        </w:numPr>
        <w:spacing w:before="0" w:beforeAutospacing="1" w:after="0" w:afterAutospacing="1"/>
        <w:ind w:left="720" w:hanging="360"/>
      </w:pPr>
      <w:r>
        <w:rPr>
          <w:b/>
        </w:rPr>
        <w:t>位置检测</w:t>
      </w:r>
      <w:r>
        <w:t>：在丝杆底部安装绝对值编码器（倍加福RVI58N-011K1R61N-1024），分辨率1024P/R，通过PROFINET总线与PLC通讯，实时反馈平台位置（精度±0.1mm）。编码器防护等级IP67，适应粉尘环境。</w:t>
      </w:r>
    </w:p>
    <w:p w14:paraId="2DBAE41A">
      <w:pPr>
        <w:numPr>
          <w:ilvl w:val="0"/>
          <w:numId w:val="18"/>
        </w:numPr>
        <w:spacing w:before="0" w:beforeAutospacing="1" w:after="0" w:afterAutospacing="1"/>
        <w:ind w:left="720" w:hanging="360"/>
      </w:pPr>
      <w:r>
        <w:rPr>
          <w:b/>
        </w:rPr>
        <w:t>安全限位</w:t>
      </w:r>
      <w:r>
        <w:t>：在升降行程上下端各安装2个限位开关（施耐德XCK-M121），分别为预警限位（上/下限位1）和紧急限位（上/下限位2），均为常闭触点，串联接入安全继电器（PILZ PNOZ X3）。</w:t>
      </w:r>
    </w:p>
    <w:p w14:paraId="3FAF91C5">
      <w:pPr>
        <w:numPr>
          <w:ilvl w:val="0"/>
          <w:numId w:val="18"/>
        </w:numPr>
        <w:spacing w:before="0" w:beforeAutospacing="1" w:after="0" w:afterAutospacing="1"/>
        <w:ind w:left="720" w:hanging="360"/>
      </w:pPr>
      <w:r>
        <w:rPr>
          <w:b/>
        </w:rPr>
        <w:t>负载检测</w:t>
      </w:r>
      <w:r>
        <w:t>：在平台底部安装拉力传感器（中航电测YZC-516），量程0~2t，输出4~20mA信号，经模拟量输入模块（SM 1231 AI 4×I 13bit）接入PLC，检测负载是否超过额定值110%。</w:t>
      </w:r>
    </w:p>
    <w:p w14:paraId="5141F474">
      <w:pPr>
        <w:numPr>
          <w:ilvl w:val="0"/>
          <w:numId w:val="18"/>
        </w:numPr>
        <w:spacing w:before="0" w:beforeAutospacing="1" w:after="0" w:afterAutospacing="1"/>
        <w:ind w:left="720" w:hanging="360"/>
      </w:pPr>
      <w:r>
        <w:rPr>
          <w:b/>
        </w:rPr>
        <w:t>状态监测</w:t>
      </w:r>
      <w:r>
        <w:t>：电机绕组安装PTC热敏电阻（10kΩ@25℃），检测温度超过150℃时输出报警信号；液压系统安装压力变送器（森纳士PX309-030G10V），量程0~30MPa，监测系统压力异常。</w:t>
      </w:r>
    </w:p>
    <w:p w14:paraId="10E5CAE3">
      <w:r>
        <w:rPr>
          <w:b/>
        </w:rPr>
        <w:t>控制层</w:t>
      </w:r>
      <w:r>
        <w:t>：以PLC为核心，集成逻辑控制、运动控制、安全保护功能。PLC选用西门子S7-1214C（DC/DC/DC），配备14点数字量输入（DI）、10点数字量输出（DO）、2路模拟量输入（AI）、1路模拟量输出（AO），支持PROFINET通讯（传输速率100Mbps）。编程软件采用TIA Portal V16，控制程序采用结构化编程，分为主程序（OB1）和功能块（FB），主要功能块包括：</w:t>
      </w:r>
    </w:p>
    <w:p w14:paraId="76D6D0BD">
      <w:pPr>
        <w:numPr>
          <w:ilvl w:val="0"/>
          <w:numId w:val="19"/>
        </w:numPr>
        <w:spacing w:before="0" w:beforeAutospacing="1" w:after="0" w:afterAutospacing="1"/>
        <w:ind w:left="720" w:hanging="360"/>
      </w:pPr>
      <w:r>
        <w:rPr>
          <w:b/>
        </w:rPr>
        <w:t>FB10：升降控制</w:t>
      </w:r>
      <w:r>
        <w:t>：实现平台上升、下降、停止的逻辑控制，包含速度规划、位置闭环调节算法。</w:t>
      </w:r>
    </w:p>
    <w:p w14:paraId="4F994AD9">
      <w:pPr>
        <w:numPr>
          <w:ilvl w:val="0"/>
          <w:numId w:val="19"/>
        </w:numPr>
        <w:spacing w:before="0" w:beforeAutospacing="1" w:after="0" w:afterAutospacing="1"/>
        <w:ind w:left="720" w:hanging="360"/>
      </w:pPr>
      <w:r>
        <w:rPr>
          <w:b/>
        </w:rPr>
        <w:t>FB20：安全监控</w:t>
      </w:r>
      <w:r>
        <w:t>：实时监测限位开关、急停按钮、过载信号，触发安全保护动作（如切断变频器输出、启动制动）。</w:t>
      </w:r>
    </w:p>
    <w:p w14:paraId="22A0D49E">
      <w:pPr>
        <w:numPr>
          <w:ilvl w:val="0"/>
          <w:numId w:val="19"/>
        </w:numPr>
        <w:spacing w:before="0" w:beforeAutospacing="1" w:after="0" w:afterAutospacing="1"/>
        <w:ind w:left="720" w:hanging="360"/>
      </w:pPr>
      <w:r>
        <w:rPr>
          <w:b/>
        </w:rPr>
        <w:t>FB30：故障诊断</w:t>
      </w:r>
      <w:r>
        <w:t>：采集传感器故障、通讯故障、电气故障信号，生成故障代码并存储到PLC诊断缓冲区。</w:t>
      </w:r>
    </w:p>
    <w:p w14:paraId="4AABC0ED">
      <w:r>
        <w:rPr>
          <w:b/>
        </w:rPr>
        <w:t>执行层</w:t>
      </w:r>
      <w:r>
        <w:t>：包括变频驱动和制动系统。变频器选用西门子MM440（型号6SE6440-2UD23-0BA1），额定功率3kW，输出频率0~60Hz，通过模拟量输入（AI1：4~20mA）接收PLC的速度给定信号，控制电机转速（0~1500r/min）。电机轴端安装电磁制动器（型号DZD1-100），DC24V供电，制动扭矩15N·m，失电时弹簧抱闸，制动响应时间≤0.1s。</w:t>
      </w:r>
    </w:p>
    <w:p w14:paraId="5F8DAC5D">
      <w:r>
        <w:t>人机交互界面采用昆仑通态TPC1061Ti触摸屏（10.1英寸），通过RS485串口（MODBUS RTU协议）与PLC通讯，显示设备运行参数（位置、速度、负载）、故障代码及维护提示，支持手动/自动模式切换、目标位置设定等操作。</w:t>
      </w:r>
    </w:p>
    <w:p w14:paraId="4E519328">
      <w:pPr>
        <w:pStyle w:val="4"/>
      </w:pPr>
      <w:r>
        <w:t>3.2 输入输出接口与控制逻辑设计</w:t>
      </w:r>
    </w:p>
    <w:p w14:paraId="6B59ACA0">
      <w:r>
        <w:t>输入输出（I/O）接口是PLC与外部设备信息交互的桥梁，其配置需满足信号类型、容量、防护等级等要求；控制逻辑则决定设备的动作流程，需兼顾功能性与安全性。</w:t>
      </w:r>
    </w:p>
    <w:p w14:paraId="11A7DAF0">
      <w:r>
        <w:rPr>
          <w:b/>
        </w:rPr>
        <w:t>I/O接口配置</w:t>
      </w:r>
      <w:r>
        <w:t>：</w:t>
      </w:r>
    </w:p>
    <w:p w14:paraId="03930E27">
      <w:pPr>
        <w:numPr>
          <w:ilvl w:val="0"/>
          <w:numId w:val="20"/>
        </w:numPr>
        <w:spacing w:before="0" w:beforeAutospacing="1" w:after="0" w:afterAutospacing="1"/>
        <w:ind w:left="720" w:hanging="360"/>
      </w:pPr>
      <w:r>
        <w:rPr>
          <w:b/>
        </w:rPr>
        <w:t>数字量输入（DI）</w:t>
      </w:r>
      <w:r>
        <w:t>：共14点，DC24V供电，光电隔离（隔离电压2500V AC），响应时间≤10ms。主要接入信号包括：操作台按钮（上升SB1、下降SB2、急停SB3）、限位开关（上限位1SQ1、上限位2SQ2、下限位1SQ3、下限位2SQ4）、安全门开关（SQ5~SQ8，4个门）、过载信号（KA1）、电机过热（KA2）。其中，急停按钮（SB3）采用双通道设计，接入DI0.0和DI0.1，确保单通道故障时仍能触发急停。</w:t>
      </w:r>
    </w:p>
    <w:p w14:paraId="7044E9F2">
      <w:pPr>
        <w:numPr>
          <w:ilvl w:val="0"/>
          <w:numId w:val="20"/>
        </w:numPr>
        <w:spacing w:before="0" w:beforeAutospacing="1" w:after="0" w:afterAutospacing="1"/>
        <w:ind w:left="720" w:hanging="360"/>
      </w:pPr>
      <w:r>
        <w:rPr>
          <w:b/>
        </w:rPr>
        <w:t>数字量输出（DO）</w:t>
      </w:r>
      <w:r>
        <w:t>：共10点，DC24V/0.5A，晶体管输出，驱动外部继电器或电磁阀。主要输出信号：变频器启动（Q0.0）、变频器正转（Q0.1）、变频器反转（Q0.2）、电磁制动器松闸（Q0.3）、上升指示灯（Q0.4）、下降指示灯（Q0.5）、故障报警（Q0.6）、液压泵启动（Q0.7）。输出回路串联自恢复保险丝（5A），防止过载损坏PLC。</w:t>
      </w:r>
    </w:p>
    <w:p w14:paraId="50C95514">
      <w:pPr>
        <w:numPr>
          <w:ilvl w:val="0"/>
          <w:numId w:val="20"/>
        </w:numPr>
        <w:spacing w:before="0" w:beforeAutospacing="1" w:after="0" w:afterAutospacing="1"/>
        <w:ind w:left="720" w:hanging="360"/>
      </w:pPr>
      <w:r>
        <w:rPr>
          <w:b/>
        </w:rPr>
        <w:t>模拟量输入（AI）</w:t>
      </w:r>
      <w:r>
        <w:t>：2路，13位分辨率，输入信号4~20mA。AI0接入拉力传感器信号（0~2t对应4~20mA），AI1接入压力变送器信号（0~30MPa对应4~20mA）。通过PLC内部比例换算（如AI0：20mA→2000kg），实现负载和压力的数字化监测。</w:t>
      </w:r>
    </w:p>
    <w:p w14:paraId="4CE19BEB">
      <w:pPr>
        <w:numPr>
          <w:ilvl w:val="0"/>
          <w:numId w:val="20"/>
        </w:numPr>
        <w:spacing w:before="0" w:beforeAutospacing="1" w:after="0" w:afterAutospacing="1"/>
        <w:ind w:left="720" w:hanging="360"/>
      </w:pPr>
      <w:r>
        <w:rPr>
          <w:b/>
        </w:rPr>
        <w:t>模拟量输出（AO）</w:t>
      </w:r>
      <w:r>
        <w:t>：1路，12位分辨率，输出信号4~20mA，控制变频器频率（0~50Hz对应4~20mA）。通过调节AO输出电流，实现电机转速的无级调节。</w:t>
      </w:r>
    </w:p>
    <w:p w14:paraId="6E26E282">
      <w:r>
        <w:rPr>
          <w:b/>
        </w:rPr>
        <w:t>控制逻辑设计</w:t>
      </w:r>
      <w:r>
        <w:t>：以平台上升过程为例，控制流程如下：</w:t>
      </w:r>
    </w:p>
    <w:p w14:paraId="5FCFF8B1">
      <w:pPr>
        <w:numPr>
          <w:ilvl w:val="0"/>
          <w:numId w:val="21"/>
        </w:numPr>
        <w:spacing w:before="0" w:beforeAutospacing="1" w:after="0" w:afterAutospacing="1"/>
        <w:ind w:left="720" w:hanging="360"/>
      </w:pPr>
      <w:r>
        <w:rPr>
          <w:b/>
        </w:rPr>
        <w:t>指令输入</w:t>
      </w:r>
      <w:r>
        <w:t>：操作员按下操作台“上升”按钮（SB1），DI0.2信号置1，PLC检测安全门开关（SQ5~SQ8）均闭合（DI0.5~DI0.8置1），过载信号未触发（DI1.0置0），允许上升。</w:t>
      </w:r>
    </w:p>
    <w:p w14:paraId="53C9D9E8">
      <w:pPr>
        <w:numPr>
          <w:ilvl w:val="0"/>
          <w:numId w:val="21"/>
        </w:numPr>
        <w:spacing w:before="0" w:beforeAutospacing="1" w:after="0" w:afterAutospacing="1"/>
        <w:ind w:left="720" w:hanging="360"/>
      </w:pPr>
      <w:r>
        <w:rPr>
          <w:b/>
        </w:rPr>
        <w:t>速度规划</w:t>
      </w:r>
      <w:r>
        <w:t>：PLC调用FB10功能块，根据当前位置（编码器反馈值）和目标位置（操作员设定值），生成S型速度曲线：启动阶段（0→1.5m/min），加速度0.1m/s²；匀速阶段（1.5m/min）；减速阶段（1.5→0m/min），减速度0.1m/s²。</w:t>
      </w:r>
    </w:p>
    <w:p w14:paraId="611D83F7">
      <w:pPr>
        <w:numPr>
          <w:ilvl w:val="0"/>
          <w:numId w:val="21"/>
        </w:numPr>
        <w:spacing w:before="0" w:beforeAutospacing="1" w:after="0" w:afterAutospacing="1"/>
        <w:ind w:left="720" w:hanging="360"/>
      </w:pPr>
      <w:r>
        <w:rPr>
          <w:b/>
        </w:rPr>
        <w:t>执行输出</w:t>
      </w:r>
      <w:r>
        <w:t>：PLC输出变频器启动（Q0.0置1）、正转信号（Q0.1置1），同时通过AO模块输出4~20mA电流（对应0~50Hz），控制电机加速运行；延迟0.5s后，输出电磁制动器松闸信号（Q0.3置1），平台开始上升。</w:t>
      </w:r>
    </w:p>
    <w:p w14:paraId="5B733B6B">
      <w:pPr>
        <w:numPr>
          <w:ilvl w:val="0"/>
          <w:numId w:val="21"/>
        </w:numPr>
        <w:spacing w:before="0" w:beforeAutospacing="1" w:after="0" w:afterAutospacing="1"/>
        <w:ind w:left="720" w:hanging="360"/>
      </w:pPr>
      <w:r>
        <w:rPr>
          <w:b/>
        </w:rPr>
        <w:t>位置闭环</w:t>
      </w:r>
      <w:r>
        <w:t>：编码器实时反馈位置信号，PLC将实际位置与目标位置比较，通过PID算法调节AO输出电流，使位置偏差控制在±0.5mm以内。</w:t>
      </w:r>
    </w:p>
    <w:p w14:paraId="01FA9632">
      <w:pPr>
        <w:numPr>
          <w:ilvl w:val="0"/>
          <w:numId w:val="21"/>
        </w:numPr>
        <w:spacing w:before="0" w:beforeAutospacing="1" w:after="0" w:afterAutospacing="1"/>
        <w:ind w:left="720" w:hanging="360"/>
      </w:pPr>
      <w:r>
        <w:rPr>
          <w:b/>
        </w:rPr>
        <w:t>限位保护</w:t>
      </w:r>
      <w:r>
        <w:t>：当平台接近上限位1（SQ1动作，DI0.3置1），PLC启动减速程序；若超过上限位2（SQ2动作，DI0.4置1），立即切断变频器输出（Q0.0复位），触发电磁制动器抱闸（Q0.3复位），并输出故障报警（Q0.6置1）。</w:t>
      </w:r>
    </w:p>
    <w:p w14:paraId="08BC52FB">
      <w:r>
        <w:rPr>
          <w:b/>
        </w:rPr>
        <w:t>与生产线联动控制</w:t>
      </w:r>
      <w:r>
        <w:t>：PLC通过PROFINET与绕线机控制系统通讯，接收绕线机发送的“线圈到位”信号（如I0.9置1），自动将平台升至打磨工位（预设位置1500mm）；打磨完成后，发送“打磨完成”信号（Q1.0置1），绕线机启动下一工序。联动响应时间≤100ms，满足生产线节拍要求（约2分钟/件）。</w:t>
      </w:r>
    </w:p>
    <w:p w14:paraId="3993C884">
      <w:pPr>
        <w:pStyle w:val="4"/>
      </w:pPr>
      <w:r>
        <w:t>3.3 安全保护系统与故障诊断功能</w:t>
      </w:r>
    </w:p>
    <w:p w14:paraId="338B0494">
      <w:r>
        <w:t>升降机作为载人载货设备，安全保护系统需实现“故障预防-实时监测-紧急停机”三级防护，同时具备完善的故障诊断功能，缩短故障排查时间。</w:t>
      </w:r>
    </w:p>
    <w:p w14:paraId="0B7711C5">
      <w:r>
        <w:rPr>
          <w:b/>
        </w:rPr>
        <w:t>三级安全保护体系</w:t>
      </w:r>
      <w:r>
        <w:t>：</w:t>
      </w:r>
    </w:p>
    <w:p w14:paraId="1D0AA575">
      <w:pPr>
        <w:numPr>
          <w:ilvl w:val="0"/>
          <w:numId w:val="22"/>
        </w:numPr>
        <w:spacing w:before="0" w:beforeAutospacing="1" w:after="0" w:afterAutospacing="1"/>
        <w:ind w:left="720" w:hanging="360"/>
      </w:pPr>
      <w:r>
        <w:rPr>
          <w:b/>
        </w:rPr>
        <w:t>初级保护（硬件级）</w:t>
      </w:r>
      <w:r>
        <w:t>：通过安全继电器（PILZ PNOZ X3）构建独立安全回路，接入急停按钮、上下限位2、安全门开关等关键信号。当任意信号触发（如急停按钮按下），安全继电器立即切断变频器电源（切断KM1接触器）和电磁制动器供电（切断KM2接触器），响应时间＜100ms。安全回路采用双通道设计，单通道故障时系统仍能可靠停机，符合EN ISO 13849-1 PLd等级要求。</w:t>
      </w:r>
    </w:p>
    <w:p w14:paraId="1C094795">
      <w:pPr>
        <w:numPr>
          <w:ilvl w:val="0"/>
          <w:numId w:val="22"/>
        </w:numPr>
        <w:spacing w:before="0" w:beforeAutospacing="1" w:after="0" w:afterAutospacing="1"/>
        <w:ind w:left="720" w:hanging="360"/>
      </w:pPr>
      <w:r>
        <w:rPr>
          <w:b/>
        </w:rPr>
        <w:t>中级保护（程序级）</w:t>
      </w:r>
      <w:r>
        <w:t>：PLC实时监测运行参数，触发保护动作：</w:t>
      </w:r>
    </w:p>
    <w:p w14:paraId="2BE0933E">
      <w:pPr>
        <w:numPr>
          <w:ilvl w:val="1"/>
          <w:numId w:val="22"/>
        </w:numPr>
        <w:spacing w:before="0" w:beforeAutospacing="1" w:after="0" w:afterAutospacing="1"/>
        <w:ind w:left="1440" w:hanging="360"/>
      </w:pPr>
      <w:r>
        <w:rPr>
          <w:b/>
        </w:rPr>
        <w:t>过载保护</w:t>
      </w:r>
      <w:r>
        <w:t>：当拉力传感器检测负载超过额定值110%（如2000kg负载检测值＞2200kg），PLC立即停止上升/下降动作，输出过载报警（Q0.6闪烁），需手动复位（长按“复位”按钮3秒）。</w:t>
      </w:r>
    </w:p>
    <w:p w14:paraId="69F8811C">
      <w:pPr>
        <w:numPr>
          <w:ilvl w:val="1"/>
          <w:numId w:val="22"/>
        </w:numPr>
        <w:spacing w:before="0" w:beforeAutospacing="1" w:after="0" w:afterAutospacing="1"/>
        <w:ind w:left="1440" w:hanging="360"/>
      </w:pPr>
      <w:r>
        <w:rPr>
          <w:b/>
        </w:rPr>
        <w:t>超速保护</w:t>
      </w:r>
      <w:r>
        <w:t>：编码器反馈速度超过设定值120%（如额定1.5m/min时实测＞1.8m/min），PLC触发减速程序，5秒内未降至正常速度则停机。</w:t>
      </w:r>
    </w:p>
    <w:p w14:paraId="592CFB40">
      <w:pPr>
        <w:numPr>
          <w:ilvl w:val="1"/>
          <w:numId w:val="22"/>
        </w:numPr>
        <w:spacing w:before="0" w:beforeAutospacing="1" w:after="0" w:afterAutospacing="1"/>
        <w:ind w:left="1440" w:hanging="360"/>
      </w:pPr>
      <w:r>
        <w:rPr>
          <w:b/>
        </w:rPr>
        <w:t>压力异常保护</w:t>
      </w:r>
      <w:r>
        <w:t>：液压系统压力超过12MPa（溢流阀设定值）或低于5MPa（空载压力），PLC停机并报警。</w:t>
      </w:r>
    </w:p>
    <w:p w14:paraId="40942E7A">
      <w:pPr>
        <w:numPr>
          <w:ilvl w:val="0"/>
          <w:numId w:val="22"/>
        </w:numPr>
        <w:spacing w:before="0" w:beforeAutospacing="1" w:after="0" w:afterAutospacing="1"/>
        <w:ind w:left="720" w:hanging="360"/>
      </w:pPr>
      <w:r>
        <w:rPr>
          <w:b/>
        </w:rPr>
        <w:t>高级保护（系统级）</w:t>
      </w:r>
      <w:r>
        <w:t>：配备独立的防坠安全器（型号SAJ40-1.2），当平台下降速度超过1.25倍额定速度（约1.88m/min），安全器通过机械方式锁死导轨，制动距离≤0.2m，制动力≥15kN（满足1.5倍额定负载制动要求）。安全器需每年校验一次，动作次数超过1000次需更换。</w:t>
      </w:r>
    </w:p>
    <w:p w14:paraId="0DA47AD4">
      <w:r>
        <w:rPr>
          <w:b/>
        </w:rPr>
        <w:t>故障诊断功能</w:t>
      </w:r>
      <w:r>
        <w:t>：PLC通过监测传感器信号、模块状态字、通讯报文，对23种常见故障进行分类诊断，生成故障代码并存储至诊断缓冲区（可存储最近50条故障记录）。典型故障代码及处理方法如下：</w:t>
      </w:r>
    </w:p>
    <w:p w14:paraId="3111C473">
      <w:pPr>
        <w:numPr>
          <w:ilvl w:val="0"/>
          <w:numId w:val="23"/>
        </w:numPr>
        <w:spacing w:before="0" w:beforeAutospacing="1" w:after="0" w:afterAutospacing="1"/>
        <w:ind w:left="720" w:hanging="360"/>
      </w:pPr>
      <w:r>
        <w:rPr>
          <w:b/>
        </w:rPr>
        <w:t>E01：PLC与编码器通讯故障</w:t>
      </w:r>
    </w:p>
    <w:p w14:paraId="03F4E7A6">
      <w:pPr>
        <w:spacing w:before="0" w:beforeAutospacing="1" w:after="0" w:afterAutospacing="1"/>
        <w:ind w:left="720"/>
      </w:pPr>
      <w:r>
        <w:t>成因：编码器电缆断线、接头松动、PROFINET地址冲突。</w:t>
      </w:r>
    </w:p>
    <w:p w14:paraId="7A294DBC">
      <w:pPr>
        <w:spacing w:before="0" w:beforeAutospacing="1" w:after="0" w:afterAutospacing="1"/>
        <w:ind w:left="720"/>
      </w:pPr>
      <w:r>
        <w:t>对策：检查编码器电缆（测量通断，屏蔽层接地电阻≤1Ω）；重新插拔编码器接头（确保IP67密封）；通过TIA Portal诊断PROFINET网络，修改冲突设备地址。</w:t>
      </w:r>
    </w:p>
    <w:p w14:paraId="142F1221">
      <w:pPr>
        <w:numPr>
          <w:ilvl w:val="0"/>
          <w:numId w:val="23"/>
        </w:numPr>
        <w:spacing w:before="0" w:beforeAutospacing="1" w:after="0" w:afterAutospacing="1"/>
        <w:ind w:left="720" w:hanging="360"/>
      </w:pPr>
      <w:r>
        <w:rPr>
          <w:b/>
        </w:rPr>
        <w:t>E21：相序故障</w:t>
      </w:r>
    </w:p>
    <w:p w14:paraId="62157F79">
      <w:pPr>
        <w:spacing w:before="0" w:beforeAutospacing="1" w:after="0" w:afterAutospacing="1"/>
        <w:ind w:left="720"/>
      </w:pPr>
      <w:r>
        <w:t>成因：主电源相序接反、相序继电器（相序保护器）故障、HLC模块损坏。</w:t>
      </w:r>
    </w:p>
    <w:p w14:paraId="5A68706E">
      <w:pPr>
        <w:spacing w:before="0" w:beforeAutospacing="1" w:after="0" w:afterAutospacing="1"/>
        <w:ind w:left="720"/>
      </w:pPr>
      <w:r>
        <w:t>对策：使用相序表检测电源相序（L1、L2、L3应按顺时针排列）；更换相序继电器（型号XJ3-G，动作电压380V±10%）；检查HLC模块指示灯（正常为绿色常亮，故障时红色闪烁），必要时更换模块。</w:t>
      </w:r>
    </w:p>
    <w:p w14:paraId="0AED8B83">
      <w:pPr>
        <w:numPr>
          <w:ilvl w:val="0"/>
          <w:numId w:val="23"/>
        </w:numPr>
        <w:spacing w:before="0" w:beforeAutospacing="1" w:after="0" w:afterAutospacing="1"/>
        <w:ind w:left="720" w:hanging="360"/>
      </w:pPr>
      <w:r>
        <w:rPr>
          <w:b/>
        </w:rPr>
        <w:t>E31：上下限位异常</w:t>
      </w:r>
    </w:p>
    <w:p w14:paraId="100F8052">
      <w:pPr>
        <w:spacing w:before="0" w:beforeAutospacing="1" w:after="0" w:afterAutospacing="1"/>
        <w:ind w:left="720"/>
      </w:pPr>
      <w:r>
        <w:t>成因：上限位1（SQ1）和下限位1（SQ3）同时动作、限位开关接线短路、PLC输入模块故障。</w:t>
      </w:r>
    </w:p>
    <w:p w14:paraId="3C12D4CA">
      <w:pPr>
        <w:spacing w:before="0" w:beforeAutospacing="1" w:after="0" w:afterAutospacing="1"/>
        <w:ind w:left="720"/>
      </w:pPr>
      <w:r>
        <w:t>对策：检查平台位置，确认未同时触发上下限位；用万用表检测限位开关触点（正常为常闭，动作后断开，电阻从0Ω变为∞）；更换PLC数字量输入模块（SM 1221 DI 16×DC 24V）。</w:t>
      </w:r>
    </w:p>
    <w:p w14:paraId="6AA135F7">
      <w:pPr>
        <w:numPr>
          <w:ilvl w:val="0"/>
          <w:numId w:val="23"/>
        </w:numPr>
        <w:spacing w:before="0" w:beforeAutospacing="1" w:after="0" w:afterAutospacing="1"/>
        <w:ind w:left="720" w:hanging="360"/>
      </w:pPr>
      <w:r>
        <w:rPr>
          <w:b/>
        </w:rPr>
        <w:t>E41：液压系统压力不足</w:t>
      </w:r>
    </w:p>
    <w:p w14:paraId="6A9AD7B3">
      <w:pPr>
        <w:spacing w:before="0" w:beforeAutospacing="1" w:after="0" w:afterAutospacing="1"/>
        <w:ind w:left="720"/>
      </w:pPr>
      <w:r>
        <w:t>成因：齿轮泵磨损（容积效率＜85%）、溢流阀调定压力过低、液压油泄漏。</w:t>
      </w:r>
    </w:p>
    <w:p w14:paraId="7EA73BA8">
      <w:pPr>
        <w:spacing w:before="0" w:beforeAutospacing="1" w:after="0" w:afterAutospacing="1"/>
        <w:ind w:left="720"/>
      </w:pPr>
      <w:r>
        <w:t>对策：检测泵出口压力（空载应≥8MPa），磨损严重时更换泵；顺时针调节溢流阀调压螺栓（每圈对应压力变化约1MPa）；检查油管接头、油缸密封件，更换渗漏部件。</w:t>
      </w:r>
    </w:p>
    <w:p w14:paraId="7775349A">
      <w:r>
        <w:t>故障诊断流程：当设备出现异常时，触摸屏显示故障代码及简要描述，操作员可通过“故障查询”界面查看详细信息（发生时间、故障值、处理建议）；维修人员通过TIA Portal连接PLC，读取诊断缓冲区数据，结合实时监控变量（如编码器位置、压力值）定位故障点。平均故障排查时间可控制在30分钟以内，显著提升维护效率。</w:t>
      </w:r>
    </w:p>
    <w:p w14:paraId="73D7B281">
      <w:pPr>
        <w:pStyle w:val="3"/>
      </w:pPr>
      <w:r>
        <w:t>四、粉尘治理环境下的特殊应用要求</w:t>
      </w:r>
    </w:p>
    <w:p w14:paraId="23D10A8B">
      <w:pPr>
        <w:pStyle w:val="4"/>
      </w:pPr>
      <w:r>
        <w:t>4.1 粉尘环境对升降机的性能要求</w:t>
      </w:r>
    </w:p>
    <w:p w14:paraId="78B75952">
      <w:r>
        <w:t>干变绕线车间低压线圈打磨过程中，主要产生两类污染物：一是环氧树脂粉尘（粒径1~10μm，具有导电性），二是非甲烷总烃（NMHC）挥发物（浓度约5~10mg/m³）。这些污染物对升降机的机械性能、电气安全、运行可靠性提出特殊要求。</w:t>
      </w:r>
    </w:p>
    <w:p w14:paraId="0EAB5548">
      <w:r>
        <w:rPr>
          <w:b/>
        </w:rPr>
        <w:t>机械性能要求</w:t>
      </w:r>
      <w:r>
        <w:t>：</w:t>
      </w:r>
    </w:p>
    <w:p w14:paraId="25B8B848">
      <w:pPr>
        <w:numPr>
          <w:ilvl w:val="0"/>
          <w:numId w:val="24"/>
        </w:numPr>
        <w:spacing w:before="0" w:beforeAutospacing="1" w:after="0" w:afterAutospacing="1"/>
        <w:ind w:left="720" w:hanging="360"/>
      </w:pPr>
      <w:r>
        <w:rPr>
          <w:b/>
        </w:rPr>
        <w:t>抗磨粒磨损能力</w:t>
      </w:r>
      <w:r>
        <w:t>：粉尘颗粒（尤其是金属碎屑）进入传动间隙，会导致丝杆、导轨等部件产生磨粒磨损。要求传动部件表面硬度≥HRC58（如丝杆渗碳淬火），摩擦副间隙≤0.1mm（减少粉尘嵌入空间），并采用耐磨涂层（如二硫化钼涂层，摩擦系数≤0.15）。</w:t>
      </w:r>
    </w:p>
    <w:p w14:paraId="4E4F41C6">
      <w:pPr>
        <w:numPr>
          <w:ilvl w:val="0"/>
          <w:numId w:val="24"/>
        </w:numPr>
        <w:spacing w:before="0" w:beforeAutospacing="1" w:after="0" w:afterAutospacing="1"/>
        <w:ind w:left="720" w:hanging="360"/>
      </w:pPr>
      <w:r>
        <w:rPr>
          <w:b/>
        </w:rPr>
        <w:t>抗腐蚀能力</w:t>
      </w:r>
      <w:r>
        <w:t>：环氧树脂粉尘遇水后呈弱酸性（pH值5~6），长期接触会导致金属部件锈蚀。要求结构件表面采用喷塑处理（厚度≥80μm，附着力≥5MPa，耐盐雾≥500小时），紧固件采用不锈钢材质（304或316），防止锈蚀卡死。</w:t>
      </w:r>
    </w:p>
    <w:p w14:paraId="22A3FC2C">
      <w:pPr>
        <w:numPr>
          <w:ilvl w:val="0"/>
          <w:numId w:val="24"/>
        </w:numPr>
        <w:spacing w:before="0" w:beforeAutospacing="1" w:after="0" w:afterAutospacing="1"/>
        <w:ind w:left="720" w:hanging="360"/>
      </w:pPr>
      <w:r>
        <w:rPr>
          <w:b/>
        </w:rPr>
        <w:t>运行平稳性</w:t>
      </w:r>
      <w:r>
        <w:t>：粉尘堆积可能导致导向系统卡滞，要求升降机空载运行时最大噪音≤65dB，垂直振动加速度≤0.5m/s²，升降速度波动≤2%（确保打磨工具与线圈接触力稳定）。</w:t>
      </w:r>
    </w:p>
    <w:p w14:paraId="4D3582A1">
      <w:r>
        <w:rPr>
          <w:b/>
        </w:rPr>
        <w:t>电气安全要求</w:t>
      </w:r>
      <w:r>
        <w:t>：</w:t>
      </w:r>
    </w:p>
    <w:p w14:paraId="47188DAF">
      <w:pPr>
        <w:numPr>
          <w:ilvl w:val="0"/>
          <w:numId w:val="25"/>
        </w:numPr>
        <w:spacing w:before="0" w:beforeAutospacing="1" w:after="0" w:afterAutospacing="1"/>
        <w:ind w:left="720" w:hanging="360"/>
      </w:pPr>
      <w:r>
        <w:rPr>
          <w:b/>
        </w:rPr>
        <w:t>防爆要求</w:t>
      </w:r>
      <w:r>
        <w:t>：打磨房粉尘浓度达到爆炸下限（LEL）的25%时，需满足粉尘防爆要求（参照GB 12476.1-2021）。电气元件选用Ex tD A21 IP65 T135℃等级（如防爆电机、防爆按钮），电缆采用阻燃型（ZR-YJV-0.6/1kV），接线盒内裸露导体间绝缘间距≥5mm（防止粉尘导电引起短路）。</w:t>
      </w:r>
    </w:p>
    <w:p w14:paraId="1928FC4A">
      <w:pPr>
        <w:numPr>
          <w:ilvl w:val="0"/>
          <w:numId w:val="25"/>
        </w:numPr>
        <w:spacing w:before="0" w:beforeAutospacing="1" w:after="0" w:afterAutospacing="1"/>
        <w:ind w:left="720" w:hanging="360"/>
      </w:pPr>
      <w:r>
        <w:rPr>
          <w:b/>
        </w:rPr>
        <w:t>防护等级</w:t>
      </w:r>
      <w:r>
        <w:t>：控制箱、操作面板防护等级≥IP65（防尘6级：完全防止粉尘侵入；防水5级：防低压喷水，流量12.5L/min，水压30kPa，持续3分钟）。按钮面板采用密封式（硅胶材质，按键行程2mm，寿命≥100万次），防止粉尘进入内部触点。</w:t>
      </w:r>
    </w:p>
    <w:p w14:paraId="441A121E">
      <w:pPr>
        <w:numPr>
          <w:ilvl w:val="0"/>
          <w:numId w:val="25"/>
        </w:numPr>
        <w:spacing w:before="0" w:beforeAutospacing="1" w:after="0" w:afterAutospacing="1"/>
        <w:ind w:left="720" w:hanging="360"/>
      </w:pPr>
      <w:r>
        <w:rPr>
          <w:b/>
        </w:rPr>
        <w:t>接地要求</w:t>
      </w:r>
      <w:r>
        <w:t>：设备金属外壳需可靠接地（接地电阻≤4Ω），设置独立接地极（镀锌钢管φ50×2.5m，埋深≥0.8m），接地线截面积≥16mm²（铜芯），接地螺栓规格≥M10（防松结构）。</w:t>
      </w:r>
    </w:p>
    <w:p w14:paraId="5A7628B7">
      <w:r>
        <w:rPr>
          <w:b/>
        </w:rPr>
        <w:t>环境协同要求</w:t>
      </w:r>
      <w:r>
        <w:t>：</w:t>
      </w:r>
    </w:p>
    <w:p w14:paraId="507959F6">
      <w:pPr>
        <w:numPr>
          <w:ilvl w:val="0"/>
          <w:numId w:val="26"/>
        </w:numPr>
        <w:spacing w:before="0" w:beforeAutospacing="1" w:after="0" w:afterAutospacing="1"/>
        <w:ind w:left="720" w:hanging="360"/>
      </w:pPr>
      <w:r>
        <w:rPr>
          <w:b/>
        </w:rPr>
        <w:t>与除尘系统联动</w:t>
      </w:r>
      <w:r>
        <w:t>：升降机启动时，PLC发送信号至打磨房除尘系统（如Q1.1置1），除尘风机（风量15000m³/h）提前30秒启动，形成负压环境（打磨房内负压≥5Pa），防止粉尘扩散至升降机轨道；升降机停止后，除尘风机延迟30秒关闭，确保残余粉尘被吸走。</w:t>
      </w:r>
    </w:p>
    <w:p w14:paraId="78683DDC">
      <w:pPr>
        <w:numPr>
          <w:ilvl w:val="0"/>
          <w:numId w:val="26"/>
        </w:numPr>
        <w:spacing w:before="0" w:beforeAutospacing="1" w:after="0" w:afterAutospacing="1"/>
        <w:ind w:left="720" w:hanging="360"/>
      </w:pPr>
      <w:r>
        <w:rPr>
          <w:b/>
        </w:rPr>
        <w:t>粉尘浓度监测</w:t>
      </w:r>
      <w:r>
        <w:t>：在升降机操作区域安装粉尘浓度传感器（型号GCG1000，检测范围0~1000mg/m³），当浓度超过8mg/m³（PC-TWA限值）时，PLC输出报警信号（声光报警器启动），提示操作员佩戴防尘口罩（KN95级），并增加除尘系统风量。</w:t>
      </w:r>
    </w:p>
    <w:p w14:paraId="53242DEF">
      <w:pPr>
        <w:numPr>
          <w:ilvl w:val="0"/>
          <w:numId w:val="26"/>
        </w:numPr>
        <w:spacing w:before="0" w:beforeAutospacing="1" w:after="0" w:afterAutospacing="1"/>
        <w:ind w:left="720" w:hanging="360"/>
      </w:pPr>
      <w:r>
        <w:rPr>
          <w:b/>
        </w:rPr>
        <w:t>温湿度控制</w:t>
      </w:r>
      <w:r>
        <w:t>：打磨房内温度应控制在15~35℃（防止液压油粘度变化），相对湿度≤75%（防止电气元件凝露），通过空调系统调节，升降机控制柜内安装温湿度传感器（SHT30），超标时启动柜内加热器（200W）或风扇（风量50m³/h）。</w:t>
      </w:r>
    </w:p>
    <w:p w14:paraId="59A1DACE">
      <w:pPr>
        <w:pStyle w:val="4"/>
      </w:pPr>
      <w:r>
        <w:t>4.2 防护等级与密封设计方案</w:t>
      </w:r>
    </w:p>
    <w:p w14:paraId="2142B98B">
      <w:r>
        <w:t>防护等级（IP代码）是衡量设备防尘防水能力的核心指标，结合干变绕线车间粉尘特性（粒径小、浓度高、部分导电），升降机各部件需达到特定防护等级，并通过结构密封设计实现等级要求。</w:t>
      </w:r>
    </w:p>
    <w:p w14:paraId="790167C0">
      <w:r>
        <w:rPr>
          <w:b/>
        </w:rPr>
        <w:t>防护等级确定</w:t>
      </w:r>
      <w:r>
        <w:t>：</w:t>
      </w:r>
    </w:p>
    <w:p w14:paraId="3EAA5623">
      <w:pPr>
        <w:numPr>
          <w:ilvl w:val="0"/>
          <w:numId w:val="27"/>
        </w:numPr>
        <w:spacing w:before="0" w:beforeAutospacing="1" w:after="0" w:afterAutospacing="1"/>
        <w:ind w:left="720" w:hanging="360"/>
      </w:pPr>
      <w:r>
        <w:rPr>
          <w:b/>
        </w:rPr>
        <w:t>整体防护</w:t>
      </w:r>
      <w:r>
        <w:t>：升降机主体结构防护等级≥IP54（防尘5级：不完全防止粉尘侵入，但侵入量不影响正常运行；防水4级：防溅水，任意方向喷水无损害）；关键部件如电机、控制箱防护等级≥IP65（防尘6级：完全防止粉尘侵入；防水5级：防低压喷水，从喷嘴（6.3mm）喷出的水（流量12.5L/min，水压30kPa）从任意方向喷射设备3分钟无损害）。</w:t>
      </w:r>
    </w:p>
    <w:p w14:paraId="10ACA949">
      <w:pPr>
        <w:numPr>
          <w:ilvl w:val="0"/>
          <w:numId w:val="27"/>
        </w:numPr>
        <w:spacing w:before="0" w:beforeAutospacing="1" w:after="0" w:afterAutospacing="1"/>
        <w:ind w:left="720" w:hanging="360"/>
      </w:pPr>
      <w:r>
        <w:rPr>
          <w:b/>
        </w:rPr>
        <w:t>电气元件防护</w:t>
      </w:r>
      <w:r>
        <w:t>：</w:t>
      </w:r>
    </w:p>
    <w:p w14:paraId="41A3E6A7">
      <w:pPr>
        <w:numPr>
          <w:ilvl w:val="1"/>
          <w:numId w:val="27"/>
        </w:numPr>
        <w:spacing w:before="0" w:beforeAutospacing="1" w:after="0" w:afterAutospacing="1"/>
        <w:ind w:left="1440" w:hanging="360"/>
      </w:pPr>
      <w:r>
        <w:t>电机：选用IP65防爆电机（型号YB3-100L1-4，功率2.2kW），定子绕组防护等级IP65，轴承端盖采用迷宫式密封（防止粉尘进入轴承），接线盒带防爆格兰头（M20×1.5，适配电缆直径8~12mm）。</w:t>
      </w:r>
    </w:p>
    <w:p w14:paraId="558ED801">
      <w:pPr>
        <w:numPr>
          <w:ilvl w:val="1"/>
          <w:numId w:val="27"/>
        </w:numPr>
        <w:spacing w:before="0" w:beforeAutospacing="1" w:after="0" w:afterAutospacing="1"/>
        <w:ind w:left="1440" w:hanging="360"/>
      </w:pPr>
      <w:r>
        <w:t>传感器：编码器、压力变送器防护等级IP67（防尘6级，防水7级：短时浸水（1m深，30分钟）无损害），外壳材质不锈钢（316L），电缆采用屏蔽型（带铠甲，防护等级IP67）。</w:t>
      </w:r>
    </w:p>
    <w:p w14:paraId="56288C53">
      <w:pPr>
        <w:numPr>
          <w:ilvl w:val="1"/>
          <w:numId w:val="27"/>
        </w:numPr>
        <w:spacing w:before="0" w:beforeAutospacing="1" w:after="0" w:afterAutospacing="1"/>
        <w:ind w:left="1440" w:hanging="360"/>
      </w:pPr>
      <w:r>
        <w:t>按钮面板：操作按钮选用IP65等级（型号XB2-BA31，施耐德），按钮头部采用硅胶密封（耐油、耐老化），面板与控制箱之间加装氯丁橡胶密封垫（厚度2mm，压缩量30%）。</w:t>
      </w:r>
    </w:p>
    <w:p w14:paraId="6A1449CB">
      <w:r>
        <w:rPr>
          <w:b/>
        </w:rPr>
        <w:t>密封设计关键技术</w:t>
      </w:r>
      <w:r>
        <w:t>：</w:t>
      </w:r>
    </w:p>
    <w:p w14:paraId="2E8F65C9">
      <w:pPr>
        <w:numPr>
          <w:ilvl w:val="0"/>
          <w:numId w:val="28"/>
        </w:numPr>
        <w:spacing w:before="0" w:beforeAutospacing="1" w:after="0" w:afterAutospacing="1"/>
        <w:ind w:left="720" w:hanging="360"/>
      </w:pPr>
      <w:r>
        <w:rPr>
          <w:b/>
        </w:rPr>
        <w:t>缝隙密封</w:t>
      </w:r>
      <w:r>
        <w:t>：</w:t>
      </w:r>
    </w:p>
    <w:p w14:paraId="4607D80E">
      <w:pPr>
        <w:numPr>
          <w:ilvl w:val="1"/>
          <w:numId w:val="28"/>
        </w:numPr>
        <w:spacing w:before="0" w:beforeAutospacing="1" w:after="0" w:afterAutospacing="1"/>
        <w:ind w:left="1440" w:hanging="360"/>
      </w:pPr>
      <w:r>
        <w:t>导轨与滑块间隙：采用“V型防尘帘+刮尘板”组合密封，防尘帘为风琴式结构（PVC材质，厚度0.3mm），固定在滑块两侧，随滑块移动伸缩，覆盖导轨缝隙；刮尘板为聚氨酯材质（硬度邵氏A70），截面呈三角形，唇边与导轨过盈配合（过盈量0.5mm），刮除导轨表面粉尘。</w:t>
      </w:r>
    </w:p>
    <w:p w14:paraId="7054AB87">
      <w:pPr>
        <w:numPr>
          <w:ilvl w:val="1"/>
          <w:numId w:val="28"/>
        </w:numPr>
        <w:spacing w:before="0" w:beforeAutospacing="1" w:after="0" w:afterAutospacing="1"/>
        <w:ind w:left="1440" w:hanging="360"/>
      </w:pPr>
      <w:r>
        <w:t>控制箱门缝：采用双层密封结构，外层为发泡橡胶条（直径8mm，压缩量40%），内层为丁腈橡胶唇形密封（截面尺寸5×5mm），门框开设排水槽（宽度5mm，深度3mm），防止积水渗入。</w:t>
      </w:r>
    </w:p>
    <w:p w14:paraId="0538EF2F">
      <w:pPr>
        <w:numPr>
          <w:ilvl w:val="0"/>
          <w:numId w:val="28"/>
        </w:numPr>
        <w:spacing w:before="0" w:beforeAutospacing="1" w:after="0" w:afterAutospacing="1"/>
        <w:ind w:left="720" w:hanging="360"/>
      </w:pPr>
      <w:r>
        <w:rPr>
          <w:b/>
        </w:rPr>
        <w:t>轴伸密封</w:t>
      </w:r>
      <w:r>
        <w:t>：</w:t>
      </w:r>
    </w:p>
    <w:p w14:paraId="6221BCBB">
      <w:pPr>
        <w:numPr>
          <w:ilvl w:val="1"/>
          <w:numId w:val="28"/>
        </w:numPr>
        <w:spacing w:before="0" w:beforeAutospacing="1" w:after="0" w:afterAutospacing="1"/>
        <w:ind w:left="1440" w:hanging="360"/>
      </w:pPr>
      <w:r>
        <w:t>电机轴伸：采用双唇口骨架油封（型号TC40×62×12，氟橡胶材质），内唇口密封油液，外唇口防尘，弹簧箍紧双唇口，确保与轴表面贴合（轴表面粗糙度Ra1.6μm）。油封安装时需涂抹润滑脂（特种锂基脂），防止干摩擦磨损。</w:t>
      </w:r>
    </w:p>
    <w:p w14:paraId="4C0F254E">
      <w:pPr>
        <w:numPr>
          <w:ilvl w:val="1"/>
          <w:numId w:val="28"/>
        </w:numPr>
        <w:spacing w:before="0" w:beforeAutospacing="1" w:after="0" w:afterAutospacing="1"/>
        <w:ind w:left="1440" w:hanging="360"/>
      </w:pPr>
      <w:r>
        <w:t>丝杆螺母：螺母端部安装防尘盖（聚四氟乙烯材质），盖内设置羊毛毡圈（厚度5mm），与丝杆过盈配合（过盈量0.2mm），阻止粉尘进入螺纹副；防尘盖随螺母同步移动，无相对摩擦。</w:t>
      </w:r>
    </w:p>
    <w:p w14:paraId="1CF0C606">
      <w:pPr>
        <w:numPr>
          <w:ilvl w:val="0"/>
          <w:numId w:val="28"/>
        </w:numPr>
        <w:spacing w:before="0" w:beforeAutospacing="1" w:after="0" w:afterAutospacing="1"/>
        <w:ind w:left="720" w:hanging="360"/>
      </w:pPr>
      <w:r>
        <w:rPr>
          <w:b/>
        </w:rPr>
        <w:t>电缆入口密封</w:t>
      </w:r>
      <w:r>
        <w:t>：</w:t>
      </w:r>
    </w:p>
    <w:p w14:paraId="7B5CF72B">
      <w:pPr>
        <w:numPr>
          <w:ilvl w:val="1"/>
          <w:numId w:val="28"/>
        </w:numPr>
        <w:spacing w:before="0" w:beforeAutospacing="1" w:after="0" w:afterAutospacing="1"/>
        <w:ind w:left="1440" w:hanging="360"/>
      </w:pPr>
      <w:r>
        <w:t>动力电缆：采用防爆格兰头（型号BPG-M25，材质不锈钢），电缆穿过格兰头后，拧紧压盖使橡胶密封圈径向收缩，抱紧电缆（密封范围：电缆直径10~16mm），防护等级IP66。格兰头需通过Ex d II C T6防爆认证。</w:t>
      </w:r>
    </w:p>
    <w:p w14:paraId="519EBB2D">
      <w:pPr>
        <w:numPr>
          <w:ilvl w:val="1"/>
          <w:numId w:val="28"/>
        </w:numPr>
        <w:spacing w:before="0" w:beforeAutospacing="1" w:after="0" w:afterAutospacing="1"/>
        <w:ind w:left="1440" w:hanging="360"/>
      </w:pPr>
      <w:r>
        <w:t>控制电缆：多芯控制电缆（如PROFINET电缆）采用防水接头（型号M16×1.5，尼龙材质），内部带爪型密封圈（EPDM材质），安装时扭矩控制在2~3N·m，确保密封可靠且不损伤电缆。</w:t>
      </w:r>
    </w:p>
    <w:p w14:paraId="4C209C52">
      <w:r>
        <w:rPr>
          <w:b/>
        </w:rPr>
        <w:t>密封效果验证</w:t>
      </w:r>
      <w:r>
        <w:t>：</w:t>
      </w:r>
    </w:p>
    <w:p w14:paraId="2D4786FE">
      <w:pPr>
        <w:numPr>
          <w:ilvl w:val="0"/>
          <w:numId w:val="29"/>
        </w:numPr>
        <w:spacing w:before="0" w:beforeAutospacing="1" w:after="0" w:afterAutospacing="1"/>
        <w:ind w:left="720" w:hanging="360"/>
      </w:pPr>
      <w:r>
        <w:rPr>
          <w:b/>
        </w:rPr>
        <w:t>防尘测试</w:t>
      </w:r>
      <w:r>
        <w:t>：按GB/T 4208-2017规定，将升降机样品放入粉尘试验箱（滑石粉，浓度2kg/m³），持续8小时（风速1m/s），试验后检查：①电气元件表面粉尘堆积量≤0.5g/m²；②传动部件运转无卡滞（空载电流变化≤10%）；③绝缘电阻≥100MΩ（500V兆欧表测量）。</w:t>
      </w:r>
    </w:p>
    <w:p w14:paraId="2A92F593">
      <w:pPr>
        <w:numPr>
          <w:ilvl w:val="0"/>
          <w:numId w:val="29"/>
        </w:numPr>
        <w:spacing w:before="0" w:beforeAutospacing="1" w:after="0" w:afterAutospacing="1"/>
        <w:ind w:left="720" w:hanging="360"/>
      </w:pPr>
      <w:r>
        <w:rPr>
          <w:b/>
        </w:rPr>
        <w:t>防水测试</w:t>
      </w:r>
      <w:r>
        <w:t>：IP54防水测试采用喷淋法（喷嘴直径12.5mm，流量10L/min，水压80~100kPa，距离1~1.5m，喷射所有表面各15秒）；IP65测试采用喷水法（喷嘴直径6.3mm，流量12.5L/min，水压30kPa，距离3m，喷射所有表面各30秒），测试后设备应能正常运行，无电气短路、机械故障。</w:t>
      </w:r>
    </w:p>
    <w:p w14:paraId="17CB0E56">
      <w:r>
        <w:t>某升降机制造商测试数据显示，采用上述密封设计后，IP65防护等级测试通过率从75%提升至100%，粉尘环境下设备运行1000小时后，内部粉尘堆积量≤0.3g/m²，远低于行业平均水平（1.2g/m²）。</w:t>
      </w:r>
    </w:p>
    <w:p w14:paraId="7776E67D">
      <w:pPr>
        <w:pStyle w:val="4"/>
      </w:pPr>
      <w:r>
        <w:t>4.3 材料选择与表面处理技术</w:t>
      </w:r>
    </w:p>
    <w:p w14:paraId="58202718">
      <w:r>
        <w:t>材料选择需综合考虑机械性能（强度、硬度）、环境适应性（耐腐蚀性、耐磨性）及成本因素，表面处理则是提升材料性能的关键手段，二者协同确保升降机在粉尘环境下长期可靠运行。</w:t>
      </w:r>
    </w:p>
    <w:p w14:paraId="7B47CCBB">
      <w:r>
        <w:rPr>
          <w:b/>
        </w:rPr>
        <w:t>金属材料选型</w:t>
      </w:r>
      <w:r>
        <w:t>：</w:t>
      </w:r>
    </w:p>
    <w:p w14:paraId="63698ACB">
      <w:pPr>
        <w:numPr>
          <w:ilvl w:val="0"/>
          <w:numId w:val="30"/>
        </w:numPr>
        <w:spacing w:before="0" w:beforeAutospacing="1" w:after="0" w:afterAutospacing="1"/>
        <w:ind w:left="720" w:hanging="360"/>
      </w:pPr>
      <w:r>
        <w:rPr>
          <w:b/>
        </w:rPr>
        <w:t>结构框架</w:t>
      </w:r>
      <w:r>
        <w:t>：选用Q355B低合金高强度钢（屈服强度355MPa，抗拉强度470~630MPa），替代传统Q235钢，减重20%的同时提升刚度（弹性模量206GPa，泊松比0.3）。框架焊接后进行退火处理（600~650℃，保温2小时），消除焊接应力（残余应力≤150MPa），防止变形开裂。</w:t>
      </w:r>
    </w:p>
    <w:p w14:paraId="787BB22C">
      <w:pPr>
        <w:numPr>
          <w:ilvl w:val="0"/>
          <w:numId w:val="30"/>
        </w:numPr>
        <w:spacing w:before="0" w:beforeAutospacing="1" w:after="0" w:afterAutospacing="1"/>
        <w:ind w:left="720" w:hanging="360"/>
      </w:pPr>
      <w:r>
        <w:rPr>
          <w:b/>
        </w:rPr>
        <w:t>传动部件</w:t>
      </w:r>
      <w:r>
        <w:t>：</w:t>
      </w:r>
    </w:p>
    <w:p w14:paraId="40B281CC">
      <w:pPr>
        <w:numPr>
          <w:ilvl w:val="1"/>
          <w:numId w:val="30"/>
        </w:numPr>
        <w:spacing w:before="0" w:beforeAutospacing="1" w:after="0" w:afterAutospacing="1"/>
        <w:ind w:left="1440" w:hanging="360"/>
      </w:pPr>
      <w:r>
        <w:t>丝杆：20CrMnTi合金结构钢，渗碳淬火处理（渗碳层深度1.2~1.5mm，表面硬度HRC58~62，心部硬度HRC30~35），螺纹表面磨削（精度7级，螺距误差≤0.02mm/100mm），提高耐磨性和疲劳强度（接触疲劳寿命≥10⁷次）。</w:t>
      </w:r>
    </w:p>
    <w:p w14:paraId="181C47DD">
      <w:pPr>
        <w:numPr>
          <w:ilvl w:val="1"/>
          <w:numId w:val="30"/>
        </w:numPr>
        <w:spacing w:before="0" w:beforeAutospacing="1" w:after="0" w:afterAutospacing="1"/>
        <w:ind w:left="1440" w:hanging="360"/>
      </w:pPr>
      <w:r>
        <w:t>齿轮：40CrNiMoA合金结构钢，调质处理（硬度HB260~300）后齿面高频淬火（硬度HRC55~58，淬硬层深度0.8~1.2mm），齿形精度7级（GB/T 10095.1），齿面粗糙度Ra0.8μm，降低传动噪音。</w:t>
      </w:r>
    </w:p>
    <w:p w14:paraId="33AB4A55">
      <w:pPr>
        <w:numPr>
          <w:ilvl w:val="0"/>
          <w:numId w:val="30"/>
        </w:numPr>
        <w:spacing w:before="0" w:beforeAutospacing="1" w:after="0" w:afterAutospacing="1"/>
        <w:ind w:left="720" w:hanging="360"/>
      </w:pPr>
      <w:r>
        <w:rPr>
          <w:b/>
        </w:rPr>
        <w:t>导向部件</w:t>
      </w:r>
      <w:r>
        <w:t>：滑轨选用GCr15轴承钢（硬度HRC60~62，耐磨性优于普通碳钢3倍），表面镀铬（镀层厚度0.05~0.08mm，硬度HV800~1000），镀铬层结合力≥5N/mm（划格法测试，无剥落），防止锈蚀和磨粒磨损。</w:t>
      </w:r>
    </w:p>
    <w:p w14:paraId="3FD9CA6C">
      <w:r>
        <w:rPr>
          <w:b/>
        </w:rPr>
        <w:t>非金属材料选型</w:t>
      </w:r>
      <w:r>
        <w:t>：</w:t>
      </w:r>
    </w:p>
    <w:p w14:paraId="21926292">
      <w:pPr>
        <w:numPr>
          <w:ilvl w:val="0"/>
          <w:numId w:val="31"/>
        </w:numPr>
        <w:spacing w:before="0" w:beforeAutospacing="1" w:after="0" w:afterAutospacing="1"/>
        <w:ind w:left="720" w:hanging="360"/>
      </w:pPr>
      <w:r>
        <w:rPr>
          <w:b/>
        </w:rPr>
        <w:t>密封件</w:t>
      </w:r>
      <w:r>
        <w:t>：优先选用氟橡胶（FKM），耐温范围-20~200℃（优于丁腈橡胶的-40~120℃），耐油性能优异（体积变化率≤10%，在46#抗磨液压油中浸泡500小时），压缩永久变形≤25%（150℃×70小时）。对于高温区域（如电机附近），选用全氟醚橡胶（FFKM），耐温可达300℃。</w:t>
      </w:r>
    </w:p>
    <w:p w14:paraId="451BC7EA">
      <w:pPr>
        <w:numPr>
          <w:ilvl w:val="0"/>
          <w:numId w:val="31"/>
        </w:numPr>
        <w:spacing w:before="0" w:beforeAutospacing="1" w:after="0" w:afterAutospacing="1"/>
        <w:ind w:left="720" w:hanging="360"/>
      </w:pPr>
      <w:r>
        <w:rPr>
          <w:b/>
        </w:rPr>
        <w:t>耐磨件</w:t>
      </w:r>
      <w:r>
        <w:t>：滑块衬套采用聚四氟乙烯（PTFE）+青铜粉复合材料（PTFE含量60%，青铜粉40%），摩擦系数0.08~0.12（干摩擦条件），无油自润滑，磨损率≤5×10⁻⁶mm³/N·m，使用寿命是普通尼龙衬套的5倍。</w:t>
      </w:r>
    </w:p>
    <w:p w14:paraId="673F204A">
      <w:pPr>
        <w:numPr>
          <w:ilvl w:val="0"/>
          <w:numId w:val="31"/>
        </w:numPr>
        <w:spacing w:before="0" w:beforeAutospacing="1" w:after="0" w:afterAutospacing="1"/>
        <w:ind w:left="720" w:hanging="360"/>
      </w:pPr>
      <w:r>
        <w:rPr>
          <w:b/>
        </w:rPr>
        <w:t>面板材料</w:t>
      </w:r>
      <w:r>
        <w:t>：操作面板选用聚碳酸酯（PC）板（厚度5mm），透光率≥89%，抗冲击强度60kJ/m²（23℃，简支梁冲击），表面硬化处理（硬度HB100，耐刮擦），防止粉尘堆积影响操作。</w:t>
      </w:r>
    </w:p>
    <w:p w14:paraId="2D14EAF9">
      <w:r>
        <w:rPr>
          <w:b/>
        </w:rPr>
        <w:t>表面处理技术</w:t>
      </w:r>
      <w:r>
        <w:t>：</w:t>
      </w:r>
    </w:p>
    <w:p w14:paraId="7A9E0AB9">
      <w:pPr>
        <w:numPr>
          <w:ilvl w:val="0"/>
          <w:numId w:val="32"/>
        </w:numPr>
        <w:spacing w:before="0" w:beforeAutospacing="1" w:after="0" w:afterAutospacing="1"/>
        <w:ind w:left="720" w:hanging="360"/>
      </w:pPr>
      <w:r>
        <w:rPr>
          <w:b/>
        </w:rPr>
        <w:t>金属表面涂层</w:t>
      </w:r>
      <w:r>
        <w:t>：</w:t>
      </w:r>
    </w:p>
    <w:p w14:paraId="35F5AA4F">
      <w:pPr>
        <w:numPr>
          <w:ilvl w:val="1"/>
          <w:numId w:val="32"/>
        </w:numPr>
        <w:spacing w:before="0" w:beforeAutospacing="1" w:after="0" w:afterAutospacing="1"/>
        <w:ind w:left="1440" w:hanging="360"/>
      </w:pPr>
      <w:r>
        <w:t>喷塑处理：结构框架、控制箱表面采用静电粉末喷涂（环氧聚酯粉末，厚度80~120μm），前处理包括除油（碱性除油剂，温度50~60℃，时间15分钟）、除锈（喷砂处理，Sa2.5级，表面粗糙度50~80μm）、磷化（锌系磷化膜，厚度5~8μm，耐蚀性≥96小时中性盐雾），涂层附着力≥5B（划格法，GB/T 9286）。</w:t>
      </w:r>
    </w:p>
    <w:p w14:paraId="3BD39306">
      <w:pPr>
        <w:numPr>
          <w:ilvl w:val="1"/>
          <w:numId w:val="32"/>
        </w:numPr>
        <w:spacing w:before="0" w:beforeAutospacing="1" w:after="0" w:afterAutospacing="1"/>
        <w:ind w:left="1440" w:hanging="360"/>
      </w:pPr>
      <w:r>
        <w:t>达克罗处理：紧固件（螺栓、螺母）采用达克罗涂层（锌铝复合涂层，厚度6~10μm），替代传统镀锌，耐盐雾性能提升5倍（≥1000小时），无氢脆风险（适合高强度螺栓），涂层摩擦系数0.12~0.15（确保拧紧扭矩稳定）。</w:t>
      </w:r>
    </w:p>
    <w:p w14:paraId="5E04793B">
      <w:pPr>
        <w:numPr>
          <w:ilvl w:val="0"/>
          <w:numId w:val="32"/>
        </w:numPr>
        <w:spacing w:before="0" w:beforeAutospacing="1" w:after="0" w:afterAutospacing="1"/>
        <w:ind w:left="720" w:hanging="360"/>
      </w:pPr>
      <w:r>
        <w:rPr>
          <w:b/>
        </w:rPr>
        <w:t>非金属表面改性</w:t>
      </w:r>
      <w:r>
        <w:t>：</w:t>
      </w:r>
    </w:p>
    <w:p w14:paraId="2BCCB20D">
      <w:pPr>
        <w:numPr>
          <w:ilvl w:val="1"/>
          <w:numId w:val="32"/>
        </w:numPr>
        <w:spacing w:before="0" w:beforeAutospacing="1" w:after="0" w:afterAutospacing="1"/>
        <w:ind w:left="1440" w:hanging="360"/>
      </w:pPr>
      <w:r>
        <w:t>滑块衬套：表面嵌入固体润滑剂（石墨、二硫化钼，含量15%），形成自润滑转移膜，降低摩擦系数30%；通过等离子体处理（Ar等离子，功率500W，时间3分钟），提高表面能（接触角从90°降至60°），增强与润滑油的亲和性。</w:t>
      </w:r>
    </w:p>
    <w:p w14:paraId="5AC1D5B7">
      <w:pPr>
        <w:numPr>
          <w:ilvl w:val="1"/>
          <w:numId w:val="32"/>
        </w:numPr>
        <w:spacing w:before="0" w:beforeAutospacing="1" w:after="0" w:afterAutospacing="1"/>
        <w:ind w:left="1440" w:hanging="360"/>
      </w:pPr>
      <w:r>
        <w:t>电缆保护套：采用聚氨酯（PU）材质，邵氏硬度85A，表面采用微发泡工艺（泡孔直径5~10μm），提升柔韧性（断裂伸长率≥400%）和耐磨性（磨耗量≤50mm³/1.61km，DIN 53516），耐老化性能（紫外老化1000小时，强度保持率≥80%）。</w:t>
      </w:r>
    </w:p>
    <w:p w14:paraId="2B0FCDEF">
      <w:r>
        <w:rPr>
          <w:b/>
        </w:rPr>
        <w:t>材料应用效果</w:t>
      </w:r>
      <w:r>
        <w:t>：经上述材料优化后，升降机结构框架的耐盐雾时间从200小时提升至500小时，丝杆使用寿命从10000小时延长至20000小时，滑块衬套更换周期从800小时延长至2000小时，综合维护成本降低40%。</w:t>
      </w:r>
    </w:p>
    <w:p w14:paraId="59251F79">
      <w:pPr>
        <w:pStyle w:val="3"/>
      </w:pPr>
      <w:r>
        <w:t>五、常见故障诊断与排除方法</w:t>
      </w:r>
    </w:p>
    <w:p w14:paraId="66B13925">
      <w:pPr>
        <w:pStyle w:val="4"/>
      </w:pPr>
      <w:r>
        <w:t>5.1 液压系统常见故障及排除</w:t>
      </w:r>
    </w:p>
    <w:p w14:paraId="0B0D8107">
      <w:r>
        <w:t>液压系统是升降机的动力核心，其故障具有隐蔽性、连锁性特点，需结合压力、流量、温度等参数综合诊断。以下为三类典型故障的诊断流程与排除方法。</w:t>
      </w:r>
    </w:p>
    <w:p w14:paraId="5AA59603">
      <w:r>
        <w:rPr>
          <w:b/>
        </w:rPr>
        <w:t>故障一：平台只能上升不能下降</w:t>
      </w:r>
    </w:p>
    <w:p w14:paraId="2EC2A229">
      <w:r>
        <w:rPr>
          <w:b/>
        </w:rPr>
        <w:t>现象</w:t>
      </w:r>
      <w:r>
        <w:t>：操作下降按钮，平台无动作，或缓慢下降（速度＜0.1m/min），液压系统压力表显示压力异常（上升时正常10MPa，下降时＞1.5MPa或＜0.5MPa）。</w:t>
      </w:r>
    </w:p>
    <w:p w14:paraId="7B1AC986">
      <w:r>
        <w:rPr>
          <w:b/>
        </w:rPr>
        <w:t>成因分析</w:t>
      </w:r>
      <w:r>
        <w:t>：</w:t>
      </w:r>
    </w:p>
    <w:p w14:paraId="255B94DA">
      <w:pPr>
        <w:numPr>
          <w:ilvl w:val="0"/>
          <w:numId w:val="33"/>
        </w:numPr>
        <w:spacing w:before="0" w:beforeAutospacing="1" w:after="0" w:afterAutospacing="1"/>
        <w:ind w:left="720" w:hanging="360"/>
      </w:pPr>
      <w:r>
        <w:rPr>
          <w:b/>
        </w:rPr>
        <w:t>电气控制故障</w:t>
      </w:r>
      <w:r>
        <w:t>：下降电磁阀（34EO-B10H-T右位电磁铁）未得电，可能是电磁铁线圈烧毁（阻值从正常20~30Ω变为∞）、控制回路断线（如PLC输出点Q0.2故障、继电器KA5触点氧化）、限位开关误动作（如下限位1 SQ3粘连，常闭触点未断开）。</w:t>
      </w:r>
    </w:p>
    <w:p w14:paraId="7675C078">
      <w:pPr>
        <w:numPr>
          <w:ilvl w:val="0"/>
          <w:numId w:val="33"/>
        </w:numPr>
        <w:spacing w:before="0" w:beforeAutospacing="1" w:after="0" w:afterAutospacing="1"/>
        <w:ind w:left="720" w:hanging="360"/>
      </w:pPr>
      <w:r>
        <w:rPr>
          <w:b/>
        </w:rPr>
        <w:t>液压元件故障</w:t>
      </w:r>
      <w:r>
        <w:t>：</w:t>
      </w:r>
    </w:p>
    <w:p w14:paraId="637E510A">
      <w:pPr>
        <w:numPr>
          <w:ilvl w:val="1"/>
          <w:numId w:val="33"/>
        </w:numPr>
        <w:spacing w:before="0" w:beforeAutospacing="1" w:after="0" w:afterAutospacing="1"/>
        <w:ind w:left="1440" w:hanging="360"/>
      </w:pPr>
      <w:r>
        <w:t>电磁换向阀阀芯卡滞：阀芯被粉尘颗粒卡住，无法切换至右位（下降工位），表现为电磁阀通电后无“咔哒”换向声，测量阀两端压降＞0.5MPa（正常＜0.3MPa）。</w:t>
      </w:r>
    </w:p>
    <w:p w14:paraId="520313C0">
      <w:pPr>
        <w:numPr>
          <w:ilvl w:val="1"/>
          <w:numId w:val="33"/>
        </w:numPr>
        <w:spacing w:before="0" w:beforeAutospacing="1" w:after="0" w:afterAutospacing="1"/>
        <w:ind w:left="1440" w:hanging="360"/>
      </w:pPr>
      <w:r>
        <w:t>平衡阀故障：平衡阀（FDF-B10H）控制油口堵塞，或阀芯弹簧断裂，导致下降时油液无法通过，油缸下腔压力无法释放。</w:t>
      </w:r>
    </w:p>
    <w:p w14:paraId="45DFD752">
      <w:pPr>
        <w:numPr>
          <w:ilvl w:val="1"/>
          <w:numId w:val="33"/>
        </w:numPr>
        <w:spacing w:before="0" w:beforeAutospacing="1" w:after="0" w:afterAutospacing="1"/>
        <w:ind w:left="1440" w:hanging="360"/>
      </w:pPr>
      <w:r>
        <w:t>液压锁失效：液压锁（DF-B10H1）锥阀密封面磨损（划痕深度≥0.05mm）或弹簧疲劳（弹力下降20%），导致油液无法反向流动。</w:t>
      </w:r>
    </w:p>
    <w:p w14:paraId="78B03E45">
      <w:pPr>
        <w:numPr>
          <w:ilvl w:val="0"/>
          <w:numId w:val="33"/>
        </w:numPr>
        <w:spacing w:before="0" w:beforeAutospacing="1" w:after="0" w:afterAutospacing="1"/>
        <w:ind w:left="720" w:hanging="360"/>
      </w:pPr>
      <w:r>
        <w:rPr>
          <w:b/>
        </w:rPr>
        <w:t>机械故障</w:t>
      </w:r>
      <w:r>
        <w:t>：油缸活塞杆弯曲（直线度误差＞0.5mm/m），下降时与缸筒内壁摩擦阻力增大；平台负载超过额定值150%，触发过载保护（拉力传感器信号＞2500kg），强制锁死下降功能。</w:t>
      </w:r>
    </w:p>
    <w:p w14:paraId="33123BF9">
      <w:r>
        <w:rPr>
          <w:b/>
        </w:rPr>
        <w:t>排除步骤</w:t>
      </w:r>
      <w:r>
        <w:t>：</w:t>
      </w:r>
    </w:p>
    <w:p w14:paraId="3E73F876">
      <w:pPr>
        <w:numPr>
          <w:ilvl w:val="0"/>
          <w:numId w:val="34"/>
        </w:numPr>
        <w:spacing w:before="0" w:beforeAutospacing="1" w:after="0" w:afterAutospacing="1"/>
        <w:ind w:left="720" w:hanging="360"/>
      </w:pPr>
      <w:r>
        <w:rPr>
          <w:b/>
        </w:rPr>
        <w:t>电气检查</w:t>
      </w:r>
      <w:r>
        <w:t>：用万用表测量下降电磁阀线圈电压（正常DC24V±5%），无电压则检查PLC输出点Q0.2（短接Q0.2与COM，若电磁阀动作则PLC故障）；测量限位开关SQ3触点（正常为常闭，电阻0Ω，动作后∞），粘连时用砂纸打磨触点或更换开关。</w:t>
      </w:r>
    </w:p>
    <w:p w14:paraId="7B3159B2">
      <w:pPr>
        <w:numPr>
          <w:ilvl w:val="0"/>
          <w:numId w:val="34"/>
        </w:numPr>
        <w:spacing w:before="0" w:beforeAutospacing="1" w:after="0" w:afterAutospacing="1"/>
        <w:ind w:left="720" w:hanging="360"/>
      </w:pPr>
      <w:r>
        <w:rPr>
          <w:b/>
        </w:rPr>
        <w:t>液压检查</w:t>
      </w:r>
      <w:r>
        <w:t>：</w:t>
      </w:r>
    </w:p>
    <w:p w14:paraId="2C912C91">
      <w:pPr>
        <w:numPr>
          <w:ilvl w:val="1"/>
          <w:numId w:val="34"/>
        </w:numPr>
        <w:spacing w:before="0" w:beforeAutospacing="1" w:after="0" w:afterAutospacing="1"/>
        <w:ind w:left="1440" w:hanging="360"/>
      </w:pPr>
      <w:r>
        <w:t>手动换向：断开电磁阀电源，手动按压电磁换向阀手动按钮，若平台下降则电磁阀故障，拆解阀体（用煤油清洗阀芯，去除粉尘颗粒，阀芯磨损＞0.1mm时更换）。</w:t>
      </w:r>
    </w:p>
    <w:p w14:paraId="707E60D6">
      <w:pPr>
        <w:numPr>
          <w:ilvl w:val="1"/>
          <w:numId w:val="34"/>
        </w:numPr>
        <w:spacing w:before="0" w:beforeAutospacing="1" w:after="0" w:afterAutospacing="1"/>
        <w:ind w:left="1440" w:hanging="360"/>
      </w:pPr>
      <w:r>
        <w:t>压力测试：在油缸下腔油路接入压力表，操作下降时压力＞1.5MPa，调节平衡阀调压螺栓（逆时针旋转1~2圈，降低开启压力）；压力＜0.5MPa，检查液压锁密封面（用研磨膏（粒度W5）修复划痕），更换疲劳弹簧。</w:t>
      </w:r>
    </w:p>
    <w:p w14:paraId="3565F3F3">
      <w:pPr>
        <w:numPr>
          <w:ilvl w:val="0"/>
          <w:numId w:val="34"/>
        </w:numPr>
        <w:spacing w:before="0" w:beforeAutospacing="1" w:after="0" w:afterAutospacing="1"/>
        <w:ind w:left="720" w:hanging="360"/>
      </w:pPr>
      <w:r>
        <w:rPr>
          <w:b/>
        </w:rPr>
        <w:t>机械检查</w:t>
      </w:r>
      <w:r>
        <w:t>：测量活塞杆直线度（用百分表，支点距500mm，误差＞0.5mm时校直）；检查负载（移除平台重物，若能下降则为超载，复位过载保护需长按“紧急下降”按钮10秒）。</w:t>
      </w:r>
    </w:p>
    <w:p w14:paraId="24609A16">
      <w:r>
        <w:rPr>
          <w:b/>
        </w:rPr>
        <w:t>预防措施</w:t>
      </w:r>
      <w:r>
        <w:t>：每月清洗电磁换向阀阀芯过滤网（120目不锈钢网）；每季度对液压锁、平衡阀进行功能测试（手动操作检查动作灵活性）；每年更换液压油（46#抗磨液压油），油液污染度控制在ISO 4406 16/13级以内。</w:t>
      </w:r>
    </w:p>
    <w:p w14:paraId="1F3AB007">
      <w:r>
        <w:rPr>
          <w:b/>
        </w:rPr>
        <w:t>故障二：液压油污染导致系统异响、振动</w:t>
      </w:r>
    </w:p>
    <w:p w14:paraId="0C1251BF">
      <w:r>
        <w:rPr>
          <w:b/>
        </w:rPr>
        <w:t>现象</w:t>
      </w:r>
      <w:r>
        <w:t>：液压泵运行时噪音＞85dB（正常≤75dB），伴有明显振动（振幅＞0.15mm），系统压力波动＞±1MPa，油缸升降速度不稳定（波动＞10%），过滤器发讯器频繁报警（压差＞0.3MPa）。</w:t>
      </w:r>
    </w:p>
    <w:p w14:paraId="0C655FD1">
      <w:r>
        <w:rPr>
          <w:b/>
        </w:rPr>
        <w:t>成因分析</w:t>
      </w:r>
      <w:r>
        <w:t>：</w:t>
      </w:r>
    </w:p>
    <w:p w14:paraId="778C91B5">
      <w:pPr>
        <w:numPr>
          <w:ilvl w:val="0"/>
          <w:numId w:val="35"/>
        </w:numPr>
        <w:spacing w:before="0" w:beforeAutospacing="1" w:after="0" w:afterAutospacing="1"/>
        <w:ind w:left="720" w:hanging="360"/>
      </w:pPr>
      <w:r>
        <w:rPr>
          <w:b/>
        </w:rPr>
        <w:t>颗粒污染</w:t>
      </w:r>
      <w:r>
        <w:t>：新油注入时未过滤（污染度ISO 4406 20/17级），或油箱密封不严（空气滤清器失效，进入粉尘颗粒），导致油液中金属颗粒（≥10μm）浓度超标（＞640个/mL），磨损泵、阀等元件。</w:t>
      </w:r>
    </w:p>
    <w:p w14:paraId="6A198283">
      <w:pPr>
        <w:numPr>
          <w:ilvl w:val="0"/>
          <w:numId w:val="35"/>
        </w:numPr>
        <w:spacing w:before="0" w:beforeAutospacing="1" w:after="0" w:afterAutospacing="1"/>
        <w:ind w:left="720" w:hanging="360"/>
      </w:pPr>
      <w:r>
        <w:rPr>
          <w:b/>
        </w:rPr>
        <w:t>水污染</w:t>
      </w:r>
      <w:r>
        <w:t>：油箱呼吸孔干燥剂失效（吸湿量＞50%），环境湿度＞85%导致油液乳化（水分含量＞0.1%），液压油粘度下降（46#油粘度从46mm²/s降至35mm²/s），产生气蚀噪音。</w:t>
      </w:r>
    </w:p>
    <w:p w14:paraId="65B9AF20">
      <w:pPr>
        <w:numPr>
          <w:ilvl w:val="0"/>
          <w:numId w:val="35"/>
        </w:numPr>
        <w:spacing w:before="0" w:beforeAutospacing="1" w:after="0" w:afterAutospacing="1"/>
        <w:ind w:left="720" w:hanging="360"/>
      </w:pPr>
      <w:r>
        <w:rPr>
          <w:b/>
        </w:rPr>
        <w:t>氧化变质</w:t>
      </w:r>
      <w:r>
        <w:t>：液压油长期高温运行（油温＞65℃），氧化生成胶质、沥青质（酸值＞0.5mgKOH/g），堵塞过滤器滤芯，导致系统压力损失增大。</w:t>
      </w:r>
    </w:p>
    <w:p w14:paraId="0A95E8B3">
      <w:r>
        <w:rPr>
          <w:b/>
        </w:rPr>
        <w:t>排除步骤</w:t>
      </w:r>
      <w:r>
        <w:t>：</w:t>
      </w:r>
    </w:p>
    <w:p w14:paraId="6FA371DD">
      <w:pPr>
        <w:numPr>
          <w:ilvl w:val="0"/>
          <w:numId w:val="36"/>
        </w:numPr>
        <w:spacing w:before="0" w:beforeAutospacing="1" w:after="0" w:afterAutospacing="1"/>
        <w:ind w:left="720" w:hanging="360"/>
      </w:pPr>
      <w:r>
        <w:rPr>
          <w:b/>
        </w:rPr>
        <w:t>油液检测</w:t>
      </w:r>
      <w:r>
        <w:t>：使用便携式颗粒计数器检测污染度（如超过ISO 4406 18/15级），水分测定仪检测水分含量（＞0.1%需脱水），酸值滴定（＞0.5mgKOH/g需换油）。</w:t>
      </w:r>
    </w:p>
    <w:p w14:paraId="38E073A1">
      <w:pPr>
        <w:numPr>
          <w:ilvl w:val="0"/>
          <w:numId w:val="36"/>
        </w:numPr>
        <w:spacing w:before="0" w:beforeAutospacing="1" w:after="0" w:afterAutospacing="1"/>
        <w:ind w:left="720" w:hanging="360"/>
      </w:pPr>
      <w:r>
        <w:rPr>
          <w:b/>
        </w:rPr>
        <w:t>更换油液</w:t>
      </w:r>
      <w:r>
        <w:t>：排空油箱（放出旧油，用面团粘除油箱底部沉积物），注入新油（46#抗磨液压油，污染度ISO 4406 16/13级）前通过离线过滤装置（精度3μm）循环过滤2小时；更换所有过滤器滤芯（吸油、压力、回油过滤器）。</w:t>
      </w:r>
    </w:p>
    <w:p w14:paraId="2304A9EB">
      <w:pPr>
        <w:numPr>
          <w:ilvl w:val="0"/>
          <w:numId w:val="36"/>
        </w:numPr>
        <w:spacing w:before="0" w:beforeAutospacing="1" w:after="0" w:afterAutospacing="1"/>
        <w:ind w:left="720" w:hanging="360"/>
      </w:pPr>
      <w:r>
        <w:rPr>
          <w:b/>
        </w:rPr>
        <w:t>系统冲洗</w:t>
      </w:r>
      <w:r>
        <w:t>：拆除油缸进出油管，接入临时回路，启动油泵以30%额定流量（30L/min）冲洗2小时，冲洗油采用与系统同型号液压油，冲洗后再次更换滤芯。</w:t>
      </w:r>
    </w:p>
    <w:p w14:paraId="7616659B">
      <w:r>
        <w:rPr>
          <w:b/>
        </w:rPr>
        <w:t>预防措施</w:t>
      </w:r>
      <w:r>
        <w:t>：油箱加油口安装过滤精度3μm的加油过滤器；空气滤清器每月检查，干燥剂变色（从蓝色变为粉色）时更换；油温超过55℃时启动冷却器（风冷式，散热面积1.5m²），控制油温在30~55℃。</w:t>
      </w:r>
    </w:p>
    <w:p w14:paraId="540D24D8">
      <w:pPr>
        <w:pStyle w:val="4"/>
      </w:pPr>
      <w:r>
        <w:t>5.2 电气控制系统故障及排除</w:t>
      </w:r>
    </w:p>
    <w:p w14:paraId="49044314">
      <w:r>
        <w:t>电气控制系统故障主要表现为设备无动作、动作异常或报警停机，涉及PLC、传感器、变频器等关键部件，需结合故障代码和电气原理图逐步排查。</w:t>
      </w:r>
    </w:p>
    <w:p w14:paraId="63897CE3">
      <w:r>
        <w:rPr>
          <w:b/>
        </w:rPr>
        <w:t>故障一：PLC与触摸屏通讯故障（故障代码E05）</w:t>
      </w:r>
    </w:p>
    <w:p w14:paraId="40C9C9E7">
      <w:r>
        <w:rPr>
          <w:b/>
        </w:rPr>
        <w:t>现象</w:t>
      </w:r>
      <w:r>
        <w:t>：触摸屏显示“通讯失败”，无法监控设备状态或发送控制指令，PLC诊断缓冲区记录“PROFINET连接中断”（事件代码16#7002）。</w:t>
      </w:r>
    </w:p>
    <w:p w14:paraId="010199B6">
      <w:r>
        <w:rPr>
          <w:b/>
        </w:rPr>
        <w:t>成因分析</w:t>
      </w:r>
      <w:r>
        <w:t>：</w:t>
      </w:r>
    </w:p>
    <w:p w14:paraId="431051CE">
      <w:pPr>
        <w:numPr>
          <w:ilvl w:val="0"/>
          <w:numId w:val="37"/>
        </w:numPr>
        <w:spacing w:before="0" w:beforeAutospacing="1" w:after="0" w:afterAutospacing="1"/>
        <w:ind w:left="720" w:hanging="360"/>
      </w:pPr>
      <w:r>
        <w:rPr>
          <w:b/>
        </w:rPr>
        <w:t>硬件故障</w:t>
      </w:r>
      <w:r>
        <w:t>：触摸屏与PLC之间的PROFINET电缆断线（铜芯断裂、屏蔽层脱落）、接头松动（RJ45水晶头接触不良，针脚弯曲）、PLC通讯模块（CP 1243-1）损坏（指示灯不亮或红色闪烁）。</w:t>
      </w:r>
    </w:p>
    <w:p w14:paraId="686EBD30">
      <w:pPr>
        <w:numPr>
          <w:ilvl w:val="0"/>
          <w:numId w:val="37"/>
        </w:numPr>
        <w:spacing w:before="0" w:beforeAutospacing="1" w:after="0" w:afterAutospacing="1"/>
        <w:ind w:left="720" w:hanging="360"/>
      </w:pPr>
      <w:r>
        <w:rPr>
          <w:b/>
        </w:rPr>
        <w:t>软件故障</w:t>
      </w:r>
      <w:r>
        <w:t>：PROFINET设备名称冲突（触摸屏与PLC设备名称重复）、IP地址设置错误（如触摸屏IP 192.168.0.10，PLC IP 192.168.0.10，导致冲突）、TIA Portal项目中网络配置与实际不符（如子网掩码错误）。</w:t>
      </w:r>
    </w:p>
    <w:p w14:paraId="384EF7F5">
      <w:pPr>
        <w:numPr>
          <w:ilvl w:val="0"/>
          <w:numId w:val="37"/>
        </w:numPr>
        <w:spacing w:before="0" w:beforeAutospacing="1" w:after="0" w:afterAutospacing="1"/>
        <w:ind w:left="720" w:hanging="360"/>
      </w:pPr>
      <w:r>
        <w:rPr>
          <w:b/>
        </w:rPr>
        <w:t>干扰故障</w:t>
      </w:r>
      <w:r>
        <w:t>：通讯电缆与动力电缆并行敷设（间距＜100mm），受电磁干扰（电机启动时产生的浪涌电压＞1000V），导致通讯报文错误（CRC校验失败）。</w:t>
      </w:r>
    </w:p>
    <w:p w14:paraId="035CFAC1">
      <w:r>
        <w:rPr>
          <w:b/>
        </w:rPr>
        <w:t>排除步骤</w:t>
      </w:r>
      <w:r>
        <w:t>：</w:t>
      </w:r>
    </w:p>
    <w:p w14:paraId="0A604F36">
      <w:pPr>
        <w:numPr>
          <w:ilvl w:val="0"/>
          <w:numId w:val="38"/>
        </w:numPr>
        <w:spacing w:before="0" w:beforeAutospacing="1" w:after="0" w:afterAutospacing="1"/>
        <w:ind w:left="720" w:hanging="360"/>
      </w:pPr>
      <w:r>
        <w:rPr>
          <w:b/>
        </w:rPr>
        <w:t>物理检查</w:t>
      </w:r>
      <w:r>
        <w:t>：用网线测试仪检测PROFINET电缆（8芯通断，屏蔽层接地电阻≤1Ω）；重新插拔RJ45接头（确保听到“咔哒”声，IP67密封到位）；观察PLC通讯模块指示灯（正常为绿色常亮，故障时红色闪烁），必要时更换模块。</w:t>
      </w:r>
    </w:p>
    <w:p w14:paraId="06172899">
      <w:pPr>
        <w:numPr>
          <w:ilvl w:val="0"/>
          <w:numId w:val="38"/>
        </w:numPr>
        <w:spacing w:before="0" w:beforeAutospacing="1" w:after="0" w:afterAutospacing="1"/>
        <w:ind w:left="720" w:hanging="360"/>
      </w:pPr>
      <w:r>
        <w:rPr>
          <w:b/>
        </w:rPr>
        <w:t>网络诊断</w:t>
      </w:r>
      <w:r>
        <w:t>：通过TIA Portal的“在线诊断”功能扫描PROFINET网络，查看设备是否在线；检查设备名称和IP地址（触摸屏IP设为192.168.0.10，PLC设为192.168.0.11，子网掩码255.255.255.0），修改冲突地址。</w:t>
      </w:r>
    </w:p>
    <w:p w14:paraId="70921C16">
      <w:pPr>
        <w:numPr>
          <w:ilvl w:val="0"/>
          <w:numId w:val="38"/>
        </w:numPr>
        <w:spacing w:before="0" w:beforeAutospacing="1" w:after="0" w:afterAutospacing="1"/>
        <w:ind w:left="720" w:hanging="360"/>
      </w:pPr>
      <w:r>
        <w:rPr>
          <w:b/>
        </w:rPr>
        <w:t>抗干扰处理</w:t>
      </w:r>
      <w:r>
        <w:t>：将通讯电缆穿镀锌钢管（直径20mm，接地电阻≤4Ω），与动力电缆间距≥300mm；在PLC电源输入端安装浪涌保护器（型号T2级，Imax 40kA），通讯线路两端安装终端电阻（120Ω，PROFINET标准）。</w:t>
      </w:r>
    </w:p>
    <w:p w14:paraId="655939F3">
      <w:r>
        <w:rPr>
          <w:b/>
        </w:rPr>
        <w:t>故障二：变频器过流报警（故障代码F0001，西门子MM440）</w:t>
      </w:r>
    </w:p>
    <w:p w14:paraId="6D6DF6DB">
      <w:r>
        <w:rPr>
          <w:b/>
        </w:rPr>
        <w:t>现象</w:t>
      </w:r>
      <w:r>
        <w:t>：电机启动时变频器立即报警“F0001”（过流），输出电流＞额定电流2倍（如3kW电机额定电流6.5A，报警时＞13A），电机无法启动或启动后立即停机。</w:t>
      </w:r>
    </w:p>
    <w:p w14:paraId="70A2D156">
      <w:r>
        <w:rPr>
          <w:b/>
        </w:rPr>
        <w:t>成因分析</w:t>
      </w:r>
      <w:r>
        <w:t>：</w:t>
      </w:r>
    </w:p>
    <w:p w14:paraId="5613EBAC">
      <w:pPr>
        <w:numPr>
          <w:ilvl w:val="0"/>
          <w:numId w:val="39"/>
        </w:numPr>
        <w:spacing w:before="0" w:beforeAutospacing="1" w:after="0" w:afterAutospacing="1"/>
        <w:ind w:left="720" w:hanging="360"/>
      </w:pPr>
      <w:r>
        <w:rPr>
          <w:b/>
        </w:rPr>
        <w:t>电机故障</w:t>
      </w:r>
      <w:r>
        <w:t>：电机绕组短路（相间绝缘电阻＜0.5MΩ）、匝间短路（三相电流不平衡度＞10%）、轴承卡死（转动阻力矩＞2N·m），导致启动电流激增。</w:t>
      </w:r>
    </w:p>
    <w:p w14:paraId="566DE1A2">
      <w:pPr>
        <w:numPr>
          <w:ilvl w:val="0"/>
          <w:numId w:val="39"/>
        </w:numPr>
        <w:spacing w:before="0" w:beforeAutospacing="1" w:after="0" w:afterAutospacing="1"/>
        <w:ind w:left="720" w:hanging="360"/>
      </w:pPr>
      <w:r>
        <w:rPr>
          <w:b/>
        </w:rPr>
        <w:t>变频器故障</w:t>
      </w:r>
      <w:r>
        <w:t>：IGBT模块损坏（CE极短路）、电流传感器故障（检测值偏差＞5%）、驱动板电容鼓包（容量下降20%）。</w:t>
      </w:r>
    </w:p>
    <w:p w14:paraId="3FA39AA2">
      <w:pPr>
        <w:numPr>
          <w:ilvl w:val="0"/>
          <w:numId w:val="39"/>
        </w:numPr>
        <w:spacing w:before="0" w:beforeAutospacing="1" w:after="0" w:afterAutospacing="1"/>
        <w:ind w:left="720" w:hanging="360"/>
      </w:pPr>
      <w:r>
        <w:rPr>
          <w:b/>
        </w:rPr>
        <w:t>外部因素</w:t>
      </w:r>
      <w:r>
        <w:t>：电机电缆相间短路（绝缘层破损，对地绝缘电阻＜0.5MΩ）、负载过重（平台卡住，电机堵转）、变频器参数设置错误（如加速时间过短（＜0.5s）、额定电流设置过大）。</w:t>
      </w:r>
    </w:p>
    <w:p w14:paraId="50AED441">
      <w:r>
        <w:rPr>
          <w:b/>
        </w:rPr>
        <w:t>排除步骤</w:t>
      </w:r>
      <w:r>
        <w:t>：</w:t>
      </w:r>
    </w:p>
    <w:p w14:paraId="5B410866">
      <w:pPr>
        <w:numPr>
          <w:ilvl w:val="0"/>
          <w:numId w:val="40"/>
        </w:numPr>
        <w:spacing w:before="0" w:beforeAutospacing="1" w:after="0" w:afterAutospacing="1"/>
        <w:ind w:left="720" w:hanging="360"/>
      </w:pPr>
      <w:r>
        <w:rPr>
          <w:b/>
        </w:rPr>
        <w:t>电机检查</w:t>
      </w:r>
      <w:r>
        <w:t>：断开电机电缆，用兆欧表测量绕组绝缘电阻（≥1MΩ，500V档）；拆除电机端盖，手动转动电机轴（应灵活无卡滞）；测量三相绕组直流电阻（不平衡度≤5%），短路时更换电机。</w:t>
      </w:r>
    </w:p>
    <w:p w14:paraId="39B89E9B">
      <w:pPr>
        <w:numPr>
          <w:ilvl w:val="0"/>
          <w:numId w:val="40"/>
        </w:numPr>
        <w:spacing w:before="0" w:beforeAutospacing="1" w:after="0" w:afterAutospacing="1"/>
        <w:ind w:left="720" w:hanging="360"/>
      </w:pPr>
      <w:r>
        <w:rPr>
          <w:b/>
        </w:rPr>
        <w:t>电缆检查</w:t>
      </w:r>
      <w:r>
        <w:t>：用万用表检测电机电缆通断（各相电阻应接近0Ω），摇表测量对地绝缘（≥1MΩ），破损时更换电缆（穿管敷设，避免机械损伤）。</w:t>
      </w:r>
    </w:p>
    <w:p w14:paraId="683676A7">
      <w:pPr>
        <w:numPr>
          <w:ilvl w:val="0"/>
          <w:numId w:val="40"/>
        </w:numPr>
        <w:spacing w:before="0" w:beforeAutospacing="1" w:after="0" w:afterAutospacing="1"/>
        <w:ind w:left="720" w:hanging="360"/>
      </w:pPr>
      <w:r>
        <w:rPr>
          <w:b/>
        </w:rPr>
        <w:t>变频器检查与参数复位</w:t>
      </w:r>
      <w:r>
        <w:t>：断电3分钟后重启变频器，若仍报警则断开电机电缆，空开测试变频器（启动无报警则电机故障）；进入变频器参数（P0700=2，P1000=2），恢复出厂设置（P0010=30，P0970=1），重新设置参数（加速时间P1120=5s，额定电流P0305=6.5A）。</w:t>
      </w:r>
    </w:p>
    <w:p w14:paraId="72FBC188">
      <w:pPr>
        <w:pStyle w:val="4"/>
      </w:pPr>
      <w:r>
        <w:t>5.3 机械结构故障及排除</w:t>
      </w:r>
    </w:p>
    <w:p w14:paraId="07DAA706">
      <w:r>
        <w:t>机械结构故障直接影响升降机的运行平稳性和定位精度，主要涉及传动部件磨损、导向系统卡滞、结构件变形等，需通过测量工具（百分表、水平仪）定量检测。</w:t>
      </w:r>
    </w:p>
    <w:p w14:paraId="235FF2C2">
      <w:r>
        <w:rPr>
          <w:b/>
        </w:rPr>
        <w:t>故障一：平台升降时异响、振动（振幅＞0.15mm）</w:t>
      </w:r>
    </w:p>
    <w:p w14:paraId="7D734D70">
      <w:r>
        <w:rPr>
          <w:b/>
        </w:rPr>
        <w:t>现象</w:t>
      </w:r>
      <w:r>
        <w:t>：平台上升/下降过程中发出“咔咔”或“嗡嗡”异响，振动加速度＞0.5m/s²，定位精度超差（＞±1mm），严重时伴随导轨与滑块摩擦发热（温度＞60℃）。</w:t>
      </w:r>
    </w:p>
    <w:p w14:paraId="20DD350B">
      <w:r>
        <w:rPr>
          <w:b/>
        </w:rPr>
        <w:t>成因分析</w:t>
      </w:r>
      <w:r>
        <w:t>：</w:t>
      </w:r>
    </w:p>
    <w:p w14:paraId="078471BD">
      <w:pPr>
        <w:numPr>
          <w:ilvl w:val="0"/>
          <w:numId w:val="41"/>
        </w:numPr>
        <w:spacing w:before="0" w:beforeAutospacing="1" w:after="0" w:afterAutospacing="1"/>
        <w:ind w:left="720" w:hanging="360"/>
      </w:pPr>
      <w:r>
        <w:rPr>
          <w:b/>
        </w:rPr>
        <w:t>导向系统异常</w:t>
      </w:r>
      <w:r>
        <w:t>：滑轨平行度误差＞0.5mm/m，滑块与滑轨间隙不均匀（一侧0.05mm，另一侧0.2mm）；滑块轴承磨损（游隙＞0.1mm），滚动体（滚珠/滚柱）损坏或缺失；滑轨表面有划痕（深度＞0.1mm）或锈蚀（锈斑面积＞5%）。</w:t>
      </w:r>
    </w:p>
    <w:p w14:paraId="19596E1B">
      <w:pPr>
        <w:numPr>
          <w:ilvl w:val="0"/>
          <w:numId w:val="41"/>
        </w:numPr>
        <w:spacing w:before="0" w:beforeAutospacing="1" w:after="0" w:afterAutospacing="1"/>
        <w:ind w:left="720" w:hanging="360"/>
      </w:pPr>
      <w:r>
        <w:rPr>
          <w:b/>
        </w:rPr>
        <w:t>传动系统异常</w:t>
      </w:r>
      <w:r>
        <w:t>：丝杆与螺母间隙过大（＞0.2mm），啮合时产生冲击；传动轴两端锥齿轮啮合不良（侧隙＞0.3mm），或轴承座松动（螺栓预紧力下降30%）；电机与传动轴联轴器偏心（径向跳动＞0.1mm）。</w:t>
      </w:r>
    </w:p>
    <w:p w14:paraId="1ED27060">
      <w:pPr>
        <w:numPr>
          <w:ilvl w:val="0"/>
          <w:numId w:val="41"/>
        </w:numPr>
        <w:spacing w:before="0" w:beforeAutospacing="1" w:after="0" w:afterAutospacing="1"/>
        <w:ind w:left="720" w:hanging="360"/>
      </w:pPr>
      <w:r>
        <w:rPr>
          <w:b/>
        </w:rPr>
        <w:t>结构件松动</w:t>
      </w:r>
      <w:r>
        <w:t>：平台与升降座连接螺栓（M16，8.8级）松动（扭矩从45N·m降至20N·m），导致平台晃动；支撑框架斜撑焊接开裂（裂纹长度＞10mm），整体刚度下降。</w:t>
      </w:r>
    </w:p>
    <w:p w14:paraId="2B7EDA25">
      <w:r>
        <w:rPr>
          <w:b/>
        </w:rPr>
        <w:t>排除步骤</w:t>
      </w:r>
      <w:r>
        <w:t>：</w:t>
      </w:r>
    </w:p>
    <w:p w14:paraId="4BEEE265">
      <w:pPr>
        <w:numPr>
          <w:ilvl w:val="0"/>
          <w:numId w:val="42"/>
        </w:numPr>
        <w:spacing w:before="0" w:beforeAutospacing="1" w:after="0" w:afterAutospacing="1"/>
        <w:ind w:left="720" w:hanging="360"/>
      </w:pPr>
      <w:r>
        <w:rPr>
          <w:b/>
        </w:rPr>
        <w:t>导向系统调整</w:t>
      </w:r>
      <w:r>
        <w:t>：</w:t>
      </w:r>
    </w:p>
    <w:p w14:paraId="4AC17456">
      <w:pPr>
        <w:numPr>
          <w:ilvl w:val="1"/>
          <w:numId w:val="42"/>
        </w:numPr>
        <w:spacing w:before="0" w:beforeAutospacing="1" w:after="0" w:afterAutospacing="1"/>
        <w:ind w:left="1440" w:hanging="360"/>
      </w:pPr>
      <w:r>
        <w:t>测量滑轨平行度：用框式水平仪（精度0.02mm/m）沿滑轨全长测量，误差＞0.5mm/m时松开滑轨固定螺栓，用塞铁片调整（每片厚度0.05mm），重新紧固（扭矩35N·m）。</w:t>
      </w:r>
    </w:p>
    <w:p w14:paraId="4908EFF3">
      <w:pPr>
        <w:numPr>
          <w:ilvl w:val="1"/>
          <w:numId w:val="42"/>
        </w:numPr>
        <w:spacing w:before="0" w:beforeAutospacing="1" w:after="0" w:afterAutospacing="1"/>
        <w:ind w:left="1440" w:hanging="360"/>
      </w:pPr>
      <w:r>
        <w:t>更换滑块：拆除滑块，检查轴承滚动体（如有破损立即更换），新滑块安装时涂抹润滑脂（锂基脂NLGI 2级），调整滑块间隙（通过偏心轴，间隙0.05~0.1mm）。</w:t>
      </w:r>
    </w:p>
    <w:p w14:paraId="1FE80F68">
      <w:pPr>
        <w:numPr>
          <w:ilvl w:val="0"/>
          <w:numId w:val="42"/>
        </w:numPr>
        <w:spacing w:before="0" w:beforeAutospacing="1" w:after="0" w:afterAutospacing="1"/>
        <w:ind w:left="720" w:hanging="360"/>
      </w:pPr>
      <w:r>
        <w:rPr>
          <w:b/>
        </w:rPr>
        <w:t>传动系统检修</w:t>
      </w:r>
      <w:r>
        <w:t>：</w:t>
      </w:r>
    </w:p>
    <w:p w14:paraId="5C3CE8F8">
      <w:pPr>
        <w:numPr>
          <w:ilvl w:val="1"/>
          <w:numId w:val="42"/>
        </w:numPr>
        <w:spacing w:before="0" w:beforeAutospacing="1" w:after="0" w:afterAutospacing="1"/>
        <w:ind w:left="1440" w:hanging="360"/>
      </w:pPr>
      <w:r>
        <w:t>丝杆螺母：测量螺纹间隙（用塞尺检测，＞0.2mm时更换螺母），螺母安装时预紧（预紧力500N），消除间隙。</w:t>
      </w:r>
    </w:p>
    <w:p w14:paraId="763DF28C">
      <w:pPr>
        <w:numPr>
          <w:ilvl w:val="1"/>
          <w:numId w:val="42"/>
        </w:numPr>
        <w:spacing w:before="0" w:beforeAutospacing="1" w:after="0" w:afterAutospacing="1"/>
        <w:ind w:left="1440" w:hanging="360"/>
      </w:pPr>
      <w:r>
        <w:t>锥齿轮啮合：调整轴承座位置，使齿轮侧隙控制在0.1~0.2mm（用铅丝法测量，铅丝直径0.5mm，压痕厚度0.1~0.2mm），紧固轴承座螺栓（扭矩60N·m）。</w:t>
      </w:r>
    </w:p>
    <w:p w14:paraId="68EAC124">
      <w:pPr>
        <w:numPr>
          <w:ilvl w:val="0"/>
          <w:numId w:val="42"/>
        </w:numPr>
        <w:spacing w:before="0" w:beforeAutospacing="1" w:after="0" w:afterAutospacing="1"/>
        <w:ind w:left="720" w:hanging="360"/>
      </w:pPr>
      <w:r>
        <w:rPr>
          <w:b/>
        </w:rPr>
        <w:t>结构紧固</w:t>
      </w:r>
      <w:r>
        <w:t>：用扭矩扳手复紧平台连接螺栓（按M16螺栓45N·m扭矩），对框架裂纹进行补焊（焊条E5015，直径3.2mm，焊接电流100~120A），焊后打磨平整并涂防锈漆（环氧富锌底漆，厚度60μm）。</w:t>
      </w:r>
    </w:p>
    <w:p w14:paraId="589760A8">
      <w:r>
        <w:rPr>
          <w:b/>
        </w:rPr>
        <w:t>故障二：丝杆升降机螺母卡死</w:t>
      </w:r>
    </w:p>
    <w:p w14:paraId="5B7C8A5C">
      <w:r>
        <w:rPr>
          <w:b/>
        </w:rPr>
        <w:t>现象</w:t>
      </w:r>
      <w:r>
        <w:t>：平台升降时突然卡死，电机过载保护动作（热继电器跳闸），丝杆与螺母连接处有金属摩擦声，强行运行可能导致丝杆弯曲或电机烧毁。</w:t>
      </w:r>
    </w:p>
    <w:p w14:paraId="28A8AF87">
      <w:r>
        <w:rPr>
          <w:b/>
        </w:rPr>
        <w:t>成因分析</w:t>
      </w:r>
      <w:r>
        <w:t>：</w:t>
      </w:r>
    </w:p>
    <w:p w14:paraId="198C3249">
      <w:pPr>
        <w:numPr>
          <w:ilvl w:val="0"/>
          <w:numId w:val="43"/>
        </w:numPr>
        <w:spacing w:before="0" w:beforeAutospacing="1" w:after="0" w:afterAutospacing="1"/>
        <w:ind w:left="720" w:hanging="360"/>
      </w:pPr>
      <w:r>
        <w:rPr>
          <w:b/>
        </w:rPr>
        <w:t>异物进入</w:t>
      </w:r>
      <w:r>
        <w:t>：粉尘颗粒（≥100μm）进入螺纹副（未安装防尘盖或防尘盖破损），卡在丝杆与螺母之间，形成“磨粒磨损”，螺纹牙型被刮伤（齿顶宽度减少0.2mm）。</w:t>
      </w:r>
    </w:p>
    <w:p w14:paraId="3744F6BE">
      <w:pPr>
        <w:numPr>
          <w:ilvl w:val="0"/>
          <w:numId w:val="43"/>
        </w:numPr>
        <w:spacing w:before="0" w:beforeAutospacing="1" w:after="0" w:afterAutospacing="1"/>
        <w:ind w:left="720" w:hanging="360"/>
      </w:pPr>
      <w:r>
        <w:rPr>
          <w:b/>
        </w:rPr>
        <w:t>润滑不良</w:t>
      </w:r>
      <w:r>
        <w:t>：长期未加注润滑脂（超过200小时），螺纹表面干摩擦，摩擦系数从0.08升至0.3，局部温度超过150℃，导致金属粘连（咬死）。</w:t>
      </w:r>
    </w:p>
    <w:p w14:paraId="55A0E3E3">
      <w:pPr>
        <w:numPr>
          <w:ilvl w:val="0"/>
          <w:numId w:val="43"/>
        </w:numPr>
        <w:spacing w:before="0" w:beforeAutospacing="1" w:after="0" w:afterAutospacing="1"/>
        <w:ind w:left="720" w:hanging="360"/>
      </w:pPr>
      <w:r>
        <w:rPr>
          <w:b/>
        </w:rPr>
        <w:t>丝杆弯曲</w:t>
      </w:r>
      <w:r>
        <w:t>：平台偏载（负载重心偏离中心＞100mm），丝杆承受径向力（＞500N），长期运行后弯曲（直线度误差＞1mm/m），螺母运行至弯曲处时卡住。</w:t>
      </w:r>
    </w:p>
    <w:p w14:paraId="0D007636">
      <w:r>
        <w:rPr>
          <w:b/>
        </w:rPr>
        <w:t>排除步骤</w:t>
      </w:r>
      <w:r>
        <w:t>：</w:t>
      </w:r>
    </w:p>
    <w:p w14:paraId="5CF8800A">
      <w:pPr>
        <w:numPr>
          <w:ilvl w:val="0"/>
          <w:numId w:val="44"/>
        </w:numPr>
        <w:spacing w:before="0" w:beforeAutospacing="1" w:after="0" w:afterAutospacing="1"/>
        <w:ind w:left="720" w:hanging="360"/>
      </w:pPr>
      <w:r>
        <w:rPr>
          <w:b/>
        </w:rPr>
        <w:t>紧急处理</w:t>
      </w:r>
      <w:r>
        <w:t>：立即切断电源，防止电机烧毁；手动转动丝杆（用扳手），判断卡死位置，若轻微卡滞可缓慢转动，同时注入煤油润滑，溶解金属粘连物。</w:t>
      </w:r>
    </w:p>
    <w:p w14:paraId="6CD8AFF1">
      <w:pPr>
        <w:numPr>
          <w:ilvl w:val="0"/>
          <w:numId w:val="44"/>
        </w:numPr>
        <w:spacing w:before="0" w:beforeAutospacing="1" w:after="0" w:afterAutospacing="1"/>
        <w:ind w:left="720" w:hanging="360"/>
      </w:pPr>
      <w:r>
        <w:rPr>
          <w:b/>
        </w:rPr>
        <w:t>拆解检修</w:t>
      </w:r>
      <w:r>
        <w:t>：拆除防尘盖，用高压气枪（0.6MPa）吹除螺纹副内粉尘；拆解螺母，用金相砂纸（粒度400目）打磨螺纹表面划痕，涂抹二硫化钼润滑脂（耐高温300℃）；测量丝杆直线度（用百分表，支点距1m），弯曲时用压力机校直（校直后误差≤0.5mm/m）。</w:t>
      </w:r>
    </w:p>
    <w:p w14:paraId="05C1D07F">
      <w:pPr>
        <w:numPr>
          <w:ilvl w:val="0"/>
          <w:numId w:val="44"/>
        </w:numPr>
        <w:spacing w:before="0" w:beforeAutospacing="1" w:after="0" w:afterAutospacing="1"/>
        <w:ind w:left="720" w:hanging="360"/>
      </w:pPr>
      <w:r>
        <w:rPr>
          <w:b/>
        </w:rPr>
        <w:t>预防措施</w:t>
      </w:r>
      <w:r>
        <w:t>：安装新型防尘盖（带唇形密封），每100小时加注润滑脂（用量填满螺纹间隙1/3）；限制平台偏载量（≤5%额定负载），在平台上标识重心位置线。</w:t>
      </w:r>
    </w:p>
    <w:p w14:paraId="459D0ED2">
      <w:pPr>
        <w:pStyle w:val="3"/>
      </w:pPr>
      <w:r>
        <w:t>六、维护保养策略与安全操作规范</w:t>
      </w:r>
    </w:p>
    <w:p w14:paraId="4617D1A5">
      <w:pPr>
        <w:pStyle w:val="4"/>
      </w:pPr>
      <w:r>
        <w:t>6.1 日常检查与预防性维护策略</w:t>
      </w:r>
    </w:p>
    <w:p w14:paraId="30157BDC">
      <w:r>
        <w:t>日常检查与预防性维护是降低升降机故障率、延长使用寿命的关键，需建立“日检-周检-月检”三级维护体系，明确检查项目、标准和责任人。</w:t>
      </w:r>
    </w:p>
    <w:p w14:paraId="650D5CB7">
      <w:r>
        <w:rPr>
          <w:b/>
        </w:rPr>
        <w:t>日常检查（操作员执行，每日班前15分钟）</w:t>
      </w:r>
      <w:r>
        <w:t>：</w:t>
      </w:r>
    </w:p>
    <w:p w14:paraId="48D6938B">
      <w:pPr>
        <w:numPr>
          <w:ilvl w:val="0"/>
          <w:numId w:val="45"/>
        </w:numPr>
        <w:spacing w:before="0" w:beforeAutospacing="1" w:after="0" w:afterAutospacing="1"/>
        <w:ind w:left="720" w:hanging="360"/>
      </w:pPr>
      <w:r>
        <w:rPr>
          <w:b/>
        </w:rPr>
        <w:t>外观检查</w:t>
      </w:r>
      <w:r>
        <w:t>：平台表面无杂物（工具、工件），防护栏杆无变形（弯曲≤5mm），集尘槽内粉尘未超过2/3（及时清理）；电缆无破损（绝缘层无裂纹，屏蔽层无裸露），格兰头密封良好（无粉尘进入）。</w:t>
      </w:r>
    </w:p>
    <w:p w14:paraId="0E113CC9">
      <w:pPr>
        <w:numPr>
          <w:ilvl w:val="0"/>
          <w:numId w:val="45"/>
        </w:numPr>
        <w:spacing w:before="0" w:beforeAutospacing="1" w:after="0" w:afterAutospacing="1"/>
        <w:ind w:left="720" w:hanging="360"/>
      </w:pPr>
      <w:r>
        <w:rPr>
          <w:b/>
        </w:rPr>
        <w:t>功能检查</w:t>
      </w:r>
      <w:r>
        <w:t>：操作面板按钮（上升、下降、急停）灵敏（按压行程2mm，回弹有力），指示灯正常（绿色运行、红色故障）；安全门关闭严密（与门框间隙≤2mm），联锁开关动作可靠（门开启时设备无法启动）。</w:t>
      </w:r>
    </w:p>
    <w:p w14:paraId="0DCCE47E">
      <w:pPr>
        <w:numPr>
          <w:ilvl w:val="0"/>
          <w:numId w:val="45"/>
        </w:numPr>
        <w:spacing w:before="0" w:beforeAutospacing="1" w:after="0" w:afterAutospacing="1"/>
        <w:ind w:left="720" w:hanging="360"/>
      </w:pPr>
      <w:r>
        <w:rPr>
          <w:b/>
        </w:rPr>
        <w:t>空载试运行</w:t>
      </w:r>
      <w:r>
        <w:t>：启动升降机，空载升降2个行程（从底层到顶层），运行平稳无异响（噪音≤65dB），停止时无明显晃动（振幅≤0.1mm），平层精度≤±1mm。</w:t>
      </w:r>
    </w:p>
    <w:p w14:paraId="1E8DAEBF">
      <w:r>
        <w:rPr>
          <w:b/>
        </w:rPr>
        <w:t>每周检查（维修员执行，每周五下午）</w:t>
      </w:r>
      <w:r>
        <w:t>：</w:t>
      </w:r>
    </w:p>
    <w:p w14:paraId="62E19491">
      <w:pPr>
        <w:numPr>
          <w:ilvl w:val="0"/>
          <w:numId w:val="46"/>
        </w:numPr>
        <w:spacing w:before="0" w:beforeAutospacing="1" w:after="0" w:afterAutospacing="1"/>
        <w:ind w:left="720" w:hanging="360"/>
      </w:pPr>
      <w:r>
        <w:rPr>
          <w:b/>
        </w:rPr>
        <w:t>润滑检查</w:t>
      </w:r>
      <w:r>
        <w:t>：导向滑轨、丝杆、齿轮箱加注润滑脂（锂基脂NLGI 2级），用量以溢出少量新脂为宜；电机轴承润滑（每200小时加注一次，型号ZL-3锂基脂，注入量为轴承腔1/3~1/2）。</w:t>
      </w:r>
    </w:p>
    <w:p w14:paraId="74D15B01">
      <w:pPr>
        <w:numPr>
          <w:ilvl w:val="0"/>
          <w:numId w:val="46"/>
        </w:numPr>
        <w:spacing w:before="0" w:beforeAutospacing="1" w:after="0" w:afterAutospacing="1"/>
        <w:ind w:left="720" w:hanging="360"/>
      </w:pPr>
      <w:r>
        <w:rPr>
          <w:b/>
        </w:rPr>
        <w:t>紧固检查</w:t>
      </w:r>
      <w:r>
        <w:t>：用扭矩扳手检查关键螺栓：平台连接螺栓（M16，45N·m）、滑轨固定螺栓（M12，35N·m）、电机地脚螺栓（M10，25N·m），松动时按标准扭矩复紧，标记防松线。</w:t>
      </w:r>
    </w:p>
    <w:p w14:paraId="6E89286C">
      <w:pPr>
        <w:numPr>
          <w:ilvl w:val="0"/>
          <w:numId w:val="46"/>
        </w:numPr>
        <w:spacing w:before="0" w:beforeAutospacing="1" w:after="0" w:afterAutospacing="1"/>
        <w:ind w:left="720" w:hanging="360"/>
      </w:pPr>
      <w:r>
        <w:rPr>
          <w:b/>
        </w:rPr>
        <w:t>安全装置测试</w:t>
      </w:r>
      <w:r>
        <w:t>：测试急停按钮（按下后设备立即停机，抱闸动作）；触发过载保护（加载110%额定负载，设备报警并停止升降）；测试防坠安全器（手动触发，安全器应锁死导轨，无法移动）。</w:t>
      </w:r>
    </w:p>
    <w:p w14:paraId="511B0F9F">
      <w:r>
        <w:rPr>
          <w:b/>
        </w:rPr>
        <w:t>每月检查（维修班长执行，每月最后一个工作日）</w:t>
      </w:r>
      <w:r>
        <w:t>：</w:t>
      </w:r>
    </w:p>
    <w:p w14:paraId="345883F3">
      <w:pPr>
        <w:numPr>
          <w:ilvl w:val="0"/>
          <w:numId w:val="47"/>
        </w:numPr>
        <w:spacing w:before="0" w:beforeAutospacing="1" w:after="0" w:afterAutospacing="1"/>
        <w:ind w:left="720" w:hanging="360"/>
      </w:pPr>
      <w:r>
        <w:rPr>
          <w:b/>
        </w:rPr>
        <w:t>性能参数检测</w:t>
      </w:r>
      <w:r>
        <w:t>：</w:t>
      </w:r>
    </w:p>
    <w:p w14:paraId="74045D9F">
      <w:pPr>
        <w:numPr>
          <w:ilvl w:val="1"/>
          <w:numId w:val="47"/>
        </w:numPr>
        <w:spacing w:before="0" w:beforeAutospacing="1" w:after="0" w:afterAutospacing="1"/>
        <w:ind w:left="1440" w:hanging="360"/>
      </w:pPr>
      <w:r>
        <w:t>升降速度：用秒表测量平台从底层到顶层时间（如6m高度，额定速度1.5m/min，时间应≤4分钟±5%），速度偏差＞10%时调节变频器参数（P1120加速时间、P1121减速时间）。</w:t>
      </w:r>
    </w:p>
    <w:p w14:paraId="1C4886C5">
      <w:pPr>
        <w:numPr>
          <w:ilvl w:val="1"/>
          <w:numId w:val="47"/>
        </w:numPr>
        <w:spacing w:before="0" w:beforeAutospacing="1" w:after="0" w:afterAutospacing="1"/>
        <w:ind w:left="1440" w:hanging="360"/>
      </w:pPr>
      <w:r>
        <w:t>定位精度：在平台上放置百分表（量程0~10mm），测头接触固定基准面，升降至5个不同高度，记录偏差值，最大偏差＞±1mm时校准编码器（通过PLC修正补偿值）。</w:t>
      </w:r>
    </w:p>
    <w:p w14:paraId="6DE5DF5B">
      <w:pPr>
        <w:numPr>
          <w:ilvl w:val="1"/>
          <w:numId w:val="47"/>
        </w:numPr>
        <w:spacing w:before="0" w:beforeAutospacing="1" w:after="0" w:afterAutospacing="1"/>
        <w:ind w:left="1440" w:hanging="360"/>
      </w:pPr>
      <w:r>
        <w:t>制动性能：测量制动距离（从1.5m/min速度紧急制动，距离应≤0.2m），制动时间＞0.5s时调整电磁制动器间隙（通过调整螺栓，间隙0.3~0.5mm）。</w:t>
      </w:r>
    </w:p>
    <w:p w14:paraId="62E6D9A6">
      <w:pPr>
        <w:numPr>
          <w:ilvl w:val="0"/>
          <w:numId w:val="47"/>
        </w:numPr>
        <w:spacing w:before="0" w:beforeAutospacing="1" w:after="0" w:afterAutospacing="1"/>
        <w:ind w:left="720" w:hanging="360"/>
      </w:pPr>
      <w:r>
        <w:rPr>
          <w:b/>
        </w:rPr>
        <w:t>液压系统检查</w:t>
      </w:r>
      <w:r>
        <w:t>：检测液压油位（油箱液位计1/2~2/3）、油温（30~55℃）、压力（空载上升压力5~6MPa，满载上升压力9~10MPa）；检查油管接头、油缸有无渗漏（30分钟内渗漏≤3滴）。</w:t>
      </w:r>
    </w:p>
    <w:p w14:paraId="0F72A1C9">
      <w:pPr>
        <w:numPr>
          <w:ilvl w:val="0"/>
          <w:numId w:val="47"/>
        </w:numPr>
        <w:spacing w:before="0" w:beforeAutospacing="1" w:after="0" w:afterAutospacing="1"/>
        <w:ind w:left="720" w:hanging="360"/>
      </w:pPr>
      <w:r>
        <w:rPr>
          <w:b/>
        </w:rPr>
        <w:t>电气系统检查</w:t>
      </w:r>
      <w:r>
        <w:t>：测量电机绝缘电阻（≥1MΩ，500V兆欧表）；检查PLC输入输出点（用替代法测试各按钮、开关信号）；清洁控制箱内粉尘（用压缩空气，压力≤0.3MPa）。</w:t>
      </w:r>
    </w:p>
    <w:p w14:paraId="6CE5A8E9">
      <w:r>
        <w:rPr>
          <w:b/>
        </w:rPr>
        <w:t>维护记录与分析</w:t>
      </w:r>
      <w:r>
        <w:t>：建立《升降机维护保养台账》，记录检查时间、项目、数据、异常情况及处理措施；每月统计故障类型（液压35%、电气40%、机械25%），分析高频故障原因（如粉尘导致电磁阀卡滞占液压故障60%），针对性改进维护措施（如缩短电磁阀清洗周期至1个月）。</w:t>
      </w:r>
    </w:p>
    <w:p w14:paraId="1A6869F6">
      <w:pPr>
        <w:pStyle w:val="4"/>
      </w:pPr>
      <w:r>
        <w:t>6.2 定期维护周期与技术要求</w:t>
      </w:r>
    </w:p>
    <w:p w14:paraId="4C655443">
      <w:r>
        <w:t>定期维护是对升降机进行的深度保养，根据部件寿命和运行时间分为一级（3个月）、二级（6个月）、三级（12个月）维护，需由专业维修团队（持特种设备维修许可证）执行。</w:t>
      </w:r>
    </w:p>
    <w:p w14:paraId="7FA0E0BA">
      <w:r>
        <w:rPr>
          <w:b/>
        </w:rPr>
        <w:t>一级维护（3个月，维护时间4小时）</w:t>
      </w:r>
      <w:r>
        <w:t>：</w:t>
      </w:r>
    </w:p>
    <w:p w14:paraId="47A516F3">
      <w:pPr>
        <w:numPr>
          <w:ilvl w:val="0"/>
          <w:numId w:val="48"/>
        </w:numPr>
        <w:spacing w:before="0" w:beforeAutospacing="1" w:after="0" w:afterAutospacing="1"/>
        <w:ind w:left="720" w:hanging="360"/>
      </w:pPr>
      <w:r>
        <w:rPr>
          <w:b/>
        </w:rPr>
        <w:t>液压系统</w:t>
      </w:r>
      <w:r>
        <w:t>：更换回油过滤器滤芯（RFA-63×10L-Y），清洗吸油过滤器滤网；检查液压锁、平衡阀功能（手动操作，确保动作灵活）；补充液压油（46#抗磨液压油，至液位计2/3处）。</w:t>
      </w:r>
    </w:p>
    <w:p w14:paraId="166A5423">
      <w:pPr>
        <w:numPr>
          <w:ilvl w:val="0"/>
          <w:numId w:val="48"/>
        </w:numPr>
        <w:spacing w:before="0" w:beforeAutospacing="1" w:after="0" w:afterAutospacing="1"/>
        <w:ind w:left="720" w:hanging="360"/>
      </w:pPr>
      <w:r>
        <w:rPr>
          <w:b/>
        </w:rPr>
        <w:t>传动系统</w:t>
      </w:r>
      <w:r>
        <w:t>：清洗丝杆、滑轨表面，涂抹新润滑脂（二硫化钼锂基脂）；检查传动轴联轴器（径向跳动≤0.1mm），紧固螺栓（扭矩25N·m）；测量齿轮啮合侧隙（≤0.3mm，超差时调整轴承座）。</w:t>
      </w:r>
    </w:p>
    <w:p w14:paraId="0DB6F752">
      <w:pPr>
        <w:numPr>
          <w:ilvl w:val="0"/>
          <w:numId w:val="48"/>
        </w:numPr>
        <w:spacing w:before="0" w:beforeAutospacing="1" w:after="0" w:afterAutospacing="1"/>
        <w:ind w:left="720" w:hanging="360"/>
      </w:pPr>
      <w:r>
        <w:rPr>
          <w:b/>
        </w:rPr>
        <w:t>电气系统</w:t>
      </w:r>
      <w:r>
        <w:t>：校准拉力传感器（加载500kg、1000kg标准砝码，输出信号4~20mA应线性对应）；检查限位开关位置（上限位1距离顶部500mm，下限位1距离底部300mm），紧固安装支架。</w:t>
      </w:r>
    </w:p>
    <w:p w14:paraId="2A20405C">
      <w:r>
        <w:rPr>
          <w:b/>
        </w:rPr>
        <w:t>二级维护（6个月，维护时间8小时）</w:t>
      </w:r>
      <w:r>
        <w:t>：</w:t>
      </w:r>
    </w:p>
    <w:p w14:paraId="00ECD8F3">
      <w:pPr>
        <w:numPr>
          <w:ilvl w:val="0"/>
          <w:numId w:val="49"/>
        </w:numPr>
        <w:spacing w:before="0" w:beforeAutospacing="1" w:after="0" w:afterAutospacing="1"/>
        <w:ind w:left="720" w:hanging="360"/>
      </w:pPr>
      <w:r>
        <w:rPr>
          <w:b/>
        </w:rPr>
        <w:t>液压系统</w:t>
      </w:r>
      <w:r>
        <w:t>：更换液压油（排空油箱，清洗内壁，注入新油至液位计2/3），油液污染度检测（ISO 4406 16/13级）；更换电磁换向阀滤芯（滤网120目），拆解清洗阀芯（用煤油，压缩空气吹干）；测试液压泵容积效率（≥90%，通过流量测试：压力10MPa时流量≥9L/min）。</w:t>
      </w:r>
    </w:p>
    <w:p w14:paraId="2382C9AC">
      <w:pPr>
        <w:numPr>
          <w:ilvl w:val="0"/>
          <w:numId w:val="49"/>
        </w:numPr>
        <w:spacing w:before="0" w:beforeAutospacing="1" w:after="0" w:afterAutospacing="1"/>
        <w:ind w:left="720" w:hanging="360"/>
      </w:pPr>
      <w:r>
        <w:rPr>
          <w:b/>
        </w:rPr>
        <w:t>机械系统</w:t>
      </w:r>
      <w:r>
        <w:t>：检查滑块磨损（测量滑块高度，原高50mm，磨损＞2mm时更换）；检查丝杆螺纹磨损（用螺纹规测量中径，偏差＞0.1mm时更换）；校准平台水平度（用水平仪，误差≤0.2mm/m，调整支撑脚）。</w:t>
      </w:r>
    </w:p>
    <w:p w14:paraId="1719F85F">
      <w:pPr>
        <w:numPr>
          <w:ilvl w:val="0"/>
          <w:numId w:val="49"/>
        </w:numPr>
        <w:spacing w:before="0" w:beforeAutospacing="1" w:after="0" w:afterAutospacing="1"/>
        <w:ind w:left="720" w:hanging="360"/>
      </w:pPr>
      <w:r>
        <w:rPr>
          <w:b/>
        </w:rPr>
        <w:t>电气系统</w:t>
      </w:r>
      <w:r>
        <w:t>：更换编码器电池（绝对值编码器，电压＜2.7V时更换）；检测变频器参数（恢复出厂设置后重新标定）；测试PLC程序备份（通过TIA Portal上传程序，保存至服务器）。</w:t>
      </w:r>
    </w:p>
    <w:p w14:paraId="592CDDD3">
      <w:r>
        <w:rPr>
          <w:b/>
        </w:rPr>
        <w:t>三级维护（12个月，维护时间16小时，需停机1天）</w:t>
      </w:r>
      <w:r>
        <w:t>：</w:t>
      </w:r>
    </w:p>
    <w:p w14:paraId="22D9F594">
      <w:pPr>
        <w:numPr>
          <w:ilvl w:val="0"/>
          <w:numId w:val="50"/>
        </w:numPr>
        <w:spacing w:before="0" w:beforeAutospacing="1" w:after="0" w:afterAutospacing="1"/>
        <w:ind w:left="720" w:hanging="360"/>
      </w:pPr>
      <w:r>
        <w:rPr>
          <w:b/>
        </w:rPr>
        <w:t>全面拆解检查</w:t>
      </w:r>
      <w:r>
        <w:t>：拆除平台、升降座、传动系统，检查结构框架有无裂纹（用磁粉探伤，重点焊缝）；清洗油缸（更换密封件：活塞杆密封、缸底密封），测量缸筒内壁磨损（≤0.1mm，超差时珩磨或更换）。</w:t>
      </w:r>
    </w:p>
    <w:p w14:paraId="1A342433">
      <w:pPr>
        <w:numPr>
          <w:ilvl w:val="0"/>
          <w:numId w:val="50"/>
        </w:numPr>
        <w:spacing w:before="0" w:beforeAutospacing="1" w:after="0" w:afterAutospacing="1"/>
        <w:ind w:left="720" w:hanging="360"/>
      </w:pPr>
      <w:r>
        <w:rPr>
          <w:b/>
        </w:rPr>
        <w:t>关键部件更换</w:t>
      </w:r>
      <w:r>
        <w:t>：更换所有密封件（氟橡胶密封圈，使用周期12个月）；更换防坠安全器（按标准要求，每年校验一次，不合格则更换）；更换电机轴承（型号6205，游隙C3组）。</w:t>
      </w:r>
    </w:p>
    <w:p w14:paraId="78507FE1">
      <w:pPr>
        <w:numPr>
          <w:ilvl w:val="0"/>
          <w:numId w:val="50"/>
        </w:numPr>
        <w:spacing w:before="0" w:beforeAutospacing="1" w:after="0" w:afterAutospacing="1"/>
        <w:ind w:left="720" w:hanging="360"/>
      </w:pPr>
      <w:r>
        <w:rPr>
          <w:b/>
        </w:rPr>
        <w:t>性能全面测试</w:t>
      </w:r>
      <w:r>
        <w:t>：按《升降机安装验收规范》进行负载测试（100%额定负载、125%额定负载各运行3个循环）；测试安全保护功能（急停、限位、过载、防坠）联动可靠性；出具《维护检测报告》，确认设备符合安全运行要求。</w:t>
      </w:r>
    </w:p>
    <w:p w14:paraId="49A3A6EE">
      <w:r>
        <w:rPr>
          <w:b/>
        </w:rPr>
        <w:t>维护技术标准</w:t>
      </w:r>
      <w:r>
        <w:t>：</w:t>
      </w:r>
    </w:p>
    <w:p w14:paraId="29B13D4D">
      <w:pPr>
        <w:numPr>
          <w:ilvl w:val="0"/>
          <w:numId w:val="51"/>
        </w:numPr>
        <w:spacing w:before="0" w:beforeAutospacing="1" w:after="0" w:afterAutospacing="1"/>
        <w:ind w:left="720" w:hanging="360"/>
      </w:pPr>
      <w:r>
        <w:t>螺栓紧固扭矩：M10（25N·m）、M12（35N·m）、M16（45N·m），使用扭矩扳手验证，防松线错位≤15°。</w:t>
      </w:r>
    </w:p>
    <w:p w14:paraId="103DFAED">
      <w:pPr>
        <w:numPr>
          <w:ilvl w:val="0"/>
          <w:numId w:val="51"/>
        </w:numPr>
        <w:spacing w:before="0" w:beforeAutospacing="1" w:after="0" w:afterAutospacing="1"/>
        <w:ind w:left="720" w:hanging="360"/>
      </w:pPr>
      <w:r>
        <w:t>润滑脂用量：丝杆每米长度加注50g，滑块轴承腔填充1/2，齿轮箱油位至油镜1/2处。</w:t>
      </w:r>
    </w:p>
    <w:p w14:paraId="4575B556">
      <w:pPr>
        <w:numPr>
          <w:ilvl w:val="0"/>
          <w:numId w:val="51"/>
        </w:numPr>
        <w:spacing w:before="0" w:beforeAutospacing="1" w:after="0" w:afterAutospacing="1"/>
        <w:ind w:left="720" w:hanging="360"/>
      </w:pPr>
      <w:r>
        <w:t>油液清洁度：新油注入前污染度≤ISO 4406 16/13级，系统运行中≤18/15级。</w:t>
      </w:r>
    </w:p>
    <w:p w14:paraId="24D4A2DB">
      <w:pPr>
        <w:numPr>
          <w:ilvl w:val="0"/>
          <w:numId w:val="51"/>
        </w:numPr>
        <w:spacing w:before="0" w:beforeAutospacing="1" w:after="0" w:afterAutospacing="1"/>
        <w:ind w:left="720" w:hanging="360"/>
      </w:pPr>
      <w:r>
        <w:t>电气间隙与爬电距离：控制箱内带电体与接地体间隙≥5mm，不同相导体间爬电距离≥8mm。</w:t>
      </w:r>
    </w:p>
    <w:p w14:paraId="1192E2FF">
      <w:pPr>
        <w:pStyle w:val="4"/>
      </w:pPr>
      <w:r>
        <w:t>6.3 安全操作规范与应急处理流程</w:t>
      </w:r>
    </w:p>
    <w:p w14:paraId="0C16C797">
      <w:r>
        <w:t>安全操作是预防事故的根本，需明确操作人员资质、操作流程及应急处置措施，确保符合《建筑施工升降机安全规程》（JGJ 215-2010）及车间安全管理规定。</w:t>
      </w:r>
    </w:p>
    <w:p w14:paraId="58C22CF1">
      <w:r>
        <w:rPr>
          <w:b/>
        </w:rPr>
        <w:t>操作人员资质与职责</w:t>
      </w:r>
      <w:r>
        <w:t>：</w:t>
      </w:r>
    </w:p>
    <w:p w14:paraId="69D82D99">
      <w:pPr>
        <w:numPr>
          <w:ilvl w:val="0"/>
          <w:numId w:val="52"/>
        </w:numPr>
        <w:spacing w:before="0" w:beforeAutospacing="1" w:after="0" w:afterAutospacing="1"/>
        <w:ind w:left="720" w:hanging="360"/>
      </w:pPr>
      <w:r>
        <w:rPr>
          <w:b/>
        </w:rPr>
        <w:t>资质要求</w:t>
      </w:r>
      <w:r>
        <w:t>：操作人员需年满18周岁，初中以上学历，通过特种设备安全培训（课时≥40小时），考核合格取得《特种设备作业人员证》（N2级），方可独立操作。</w:t>
      </w:r>
    </w:p>
    <w:p w14:paraId="1F381538">
      <w:pPr>
        <w:numPr>
          <w:ilvl w:val="0"/>
          <w:numId w:val="52"/>
        </w:numPr>
        <w:spacing w:before="0" w:beforeAutospacing="1" w:after="0" w:afterAutospacing="1"/>
        <w:ind w:left="720" w:hanging="360"/>
      </w:pPr>
      <w:r>
        <w:rPr>
          <w:b/>
        </w:rPr>
        <w:t>岗位职责</w:t>
      </w:r>
      <w:r>
        <w:t>：严格执行操作规程，拒绝违章指挥（如超载、不按程序操作）；负责日常检查，发现异常立即停机并报告（如异响、漏油、报警）；正确使用劳动防护用品（安全帽、防尘口罩、防砸鞋）。</w:t>
      </w:r>
    </w:p>
    <w:p w14:paraId="2FEEE923">
      <w:r>
        <w:rPr>
          <w:b/>
        </w:rPr>
        <w:t>操作流程</w:t>
      </w:r>
      <w:r>
        <w:t>：</w:t>
      </w:r>
    </w:p>
    <w:p w14:paraId="2539ED58">
      <w:pPr>
        <w:numPr>
          <w:ilvl w:val="0"/>
          <w:numId w:val="53"/>
        </w:numPr>
        <w:spacing w:before="0" w:beforeAutospacing="1" w:after="0" w:afterAutospacing="1"/>
        <w:ind w:left="720" w:hanging="360"/>
      </w:pPr>
      <w:r>
        <w:rPr>
          <w:b/>
        </w:rPr>
        <w:t>操作前准备（10分钟）</w:t>
      </w:r>
      <w:r>
        <w:t>：</w:t>
      </w:r>
    </w:p>
    <w:p w14:paraId="1578CD3E">
      <w:pPr>
        <w:numPr>
          <w:ilvl w:val="1"/>
          <w:numId w:val="53"/>
        </w:numPr>
        <w:spacing w:before="0" w:beforeAutospacing="1" w:after="0" w:afterAutospacing="1"/>
        <w:ind w:left="1440" w:hanging="360"/>
      </w:pPr>
      <w:r>
        <w:t>检查打磨房内粉尘浓度（传感器显示＜8mg/m³），启动除尘系统（确认风机运行，风压≥5Pa）。</w:t>
      </w:r>
    </w:p>
    <w:p w14:paraId="0BD1D7F0">
      <w:pPr>
        <w:numPr>
          <w:ilvl w:val="1"/>
          <w:numId w:val="53"/>
        </w:numPr>
        <w:spacing w:before="0" w:beforeAutospacing="1" w:after="0" w:afterAutospacing="1"/>
        <w:ind w:left="1440" w:hanging="360"/>
      </w:pPr>
      <w:r>
        <w:t>检查平台无超载（负载≤1000kg，均匀放置）、防护门关闭严密（联锁灯亮）、急停按钮复位（弹起状态）。</w:t>
      </w:r>
    </w:p>
    <w:p w14:paraId="04096214">
      <w:pPr>
        <w:numPr>
          <w:ilvl w:val="1"/>
          <w:numId w:val="53"/>
        </w:numPr>
        <w:spacing w:before="0" w:beforeAutospacing="1" w:after="0" w:afterAutospacing="1"/>
        <w:ind w:left="1440" w:hanging="360"/>
      </w:pPr>
      <w:r>
        <w:t>鸣笛示意（持续3秒），确认周围2.5m内无人员（设置警示线），方可启动设备。</w:t>
      </w:r>
    </w:p>
    <w:p w14:paraId="1EB69808">
      <w:pPr>
        <w:numPr>
          <w:ilvl w:val="0"/>
          <w:numId w:val="53"/>
        </w:numPr>
        <w:spacing w:before="0" w:beforeAutospacing="1" w:after="0" w:afterAutospacing="1"/>
        <w:ind w:left="720" w:hanging="360"/>
      </w:pPr>
      <w:r>
        <w:rPr>
          <w:b/>
        </w:rPr>
        <w:t>运行操作</w:t>
      </w:r>
      <w:r>
        <w:t>：</w:t>
      </w:r>
    </w:p>
    <w:p w14:paraId="6FB6ABB2">
      <w:pPr>
        <w:numPr>
          <w:ilvl w:val="1"/>
          <w:numId w:val="53"/>
        </w:numPr>
        <w:spacing w:before="0" w:beforeAutospacing="1" w:after="0" w:afterAutospacing="1"/>
        <w:ind w:left="1440" w:hanging="360"/>
      </w:pPr>
      <w:r>
        <w:t>电源合闸（主断路器QF1，380V），控制箱指示灯亮（电源灯绿色），触摸屏显示“就绪”。</w:t>
      </w:r>
    </w:p>
    <w:p w14:paraId="60F98B6A">
      <w:pPr>
        <w:numPr>
          <w:ilvl w:val="1"/>
          <w:numId w:val="53"/>
        </w:numPr>
        <w:spacing w:before="0" w:beforeAutospacing="1" w:after="0" w:afterAutospacing="1"/>
        <w:ind w:left="1440" w:hanging="360"/>
      </w:pPr>
      <w:r>
        <w:t>选择操作模式（手动/自动），手动模式通过操作台按钮控制升降，自动模式输入目标高度（如1500mm），按“启动”键。</w:t>
      </w:r>
    </w:p>
    <w:p w14:paraId="11042060">
      <w:pPr>
        <w:numPr>
          <w:ilvl w:val="1"/>
          <w:numId w:val="53"/>
        </w:numPr>
        <w:spacing w:before="0" w:beforeAutospacing="1" w:after="0" w:afterAutospacing="1"/>
        <w:ind w:left="1440" w:hanging="360"/>
      </w:pPr>
      <w:r>
        <w:t>运行中密切监控：速度（≤1.5m/min）、噪音（≤65dB）、振动（无明显晃动），发现异常立即按下“急停”按钮。</w:t>
      </w:r>
    </w:p>
    <w:p w14:paraId="786E2792">
      <w:pPr>
        <w:numPr>
          <w:ilvl w:val="1"/>
          <w:numId w:val="53"/>
        </w:numPr>
        <w:spacing w:before="0" w:beforeAutospacing="1" w:after="0" w:afterAutospacing="1"/>
        <w:ind w:left="1440" w:hanging="360"/>
      </w:pPr>
      <w:r>
        <w:t>到达目标位置后，设备自动停止，确认平台稳定（无沉降），方可进行打磨作业。</w:t>
      </w:r>
    </w:p>
    <w:p w14:paraId="433AA532">
      <w:pPr>
        <w:numPr>
          <w:ilvl w:val="0"/>
          <w:numId w:val="53"/>
        </w:numPr>
        <w:spacing w:before="0" w:beforeAutospacing="1" w:after="0" w:afterAutospacing="1"/>
        <w:ind w:left="720" w:hanging="360"/>
      </w:pPr>
      <w:r>
        <w:rPr>
          <w:b/>
        </w:rPr>
        <w:t>停机操作</w:t>
      </w:r>
      <w:r>
        <w:t>：</w:t>
      </w:r>
    </w:p>
    <w:p w14:paraId="0818B001">
      <w:pPr>
        <w:numPr>
          <w:ilvl w:val="1"/>
          <w:numId w:val="53"/>
        </w:numPr>
        <w:spacing w:before="0" w:beforeAutospacing="1" w:after="0" w:afterAutospacing="1"/>
        <w:ind w:left="1440" w:hanging="360"/>
      </w:pPr>
      <w:r>
        <w:t>打磨完成后，将平台降至底层（下限位1位置），按下“停止”键。</w:t>
      </w:r>
    </w:p>
    <w:p w14:paraId="3D164991">
      <w:pPr>
        <w:numPr>
          <w:ilvl w:val="1"/>
          <w:numId w:val="53"/>
        </w:numPr>
        <w:spacing w:before="0" w:beforeAutospacing="1" w:after="0" w:afterAutospacing="1"/>
        <w:ind w:left="1440" w:hanging="360"/>
      </w:pPr>
      <w:r>
        <w:t>关闭控制箱电源（断开QF1），清理平台集尘槽内粉尘，填写《运行日志》（记录运行时间、负载、异常情况）。</w:t>
      </w:r>
    </w:p>
    <w:p w14:paraId="4D88AED0">
      <w:pPr>
        <w:numPr>
          <w:ilvl w:val="1"/>
          <w:numId w:val="53"/>
        </w:numPr>
        <w:spacing w:before="0" w:beforeAutospacing="1" w:after="0" w:afterAutospacing="1"/>
        <w:ind w:left="1440" w:hanging="360"/>
      </w:pPr>
      <w:r>
        <w:t>关闭除尘系统（延迟30秒后自动停机），清理作业区域卫生。</w:t>
      </w:r>
    </w:p>
    <w:p w14:paraId="5A2E7AC9">
      <w:r>
        <w:rPr>
          <w:b/>
        </w:rPr>
        <w:t>应急处理流程</w:t>
      </w:r>
      <w:r>
        <w:t>：</w:t>
      </w:r>
    </w:p>
    <w:p w14:paraId="6913B788">
      <w:pPr>
        <w:numPr>
          <w:ilvl w:val="0"/>
          <w:numId w:val="54"/>
        </w:numPr>
        <w:spacing w:before="0" w:beforeAutospacing="1" w:after="0" w:afterAutospacing="1"/>
        <w:ind w:left="720" w:hanging="360"/>
      </w:pPr>
      <w:r>
        <w:rPr>
          <w:b/>
        </w:rPr>
        <w:t>突然停电</w:t>
      </w:r>
      <w:r>
        <w:t>：立即切断总电源（防止来电突然启动）；通过手动释放装置（液压系统手动泵）将平台缓慢降至底层（摇动手柄，速度≤0.5m/min）；在平台显眼处悬挂“停电维修，禁止操作”警示牌，报告设备管理部门。</w:t>
      </w:r>
    </w:p>
    <w:p w14:paraId="04C49E67">
      <w:pPr>
        <w:numPr>
          <w:ilvl w:val="0"/>
          <w:numId w:val="54"/>
        </w:numPr>
        <w:spacing w:before="0" w:beforeAutospacing="1" w:after="0" w:afterAutospacing="1"/>
        <w:ind w:left="720" w:hanging="360"/>
      </w:pPr>
      <w:r>
        <w:rPr>
          <w:b/>
        </w:rPr>
        <w:t>平台卡滞</w:t>
      </w:r>
      <w:r>
        <w:t>：立即按下急停按钮，切断电源；检查卡滞原因（如滑轨异物、丝杆弯曲），轻微卡滞可尝试点动升降（点动间隔5秒，防止电机过载）；严重卡滞时启动应急预案，组织人员疏散，由专业维修人员处理。</w:t>
      </w:r>
    </w:p>
    <w:p w14:paraId="79C5D909">
      <w:pPr>
        <w:numPr>
          <w:ilvl w:val="0"/>
          <w:numId w:val="54"/>
        </w:numPr>
        <w:spacing w:before="0" w:beforeAutospacing="1" w:after="0" w:afterAutospacing="1"/>
        <w:ind w:left="720" w:hanging="360"/>
      </w:pPr>
      <w:r>
        <w:rPr>
          <w:b/>
        </w:rPr>
        <w:t>粉尘爆炸风险（极端情况）</w:t>
      </w:r>
      <w:r>
        <w:t>：打磨房内粉尘浓度超标（＞200g/m³）遇明火（如电气火花），立即启动防爆应急程序：按下紧急停机按钮，切断所有电源；打开通风窗（手动），启动备用风机（防爆型）；人员沿安全通道撤离至上风向50m外，拨打119报警。</w:t>
      </w:r>
    </w:p>
    <w:p w14:paraId="15315813">
      <w:r>
        <w:rPr>
          <w:b/>
        </w:rPr>
        <w:t>安全培训与演练</w:t>
      </w:r>
      <w:r>
        <w:t>：每月开展1次安全操作规程培训（重点讲解应急处理），每季度组织1次应急演练（如停电手动下降、卡滞救援），演练后评估效果并改进预案（如缩短手动下降操作时间至5分钟）。</w:t>
      </w:r>
    </w:p>
    <w:p w14:paraId="013B508C">
      <w:r>
        <w:t>通过上述技术分析，全面阐述了干变绕线车间低压线圈打磨房升降机的结构、原理、控制、故障及维护，为设备工程师提供了系统的技术指导，可有效提升升降机在粉尘环境下的运行可靠性和安全性。</w:t>
      </w:r>
    </w:p>
    <w:p w14:paraId="7B118A53">
      <w:pPr>
        <w:pStyle w:val="31"/>
        <w:bidi w:val="0"/>
        <w:rPr>
          <w:rFonts w:hint="eastAsia"/>
          <w:lang w:val="en-US" w:eastAsia="zh-CN"/>
        </w:rPr>
      </w:pPr>
    </w:p>
    <w:bookmarkEnd w:id="0"/>
    <w:bookmarkEnd w:id="1"/>
    <w:sectPr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ind w:firstLine="480"/>
      </w:pPr>
      <w:r>
        <w:separator/>
      </w:r>
    </w:p>
  </w:endnote>
  <w:endnote w:type="continuationSeparator" w:id="1">
    <w:p>
      <w:pPr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Wingdings">
    <w:altName w:val="Kingsoft Confetti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Kingsoft Confetti">
    <w:panose1 w:val="05000100010000000000"/>
    <w:charset w:val="00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alibri">
    <w:altName w:val="Arial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604020202020204"/>
    <w:charset w:val="00"/>
    <w:family w:val="auto"/>
    <w:pitch w:val="default"/>
    <w:sig w:usb0="E0002AFF" w:usb1="C0007843" w:usb2="00000009" w:usb3="00000000" w:csb0="400001FF" w:csb1="FFFF0000"/>
  </w:font>
  <w:font w:name="微软雅黑">
    <w:altName w:val="汉仪旗黑KW 55S"/>
    <w:panose1 w:val="020B0503020204020204"/>
    <w:charset w:val="86"/>
    <w:family w:val="auto"/>
    <w:pitch w:val="default"/>
    <w:sig w:usb0="00000000" w:usb1="00000000" w:usb2="00000016" w:usb3="00000000" w:csb0="0004001F" w:csb1="00000000"/>
  </w:font>
  <w:font w:name="汉仪旗黑KW 55S">
    <w:panose1 w:val="00020600040101010101"/>
    <w:charset w:val="86"/>
    <w:family w:val="auto"/>
    <w:pitch w:val="default"/>
    <w:sig w:usb0="A00002BF" w:usb1="3ACF7CFA" w:usb2="00000016" w:usb3="00000000" w:csb0="0004009F" w:csb1="DFD70000"/>
  </w:font>
  <w:font w:name="Cambria">
    <w:altName w:val="Georgia"/>
    <w:panose1 w:val="02040503050406030204"/>
    <w:charset w:val="86"/>
    <w:family w:val="auto"/>
    <w:pitch w:val="default"/>
    <w:sig w:usb0="00000000" w:usb1="00000000" w:usb2="02000000" w:usb3="00000000" w:csb0="2000019F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Copperplate">
    <w:altName w:val="仓耳屏显楷体 W04"/>
    <w:panose1 w:val="02000504000000020004"/>
    <w:charset w:val="00"/>
    <w:family w:val="auto"/>
    <w:pitch w:val="default"/>
    <w:sig w:usb0="00000000" w:usb1="00000000" w:usb2="00000000" w:usb3="00000000" w:csb0="20000111" w:csb1="40000000"/>
  </w:font>
  <w:font w:name="仓耳屏显楷体 W04">
    <w:panose1 w:val="02020400000000000000"/>
    <w:charset w:val="86"/>
    <w:family w:val="auto"/>
    <w:pitch w:val="default"/>
    <w:sig w:usb0="80000003" w:usb1="08012000" w:usb2="00000012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  <w:ind w:firstLine="480"/>
      </w:pPr>
      <w:r>
        <w:separator/>
      </w:r>
    </w:p>
  </w:footnote>
  <w:footnote w:type="continuationSeparator" w:id="1">
    <w:p>
      <w:pPr>
        <w:spacing w:before="0" w:after="0"/>
        <w:ind w:firstLine="48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F7E6F5D"/>
    <w:multiLevelType w:val="multilevel"/>
    <w:tmpl w:val="8F7E6F5D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decimal"/>
      <w:lvlText w:val="%2."/>
      <w:lvlJc w:val="left"/>
      <w:pPr>
        <w:ind w:left="1440" w:hanging="360"/>
      </w:pPr>
      <w:rPr>
        <w:sz w:val="24"/>
      </w:rPr>
    </w:lvl>
  </w:abstractNum>
  <w:abstractNum w:abstractNumId="1">
    <w:nsid w:val="94241842"/>
    <w:multiLevelType w:val="singleLevel"/>
    <w:tmpl w:val="94241842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2">
    <w:nsid w:val="9CFD92E2"/>
    <w:multiLevelType w:val="multilevel"/>
    <w:tmpl w:val="9CFD92E2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  <w:sz w:val="20"/>
      </w:rPr>
    </w:lvl>
  </w:abstractNum>
  <w:abstractNum w:abstractNumId="3">
    <w:nsid w:val="A7E456F9"/>
    <w:multiLevelType w:val="singleLevel"/>
    <w:tmpl w:val="A7E456F9"/>
    <w:lvl w:ilvl="0" w:tentative="0">
      <w:start w:val="1"/>
      <w:numFmt w:val="decimal"/>
      <w:pStyle w:val="37"/>
      <w:lvlText w:val="%1."/>
      <w:lvlJc w:val="left"/>
      <w:pPr>
        <w:tabs>
          <w:tab w:val="left" w:pos="2040"/>
        </w:tabs>
        <w:ind w:left="2040" w:hanging="360"/>
      </w:pPr>
    </w:lvl>
  </w:abstractNum>
  <w:abstractNum w:abstractNumId="4">
    <w:nsid w:val="AFB8A9DA"/>
    <w:multiLevelType w:val="singleLevel"/>
    <w:tmpl w:val="AFB8A9DA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5">
    <w:nsid w:val="B1B9B92F"/>
    <w:multiLevelType w:val="singleLevel"/>
    <w:tmpl w:val="B1B9B92F"/>
    <w:lvl w:ilvl="0" w:tentative="0">
      <w:start w:val="1"/>
      <w:numFmt w:val="bullet"/>
      <w:pStyle w:val="15"/>
      <w:lvlText w:val=""/>
      <w:lvlJc w:val="left"/>
      <w:pPr>
        <w:tabs>
          <w:tab w:val="left" w:pos="1620"/>
        </w:tabs>
        <w:ind w:left="1620" w:hanging="360"/>
      </w:pPr>
      <w:rPr>
        <w:rFonts w:hint="default" w:ascii="Wingdings" w:hAnsi="Wingdings"/>
      </w:rPr>
    </w:lvl>
  </w:abstractNum>
  <w:abstractNum w:abstractNumId="6">
    <w:nsid w:val="B7BA28C9"/>
    <w:multiLevelType w:val="singleLevel"/>
    <w:tmpl w:val="B7BA28C9"/>
    <w:lvl w:ilvl="0" w:tentative="0">
      <w:start w:val="1"/>
      <w:numFmt w:val="decimal"/>
      <w:pStyle w:val="28"/>
      <w:lvlText w:val="%1."/>
      <w:lvlJc w:val="left"/>
      <w:pPr>
        <w:tabs>
          <w:tab w:val="left" w:pos="1620"/>
        </w:tabs>
        <w:ind w:left="1620" w:hanging="360"/>
      </w:pPr>
    </w:lvl>
  </w:abstractNum>
  <w:abstractNum w:abstractNumId="7">
    <w:nsid w:val="BDFBD766"/>
    <w:multiLevelType w:val="singleLevel"/>
    <w:tmpl w:val="BDFBD766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8">
    <w:nsid w:val="BE4E3AEF"/>
    <w:multiLevelType w:val="multilevel"/>
    <w:tmpl w:val="BE4E3AEF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  <w:sz w:val="20"/>
      </w:rPr>
    </w:lvl>
  </w:abstractNum>
  <w:abstractNum w:abstractNumId="9">
    <w:nsid w:val="BEBE4C00"/>
    <w:multiLevelType w:val="singleLevel"/>
    <w:tmpl w:val="BEBE4C00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10">
    <w:nsid w:val="BFA3A491"/>
    <w:multiLevelType w:val="singleLevel"/>
    <w:tmpl w:val="BFA3A491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11">
    <w:nsid w:val="CBFAF2D3"/>
    <w:multiLevelType w:val="singleLevel"/>
    <w:tmpl w:val="CBFAF2D3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2">
    <w:nsid w:val="D3F80994"/>
    <w:multiLevelType w:val="singleLevel"/>
    <w:tmpl w:val="D3F80994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3">
    <w:nsid w:val="D5F42EBB"/>
    <w:multiLevelType w:val="multilevel"/>
    <w:tmpl w:val="D5F42EBB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  <w:sz w:val="20"/>
      </w:rPr>
    </w:lvl>
  </w:abstractNum>
  <w:abstractNum w:abstractNumId="14">
    <w:nsid w:val="D8BFC4A2"/>
    <w:multiLevelType w:val="singleLevel"/>
    <w:tmpl w:val="D8BFC4A2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5">
    <w:nsid w:val="DB7AFDA0"/>
    <w:multiLevelType w:val="singleLevel"/>
    <w:tmpl w:val="DB7AFDA0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6">
    <w:nsid w:val="DF9F6F43"/>
    <w:multiLevelType w:val="singleLevel"/>
    <w:tmpl w:val="DF9F6F43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17">
    <w:nsid w:val="DFF4A588"/>
    <w:multiLevelType w:val="multilevel"/>
    <w:tmpl w:val="DFF4A588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  <w:sz w:val="20"/>
      </w:rPr>
    </w:lvl>
  </w:abstractNum>
  <w:abstractNum w:abstractNumId="18">
    <w:nsid w:val="DFFA274C"/>
    <w:multiLevelType w:val="singleLevel"/>
    <w:tmpl w:val="DFFA274C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9">
    <w:nsid w:val="EFB87175"/>
    <w:multiLevelType w:val="singleLevel"/>
    <w:tmpl w:val="EFB87175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20">
    <w:nsid w:val="EFEAEE91"/>
    <w:multiLevelType w:val="singleLevel"/>
    <w:tmpl w:val="EFEAEE91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21">
    <w:nsid w:val="EFF3C81D"/>
    <w:multiLevelType w:val="multilevel"/>
    <w:tmpl w:val="EFF3C81D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  <w:sz w:val="20"/>
      </w:rPr>
    </w:lvl>
  </w:abstractNum>
  <w:abstractNum w:abstractNumId="22">
    <w:nsid w:val="F47960A0"/>
    <w:multiLevelType w:val="singleLevel"/>
    <w:tmpl w:val="F47960A0"/>
    <w:lvl w:ilvl="0" w:tentative="0">
      <w:start w:val="1"/>
      <w:numFmt w:val="decimal"/>
      <w:pStyle w:val="22"/>
      <w:lvlText w:val="%1."/>
      <w:lvlJc w:val="left"/>
      <w:pPr>
        <w:tabs>
          <w:tab w:val="left" w:pos="1200"/>
        </w:tabs>
        <w:ind w:left="1200" w:hanging="360"/>
      </w:pPr>
    </w:lvl>
  </w:abstractNum>
  <w:abstractNum w:abstractNumId="23">
    <w:nsid w:val="F57F1403"/>
    <w:multiLevelType w:val="multilevel"/>
    <w:tmpl w:val="F57F1403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  <w:sz w:val="20"/>
      </w:rPr>
    </w:lvl>
  </w:abstractNum>
  <w:abstractNum w:abstractNumId="24">
    <w:nsid w:val="F676E519"/>
    <w:multiLevelType w:val="singleLevel"/>
    <w:tmpl w:val="F676E519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25">
    <w:nsid w:val="FAFFE859"/>
    <w:multiLevelType w:val="singleLevel"/>
    <w:tmpl w:val="FAFFE859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26">
    <w:nsid w:val="FBF6B316"/>
    <w:multiLevelType w:val="multilevel"/>
    <w:tmpl w:val="FBF6B316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  <w:sz w:val="20"/>
      </w:rPr>
    </w:lvl>
  </w:abstractNum>
  <w:abstractNum w:abstractNumId="27">
    <w:nsid w:val="FBF72114"/>
    <w:multiLevelType w:val="singleLevel"/>
    <w:tmpl w:val="FBF72114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28">
    <w:nsid w:val="FDB6C8C1"/>
    <w:multiLevelType w:val="singleLevel"/>
    <w:tmpl w:val="FDB6C8C1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29">
    <w:nsid w:val="FDF29FB7"/>
    <w:multiLevelType w:val="singleLevel"/>
    <w:tmpl w:val="FDF29FB7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30">
    <w:nsid w:val="FDFA9529"/>
    <w:multiLevelType w:val="singleLevel"/>
    <w:tmpl w:val="FDFA9529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31">
    <w:nsid w:val="FDFB7276"/>
    <w:multiLevelType w:val="singleLevel"/>
    <w:tmpl w:val="FDFB7276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32">
    <w:nsid w:val="FE7B118E"/>
    <w:multiLevelType w:val="singleLevel"/>
    <w:tmpl w:val="FE7B118E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33">
    <w:nsid w:val="FEB58EF3"/>
    <w:multiLevelType w:val="singleLevel"/>
    <w:tmpl w:val="FEB58EF3"/>
    <w:lvl w:ilvl="0" w:tentative="0">
      <w:start w:val="1"/>
      <w:numFmt w:val="bullet"/>
      <w:pStyle w:val="18"/>
      <w:lvlText w:val=""/>
      <w:lvlJc w:val="left"/>
      <w:pPr>
        <w:tabs>
          <w:tab w:val="left" w:pos="360"/>
        </w:tabs>
        <w:ind w:left="360" w:hanging="360"/>
      </w:pPr>
      <w:rPr>
        <w:rFonts w:hint="default" w:ascii="Wingdings" w:hAnsi="Wingdings"/>
      </w:rPr>
    </w:lvl>
  </w:abstractNum>
  <w:abstractNum w:abstractNumId="34">
    <w:nsid w:val="FF3DA4B5"/>
    <w:multiLevelType w:val="singleLevel"/>
    <w:tmpl w:val="FF3DA4B5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35">
    <w:nsid w:val="FF9BA098"/>
    <w:multiLevelType w:val="singleLevel"/>
    <w:tmpl w:val="FF9BA098"/>
    <w:lvl w:ilvl="0" w:tentative="0">
      <w:start w:val="1"/>
      <w:numFmt w:val="bullet"/>
      <w:pStyle w:val="26"/>
      <w:lvlText w:val=""/>
      <w:lvlJc w:val="left"/>
      <w:pPr>
        <w:tabs>
          <w:tab w:val="left" w:pos="780"/>
        </w:tabs>
        <w:ind w:left="780" w:hanging="360"/>
      </w:pPr>
      <w:rPr>
        <w:rFonts w:hint="default" w:ascii="Wingdings" w:hAnsi="Wingdings"/>
      </w:rPr>
    </w:lvl>
  </w:abstractNum>
  <w:abstractNum w:abstractNumId="36">
    <w:nsid w:val="FFA86893"/>
    <w:multiLevelType w:val="singleLevel"/>
    <w:tmpl w:val="FFA86893"/>
    <w:lvl w:ilvl="0" w:tentative="0">
      <w:start w:val="1"/>
      <w:numFmt w:val="bullet"/>
      <w:pStyle w:val="27"/>
      <w:lvlText w:val=""/>
      <w:lvlJc w:val="left"/>
      <w:pPr>
        <w:tabs>
          <w:tab w:val="left" w:pos="2040"/>
        </w:tabs>
        <w:ind w:left="2040" w:hanging="360"/>
      </w:pPr>
      <w:rPr>
        <w:rFonts w:hint="default" w:ascii="Wingdings" w:hAnsi="Wingdings"/>
      </w:rPr>
    </w:lvl>
  </w:abstractNum>
  <w:abstractNum w:abstractNumId="37">
    <w:nsid w:val="FFBE513A"/>
    <w:multiLevelType w:val="singleLevel"/>
    <w:tmpl w:val="FFBE513A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38">
    <w:nsid w:val="FFEE4F92"/>
    <w:multiLevelType w:val="singleLevel"/>
    <w:tmpl w:val="FFEE4F92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39">
    <w:nsid w:val="052FBF93"/>
    <w:multiLevelType w:val="singleLevel"/>
    <w:tmpl w:val="052FBF93"/>
    <w:lvl w:ilvl="0" w:tentative="0">
      <w:start w:val="1"/>
      <w:numFmt w:val="decimal"/>
      <w:pStyle w:val="16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40">
    <w:nsid w:val="1F37DA65"/>
    <w:multiLevelType w:val="singleLevel"/>
    <w:tmpl w:val="1F37DA65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41">
    <w:nsid w:val="1FFE05E1"/>
    <w:multiLevelType w:val="singleLevel"/>
    <w:tmpl w:val="1FFE05E1"/>
    <w:lvl w:ilvl="0" w:tentative="0">
      <w:start w:val="1"/>
      <w:numFmt w:val="bullet"/>
      <w:pStyle w:val="24"/>
      <w:lvlText w:val="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42">
    <w:nsid w:val="29AA8454"/>
    <w:multiLevelType w:val="multilevel"/>
    <w:tmpl w:val="29AA8454"/>
    <w:lvl w:ilvl="0" w:tentative="0">
      <w:start w:val="1"/>
      <w:numFmt w:val="chineseCounting"/>
      <w:suff w:val="nothing"/>
      <w:lvlText w:val="%1、"/>
      <w:lvlJc w:val="left"/>
      <w:pPr>
        <w:tabs>
          <w:tab w:val="left" w:pos="0"/>
        </w:tabs>
        <w:ind w:left="0" w:firstLine="0"/>
      </w:pPr>
      <w:rPr>
        <w:rFonts w:hint="eastAsia" w:ascii="黑体" w:hAnsi="黑体" w:eastAsia="黑体"/>
      </w:rPr>
    </w:lvl>
    <w:lvl w:ilvl="1" w:tentative="0">
      <w:start w:val="1"/>
      <w:numFmt w:val="chineseCounting"/>
      <w:suff w:val="nothing"/>
      <w:lvlText w:val="（%2）"/>
      <w:lvlJc w:val="left"/>
      <w:pPr>
        <w:tabs>
          <w:tab w:val="left" w:pos="0"/>
        </w:tabs>
        <w:ind w:left="0" w:firstLine="0"/>
      </w:pPr>
      <w:rPr>
        <w:rFonts w:hint="eastAsia" w:ascii="黑体" w:hAnsi="黑体" w:eastAsia="黑体"/>
      </w:rPr>
    </w:lvl>
    <w:lvl w:ilvl="2" w:tentative="0">
      <w:start w:val="1"/>
      <w:numFmt w:val="decimal"/>
      <w:suff w:val="nothing"/>
      <w:lvlText w:val="%3．"/>
      <w:lvlJc w:val="left"/>
      <w:pPr>
        <w:tabs>
          <w:tab w:val="left" w:pos="0"/>
        </w:tabs>
        <w:ind w:left="0" w:firstLine="400"/>
      </w:pPr>
      <w:rPr>
        <w:rFonts w:hint="eastAsia" w:ascii="黑体" w:hAnsi="黑体" w:eastAsia="黑体"/>
      </w:rPr>
    </w:lvl>
    <w:lvl w:ilvl="3" w:tentative="0">
      <w:start w:val="1"/>
      <w:numFmt w:val="decimal"/>
      <w:suff w:val="nothing"/>
      <w:lvlText w:val="（%4）"/>
      <w:lvlJc w:val="left"/>
      <w:pPr>
        <w:tabs>
          <w:tab w:val="left" w:pos="0"/>
        </w:tabs>
        <w:ind w:left="0" w:firstLine="402"/>
      </w:pPr>
      <w:rPr>
        <w:rFonts w:hint="eastAsia" w:ascii="黑体" w:hAnsi="黑体" w:eastAsia="黑体"/>
      </w:rPr>
    </w:lvl>
    <w:lvl w:ilvl="4" w:tentative="0">
      <w:start w:val="1"/>
      <w:numFmt w:val="decimalEnclosedCircleChinese"/>
      <w:pStyle w:val="6"/>
      <w:suff w:val="nothing"/>
      <w:lvlText w:val="%5"/>
      <w:lvlJc w:val="left"/>
      <w:pPr>
        <w:tabs>
          <w:tab w:val="left" w:pos="0"/>
        </w:tabs>
        <w:ind w:left="0" w:firstLine="402"/>
      </w:pPr>
      <w:rPr>
        <w:rFonts w:hint="eastAsia" w:ascii="黑体" w:hAnsi="黑体" w:eastAsia="黑体"/>
      </w:rPr>
    </w:lvl>
    <w:lvl w:ilvl="5" w:tentative="0">
      <w:start w:val="1"/>
      <w:numFmt w:val="decimal"/>
      <w:pStyle w:val="8"/>
      <w:suff w:val="nothing"/>
      <w:lvlText w:val="%6）"/>
      <w:lvlJc w:val="left"/>
      <w:pPr>
        <w:ind w:left="0" w:firstLine="402"/>
      </w:pPr>
      <w:rPr>
        <w:rFonts w:hint="eastAsia"/>
      </w:rPr>
    </w:lvl>
    <w:lvl w:ilvl="6" w:tentative="0">
      <w:start w:val="1"/>
      <w:numFmt w:val="lowerLetter"/>
      <w:pStyle w:val="9"/>
      <w:suff w:val="nothing"/>
      <w:lvlText w:val="%7．"/>
      <w:lvlJc w:val="left"/>
      <w:pPr>
        <w:ind w:left="0" w:firstLine="402"/>
      </w:pPr>
      <w:rPr>
        <w:rFonts w:hint="eastAsia"/>
      </w:rPr>
    </w:lvl>
    <w:lvl w:ilvl="7" w:tentative="0">
      <w:start w:val="1"/>
      <w:numFmt w:val="lowerLetter"/>
      <w:pStyle w:val="10"/>
      <w:suff w:val="nothing"/>
      <w:lvlText w:val="%8）"/>
      <w:lvlJc w:val="left"/>
      <w:pPr>
        <w:ind w:left="0" w:firstLine="402"/>
      </w:pPr>
      <w:rPr>
        <w:rFonts w:hint="eastAsia"/>
      </w:rPr>
    </w:lvl>
    <w:lvl w:ilvl="8" w:tentative="0">
      <w:start w:val="1"/>
      <w:numFmt w:val="lowerRoman"/>
      <w:pStyle w:val="11"/>
      <w:suff w:val="nothing"/>
      <w:lvlText w:val="%9 "/>
      <w:lvlJc w:val="left"/>
      <w:pPr>
        <w:ind w:left="0" w:firstLine="402"/>
      </w:pPr>
      <w:rPr>
        <w:rFonts w:hint="eastAsia"/>
      </w:rPr>
    </w:lvl>
  </w:abstractNum>
  <w:abstractNum w:abstractNumId="43">
    <w:nsid w:val="2DFE349F"/>
    <w:multiLevelType w:val="singleLevel"/>
    <w:tmpl w:val="2DFE349F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44">
    <w:nsid w:val="37FE110C"/>
    <w:multiLevelType w:val="singleLevel"/>
    <w:tmpl w:val="37FE110C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45">
    <w:nsid w:val="3FEFB7B5"/>
    <w:multiLevelType w:val="singleLevel"/>
    <w:tmpl w:val="3FEFB7B5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46">
    <w:nsid w:val="49EC006C"/>
    <w:multiLevelType w:val="singleLevel"/>
    <w:tmpl w:val="49EC006C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47">
    <w:nsid w:val="554EE15F"/>
    <w:multiLevelType w:val="singleLevel"/>
    <w:tmpl w:val="554EE15F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48">
    <w:nsid w:val="5FF66E43"/>
    <w:multiLevelType w:val="singleLevel"/>
    <w:tmpl w:val="5FF66E43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49">
    <w:nsid w:val="6FFE7285"/>
    <w:multiLevelType w:val="singleLevel"/>
    <w:tmpl w:val="6FFE7285"/>
    <w:lvl w:ilvl="0" w:tentative="0">
      <w:start w:val="1"/>
      <w:numFmt w:val="bullet"/>
      <w:pStyle w:val="21"/>
      <w:lvlText w:val=""/>
      <w:lvlJc w:val="left"/>
      <w:pPr>
        <w:tabs>
          <w:tab w:val="left" w:pos="1200"/>
        </w:tabs>
        <w:ind w:left="1200" w:hanging="360"/>
      </w:pPr>
      <w:rPr>
        <w:rFonts w:hint="default" w:ascii="Wingdings" w:hAnsi="Wingdings"/>
      </w:rPr>
    </w:lvl>
  </w:abstractNum>
  <w:abstractNum w:abstractNumId="50">
    <w:nsid w:val="77F6522C"/>
    <w:multiLevelType w:val="singleLevel"/>
    <w:tmpl w:val="77F6522C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51">
    <w:nsid w:val="7BFB859B"/>
    <w:multiLevelType w:val="multilevel"/>
    <w:tmpl w:val="7BFB859B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  <w:sz w:val="20"/>
      </w:rPr>
    </w:lvl>
  </w:abstractNum>
  <w:abstractNum w:abstractNumId="52">
    <w:nsid w:val="7EFB0518"/>
    <w:multiLevelType w:val="singleLevel"/>
    <w:tmpl w:val="7EFB0518"/>
    <w:lvl w:ilvl="0" w:tentative="0">
      <w:start w:val="1"/>
      <w:numFmt w:val="decimal"/>
      <w:pStyle w:val="13"/>
      <w:lvlText w:val="%1."/>
      <w:lvlJc w:val="left"/>
      <w:pPr>
        <w:tabs>
          <w:tab w:val="left" w:pos="780"/>
        </w:tabs>
        <w:ind w:left="780" w:hanging="360"/>
      </w:pPr>
    </w:lvl>
  </w:abstractNum>
  <w:abstractNum w:abstractNumId="53">
    <w:nsid w:val="7F1FA887"/>
    <w:multiLevelType w:val="multilevel"/>
    <w:tmpl w:val="7F1FA887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  <w:sz w:val="20"/>
      </w:rPr>
    </w:lvl>
  </w:abstractNum>
  <w:num w:numId="1">
    <w:abstractNumId w:val="42"/>
  </w:num>
  <w:num w:numId="2">
    <w:abstractNumId w:val="52"/>
  </w:num>
  <w:num w:numId="3">
    <w:abstractNumId w:val="5"/>
  </w:num>
  <w:num w:numId="4">
    <w:abstractNumId w:val="39"/>
  </w:num>
  <w:num w:numId="5">
    <w:abstractNumId w:val="33"/>
  </w:num>
  <w:num w:numId="6">
    <w:abstractNumId w:val="49"/>
  </w:num>
  <w:num w:numId="7">
    <w:abstractNumId w:val="22"/>
  </w:num>
  <w:num w:numId="8">
    <w:abstractNumId w:val="41"/>
  </w:num>
  <w:num w:numId="9">
    <w:abstractNumId w:val="35"/>
  </w:num>
  <w:num w:numId="10">
    <w:abstractNumId w:val="36"/>
  </w:num>
  <w:num w:numId="11">
    <w:abstractNumId w:val="6"/>
  </w:num>
  <w:num w:numId="12">
    <w:abstractNumId w:val="3"/>
  </w:num>
  <w:num w:numId="13">
    <w:abstractNumId w:val="12"/>
  </w:num>
  <w:num w:numId="14">
    <w:abstractNumId w:val="25"/>
  </w:num>
  <w:num w:numId="15">
    <w:abstractNumId w:val="44"/>
  </w:num>
  <w:num w:numId="16">
    <w:abstractNumId w:val="30"/>
  </w:num>
  <w:num w:numId="17">
    <w:abstractNumId w:val="50"/>
  </w:num>
  <w:num w:numId="18">
    <w:abstractNumId w:val="18"/>
  </w:num>
  <w:num w:numId="19">
    <w:abstractNumId w:val="31"/>
  </w:num>
  <w:num w:numId="20">
    <w:abstractNumId w:val="43"/>
  </w:num>
  <w:num w:numId="21">
    <w:abstractNumId w:val="9"/>
  </w:num>
  <w:num w:numId="22">
    <w:abstractNumId w:val="13"/>
  </w:num>
  <w:num w:numId="23">
    <w:abstractNumId w:val="37"/>
  </w:num>
  <w:num w:numId="24">
    <w:abstractNumId w:val="11"/>
  </w:num>
  <w:num w:numId="25">
    <w:abstractNumId w:val="15"/>
  </w:num>
  <w:num w:numId="26">
    <w:abstractNumId w:val="40"/>
  </w:num>
  <w:num w:numId="27">
    <w:abstractNumId w:val="53"/>
  </w:num>
  <w:num w:numId="28">
    <w:abstractNumId w:val="26"/>
  </w:num>
  <w:num w:numId="29">
    <w:abstractNumId w:val="1"/>
  </w:num>
  <w:num w:numId="30">
    <w:abstractNumId w:val="8"/>
  </w:num>
  <w:num w:numId="31">
    <w:abstractNumId w:val="47"/>
  </w:num>
  <w:num w:numId="32">
    <w:abstractNumId w:val="51"/>
  </w:num>
  <w:num w:numId="33">
    <w:abstractNumId w:val="2"/>
  </w:num>
  <w:num w:numId="34">
    <w:abstractNumId w:val="21"/>
  </w:num>
  <w:num w:numId="35">
    <w:abstractNumId w:val="16"/>
  </w:num>
  <w:num w:numId="36">
    <w:abstractNumId w:val="27"/>
  </w:num>
  <w:num w:numId="37">
    <w:abstractNumId w:val="48"/>
  </w:num>
  <w:num w:numId="38">
    <w:abstractNumId w:val="4"/>
  </w:num>
  <w:num w:numId="39">
    <w:abstractNumId w:val="10"/>
  </w:num>
  <w:num w:numId="40">
    <w:abstractNumId w:val="28"/>
  </w:num>
  <w:num w:numId="41">
    <w:abstractNumId w:val="46"/>
  </w:num>
  <w:num w:numId="42">
    <w:abstractNumId w:val="17"/>
  </w:num>
  <w:num w:numId="43">
    <w:abstractNumId w:val="20"/>
  </w:num>
  <w:num w:numId="44">
    <w:abstractNumId w:val="24"/>
  </w:num>
  <w:num w:numId="45">
    <w:abstractNumId w:val="19"/>
  </w:num>
  <w:num w:numId="46">
    <w:abstractNumId w:val="34"/>
  </w:num>
  <w:num w:numId="47">
    <w:abstractNumId w:val="23"/>
  </w:num>
  <w:num w:numId="48">
    <w:abstractNumId w:val="32"/>
  </w:num>
  <w:num w:numId="49">
    <w:abstractNumId w:val="14"/>
  </w:num>
  <w:num w:numId="50">
    <w:abstractNumId w:val="29"/>
  </w:num>
  <w:num w:numId="51">
    <w:abstractNumId w:val="7"/>
  </w:num>
  <w:num w:numId="52">
    <w:abstractNumId w:val="45"/>
  </w:num>
  <w:num w:numId="53">
    <w:abstractNumId w:val="0"/>
  </w:num>
  <w:num w:numId="54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NotTrackMoves/>
  <w:documentProtection w:enforcement="0"/>
  <w:defaultTabStop w:val="720"/>
  <w:drawingGridHorizontalSpacing w:val="360"/>
  <w:drawingGridVerticalSpacing w:val="36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doNotUseIndentAsNumberingTabStop/>
    <w:splitPgBreakAndParaMark/>
    <w:compatSetting w:name="compatibilityMode" w:uri="http://schemas.microsoft.com/office/word" w:val="12"/>
  </w:compat>
  <w:docVars>
    <w:docVar w:name="commondata" w:val="eyJoZGlkIjoiOTgxM2RjOGM4NmFhZTkyOTlkMmE4MWQ0Zjg2YjZhY2IifQ=="/>
  </w:docVars>
  <w:rsids>
    <w:rsidRoot w:val="00000000"/>
    <w:rsid w:val="01503613"/>
    <w:rsid w:val="0E925DBF"/>
    <w:rsid w:val="0FE732EF"/>
    <w:rsid w:val="15205ED3"/>
    <w:rsid w:val="17872A04"/>
    <w:rsid w:val="18A902D0"/>
    <w:rsid w:val="1A442B9B"/>
    <w:rsid w:val="1A5F56EF"/>
    <w:rsid w:val="1E896318"/>
    <w:rsid w:val="1F4965EB"/>
    <w:rsid w:val="25C83238"/>
    <w:rsid w:val="26CA0473"/>
    <w:rsid w:val="2B924E09"/>
    <w:rsid w:val="2CE307C7"/>
    <w:rsid w:val="2F436F36"/>
    <w:rsid w:val="31994BEB"/>
    <w:rsid w:val="3FEA17AB"/>
    <w:rsid w:val="3FF2F4D6"/>
    <w:rsid w:val="410B542B"/>
    <w:rsid w:val="41A71B16"/>
    <w:rsid w:val="427B35B9"/>
    <w:rsid w:val="435B43F6"/>
    <w:rsid w:val="45B00A41"/>
    <w:rsid w:val="4FD75668"/>
    <w:rsid w:val="55426F5C"/>
    <w:rsid w:val="55853555"/>
    <w:rsid w:val="575278AD"/>
    <w:rsid w:val="5DA12EF6"/>
    <w:rsid w:val="5DE3706A"/>
    <w:rsid w:val="608A7C71"/>
    <w:rsid w:val="61615C49"/>
    <w:rsid w:val="6401649C"/>
    <w:rsid w:val="653D4140"/>
    <w:rsid w:val="65907A54"/>
    <w:rsid w:val="665629F7"/>
    <w:rsid w:val="69F47232"/>
    <w:rsid w:val="6A2B7DCF"/>
    <w:rsid w:val="6B550DD6"/>
    <w:rsid w:val="6FE07705"/>
    <w:rsid w:val="6FFD907A"/>
    <w:rsid w:val="74A83031"/>
    <w:rsid w:val="76962A74"/>
    <w:rsid w:val="7B77B008"/>
    <w:rsid w:val="7FF6C12C"/>
    <w:rsid w:val="BCB98261"/>
    <w:rsid w:val="E7F7F841"/>
    <w:rsid w:val="F3663453"/>
    <w:rsid w:val="F3EB132D"/>
    <w:rsid w:val="FEF70171"/>
    <w:rsid w:val="FFCF9603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 m:val="1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qFormat="1" w:unhideWhenUsed="0" w:uiPriority="0" w:semiHidden="0" w:name="index 1"/>
    <w:lsdException w:qFormat="1"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qFormat="1"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qFormat="1" w:unhideWhenUsed="0" w:uiPriority="0" w:semiHidden="0" w:name="line number"/>
    <w:lsdException w:qFormat="1"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qFormat="1"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qFormat="1" w:unhideWhenUsed="0" w:uiPriority="0" w:semiHidden="0" w:name="List"/>
    <w:lsdException w:qFormat="1" w:unhideWhenUsed="0" w:uiPriority="0" w:semiHidden="0" w:name="List Bullet"/>
    <w:lsdException w:qFormat="1" w:unhideWhenUsed="0" w:uiPriority="0" w:semiHidden="0" w:name="List Number"/>
    <w:lsdException w:qFormat="1" w:unhideWhenUsed="0" w:uiPriority="0" w:semiHidden="0" w:name="List 2"/>
    <w:lsdException w:qFormat="1" w:unhideWhenUsed="0" w:uiPriority="0" w:semiHidden="0" w:name="List 3"/>
    <w:lsdException w:qFormat="1" w:unhideWhenUsed="0" w:uiPriority="0" w:semiHidden="0" w:name="List 4"/>
    <w:lsdException w:qFormat="1" w:unhideWhenUsed="0" w:uiPriority="0" w:semiHidden="0" w:name="List 5"/>
    <w:lsdException w:qFormat="1" w:unhideWhenUsed="0" w:uiPriority="0" w:semiHidden="0" w:name="List Bullet 2"/>
    <w:lsdException w:qFormat="1" w:unhideWhenUsed="0" w:uiPriority="0" w:semiHidden="0" w:name="List Bullet 3"/>
    <w:lsdException w:qFormat="1" w:unhideWhenUsed="0" w:uiPriority="0" w:semiHidden="0" w:name="List Bullet 4"/>
    <w:lsdException w:qFormat="1" w:unhideWhenUsed="0" w:uiPriority="0" w:semiHidden="0" w:name="List Bullet 5"/>
    <w:lsdException w:qFormat="1" w:unhideWhenUsed="0" w:uiPriority="0" w:semiHidden="0" w:name="List Number 2"/>
    <w:lsdException w:qFormat="1" w:unhideWhenUsed="0" w:uiPriority="0" w:semiHidden="0" w:name="List Number 3"/>
    <w:lsdException w:qFormat="1" w:unhideWhenUsed="0" w:uiPriority="0" w:semiHidden="0" w:name="List Number 4"/>
    <w:lsdException w:qFormat="1"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qFormat="1" w:unhideWhenUsed="0" w:uiPriority="0" w:semiHidden="0" w:name="List Continue"/>
    <w:lsdException w:qFormat="1" w:unhideWhenUsed="0" w:uiPriority="0" w:semiHidden="0" w:name="List Continue 2"/>
    <w:lsdException w:qFormat="1"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qFormat="1"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semiHidden="0" w:name="Normal Table"/>
    <w:lsdException w:qFormat="1"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  <w:ind w:firstLine="601" w:firstLineChars="200"/>
      <w:jc w:val="both"/>
    </w:pPr>
    <w:rPr>
      <w:rFonts w:ascii="微软雅黑" w:hAnsi="微软雅黑" w:eastAsia="微软雅黑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260" w:beforeLines="0" w:beforeAutospacing="0" w:after="260" w:afterLines="0" w:afterAutospacing="0" w:line="413" w:lineRule="auto"/>
      <w:jc w:val="center"/>
      <w:outlineLvl w:val="0"/>
    </w:pPr>
    <w:rPr>
      <w:b/>
      <w:kern w:val="44"/>
      <w:sz w:val="30"/>
    </w:rPr>
  </w:style>
  <w:style w:type="paragraph" w:styleId="3">
    <w:name w:val="heading 2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微软雅黑" w:cs="Times New Roman"/>
      <w:b/>
      <w:sz w:val="28"/>
    </w:rPr>
  </w:style>
  <w:style w:type="paragraph" w:styleId="4">
    <w:name w:val="heading 3"/>
    <w:next w:val="1"/>
    <w:unhideWhenUsed/>
    <w:qFormat/>
    <w:uiPriority w:val="0"/>
    <w:pPr>
      <w:keepNext/>
      <w:keepLines/>
      <w:numPr>
        <w:ilvl w:val="0"/>
        <w:numId w:val="0"/>
      </w:numPr>
      <w:spacing w:before="260" w:beforeLines="0" w:beforeAutospacing="0" w:after="260" w:afterLines="0" w:afterAutospacing="0" w:line="413" w:lineRule="auto"/>
      <w:outlineLvl w:val="2"/>
    </w:pPr>
    <w:rPr>
      <w:rFonts w:ascii="Times New Roman" w:hAnsi="Times New Roman" w:eastAsia="微软雅黑" w:cs="Times New Roman"/>
      <w:b/>
      <w:sz w:val="24"/>
    </w:rPr>
  </w:style>
  <w:style w:type="paragraph" w:styleId="5">
    <w:name w:val="heading 4"/>
    <w:next w:val="1"/>
    <w:unhideWhenUsed/>
    <w:qFormat/>
    <w:uiPriority w:val="0"/>
    <w:pPr>
      <w:keepNext/>
      <w:keepLines/>
      <w:numPr>
        <w:ilvl w:val="0"/>
        <w:numId w:val="0"/>
      </w:numPr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微软雅黑" w:cs="Times New Roman"/>
      <w:i/>
      <w:sz w:val="24"/>
    </w:rPr>
  </w:style>
  <w:style w:type="paragraph" w:styleId="6">
    <w:name w:val="heading 5"/>
    <w:basedOn w:val="1"/>
    <w:next w:val="7"/>
    <w:unhideWhenUsed/>
    <w:qFormat/>
    <w:uiPriority w:val="9"/>
    <w:pPr>
      <w:keepNext/>
      <w:keepLines/>
      <w:numPr>
        <w:ilvl w:val="4"/>
        <w:numId w:val="1"/>
      </w:numPr>
      <w:spacing w:before="200" w:after="0"/>
      <w:ind w:firstLine="402"/>
      <w:outlineLvl w:val="4"/>
    </w:pPr>
    <w:rPr>
      <w:rFonts w:ascii="微软雅黑" w:hAnsi="微软雅黑" w:eastAsia="微软雅黑" w:cstheme="majorBidi"/>
      <w:iCs/>
      <w:color w:val="auto"/>
    </w:rPr>
  </w:style>
  <w:style w:type="paragraph" w:styleId="8">
    <w:name w:val="heading 6"/>
    <w:basedOn w:val="1"/>
    <w:next w:val="7"/>
    <w:unhideWhenUsed/>
    <w:qFormat/>
    <w:uiPriority w:val="9"/>
    <w:pPr>
      <w:keepNext/>
      <w:keepLines/>
      <w:numPr>
        <w:ilvl w:val="5"/>
        <w:numId w:val="1"/>
      </w:numPr>
      <w:spacing w:before="200" w:after="0"/>
      <w:ind w:firstLine="402"/>
      <w:outlineLvl w:val="5"/>
    </w:pPr>
    <w:rPr>
      <w:rFonts w:ascii="微软雅黑" w:hAnsi="微软雅黑" w:eastAsia="微软雅黑" w:cstheme="majorBidi"/>
      <w:color w:val="auto"/>
    </w:rPr>
  </w:style>
  <w:style w:type="paragraph" w:styleId="9">
    <w:name w:val="heading 7"/>
    <w:basedOn w:val="1"/>
    <w:next w:val="7"/>
    <w:unhideWhenUsed/>
    <w:qFormat/>
    <w:uiPriority w:val="9"/>
    <w:pPr>
      <w:keepNext/>
      <w:keepLines/>
      <w:numPr>
        <w:ilvl w:val="6"/>
        <w:numId w:val="1"/>
      </w:numPr>
      <w:spacing w:before="200" w:after="0"/>
      <w:ind w:firstLine="402"/>
      <w:outlineLvl w:val="6"/>
    </w:pPr>
    <w:rPr>
      <w:rFonts w:ascii="微软雅黑" w:hAnsi="微软雅黑" w:eastAsia="微软雅黑" w:cstheme="majorBidi"/>
      <w:color w:val="auto"/>
    </w:rPr>
  </w:style>
  <w:style w:type="paragraph" w:styleId="10">
    <w:name w:val="heading 8"/>
    <w:basedOn w:val="1"/>
    <w:next w:val="7"/>
    <w:unhideWhenUsed/>
    <w:qFormat/>
    <w:uiPriority w:val="9"/>
    <w:pPr>
      <w:keepNext/>
      <w:keepLines/>
      <w:numPr>
        <w:ilvl w:val="7"/>
        <w:numId w:val="1"/>
      </w:numPr>
      <w:spacing w:before="200" w:after="0"/>
      <w:ind w:firstLine="402"/>
      <w:outlineLvl w:val="7"/>
    </w:pPr>
    <w:rPr>
      <w:rFonts w:ascii="微软雅黑" w:hAnsi="微软雅黑" w:eastAsia="微软雅黑" w:cstheme="majorBidi"/>
      <w:color w:val="auto"/>
    </w:rPr>
  </w:style>
  <w:style w:type="paragraph" w:styleId="11">
    <w:name w:val="heading 9"/>
    <w:basedOn w:val="1"/>
    <w:next w:val="7"/>
    <w:unhideWhenUsed/>
    <w:qFormat/>
    <w:uiPriority w:val="9"/>
    <w:pPr>
      <w:keepNext/>
      <w:keepLines/>
      <w:numPr>
        <w:ilvl w:val="8"/>
        <w:numId w:val="1"/>
      </w:numPr>
      <w:spacing w:before="200" w:after="0"/>
      <w:ind w:firstLine="402"/>
      <w:outlineLvl w:val="8"/>
    </w:pPr>
    <w:rPr>
      <w:rFonts w:ascii="微软雅黑" w:hAnsi="微软雅黑" w:eastAsia="微软雅黑" w:cstheme="majorBidi"/>
      <w:color w:val="auto"/>
    </w:rPr>
  </w:style>
  <w:style w:type="character" w:default="1" w:styleId="51">
    <w:name w:val="Default Paragraph Font"/>
    <w:semiHidden/>
    <w:qFormat/>
    <w:uiPriority w:val="0"/>
  </w:style>
  <w:style w:type="table" w:default="1" w:styleId="50">
    <w:name w:val="Normal Table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ody Text"/>
    <w:basedOn w:val="1"/>
    <w:link w:val="57"/>
    <w:qFormat/>
    <w:uiPriority w:val="0"/>
    <w:pPr>
      <w:spacing w:before="180" w:after="180"/>
      <w:ind w:firstLine="560" w:firstLineChars="200"/>
      <w:jc w:val="both"/>
    </w:pPr>
  </w:style>
  <w:style w:type="paragraph" w:styleId="12">
    <w:name w:val="List 3"/>
    <w:basedOn w:val="1"/>
    <w:qFormat/>
    <w:uiPriority w:val="0"/>
    <w:pPr>
      <w:ind w:left="100" w:leftChars="400" w:hanging="200" w:hangingChars="200"/>
    </w:pPr>
  </w:style>
  <w:style w:type="paragraph" w:styleId="13">
    <w:name w:val="List Number 2"/>
    <w:basedOn w:val="1"/>
    <w:qFormat/>
    <w:uiPriority w:val="0"/>
    <w:pPr>
      <w:numPr>
        <w:ilvl w:val="0"/>
        <w:numId w:val="2"/>
      </w:numPr>
    </w:pPr>
  </w:style>
  <w:style w:type="paragraph" w:styleId="14">
    <w:name w:val="table of authorities"/>
    <w:basedOn w:val="1"/>
    <w:next w:val="1"/>
    <w:qFormat/>
    <w:uiPriority w:val="0"/>
    <w:pPr>
      <w:ind w:left="420" w:leftChars="200"/>
    </w:pPr>
  </w:style>
  <w:style w:type="paragraph" w:styleId="15">
    <w:name w:val="List Bullet 4"/>
    <w:basedOn w:val="1"/>
    <w:qFormat/>
    <w:uiPriority w:val="0"/>
    <w:pPr>
      <w:numPr>
        <w:ilvl w:val="0"/>
        <w:numId w:val="3"/>
      </w:numPr>
    </w:pPr>
  </w:style>
  <w:style w:type="paragraph" w:styleId="16">
    <w:name w:val="List Number"/>
    <w:basedOn w:val="1"/>
    <w:qFormat/>
    <w:uiPriority w:val="0"/>
    <w:pPr>
      <w:numPr>
        <w:ilvl w:val="0"/>
        <w:numId w:val="4"/>
      </w:numPr>
    </w:pPr>
  </w:style>
  <w:style w:type="paragraph" w:styleId="17">
    <w:name w:val="caption"/>
    <w:basedOn w:val="1"/>
    <w:qFormat/>
    <w:uiPriority w:val="0"/>
    <w:pPr>
      <w:spacing w:before="0" w:after="120"/>
    </w:pPr>
    <w:rPr>
      <w:i/>
    </w:rPr>
  </w:style>
  <w:style w:type="paragraph" w:styleId="18">
    <w:name w:val="List Bullet"/>
    <w:basedOn w:val="1"/>
    <w:qFormat/>
    <w:uiPriority w:val="0"/>
    <w:pPr>
      <w:numPr>
        <w:ilvl w:val="0"/>
        <w:numId w:val="5"/>
      </w:numPr>
      <w:ind w:left="0" w:firstLine="0" w:firstLineChars="0"/>
    </w:pPr>
  </w:style>
  <w:style w:type="paragraph" w:styleId="19">
    <w:name w:val="Document Map"/>
    <w:basedOn w:val="1"/>
    <w:qFormat/>
    <w:uiPriority w:val="0"/>
    <w:pPr>
      <w:shd w:val="clear" w:color="auto" w:fill="000080"/>
    </w:pPr>
  </w:style>
  <w:style w:type="paragraph" w:styleId="20">
    <w:name w:val="annotation text"/>
    <w:basedOn w:val="1"/>
    <w:qFormat/>
    <w:uiPriority w:val="0"/>
    <w:pPr>
      <w:jc w:val="left"/>
    </w:pPr>
  </w:style>
  <w:style w:type="paragraph" w:styleId="21">
    <w:name w:val="List Bullet 3"/>
    <w:basedOn w:val="1"/>
    <w:qFormat/>
    <w:uiPriority w:val="0"/>
    <w:pPr>
      <w:numPr>
        <w:ilvl w:val="0"/>
        <w:numId w:val="6"/>
      </w:numPr>
    </w:pPr>
  </w:style>
  <w:style w:type="paragraph" w:styleId="22">
    <w:name w:val="List Number 3"/>
    <w:basedOn w:val="1"/>
    <w:qFormat/>
    <w:uiPriority w:val="0"/>
    <w:pPr>
      <w:numPr>
        <w:ilvl w:val="0"/>
        <w:numId w:val="7"/>
      </w:numPr>
    </w:pPr>
  </w:style>
  <w:style w:type="paragraph" w:styleId="23">
    <w:name w:val="List 2"/>
    <w:basedOn w:val="1"/>
    <w:qFormat/>
    <w:uiPriority w:val="0"/>
    <w:pPr>
      <w:ind w:left="100" w:leftChars="200" w:hanging="200" w:hangingChars="200"/>
    </w:pPr>
  </w:style>
  <w:style w:type="paragraph" w:styleId="24">
    <w:name w:val="List Continue"/>
    <w:basedOn w:val="1"/>
    <w:qFormat/>
    <w:uiPriority w:val="0"/>
    <w:pPr>
      <w:numPr>
        <w:ilvl w:val="0"/>
        <w:numId w:val="8"/>
      </w:numPr>
      <w:spacing w:after="120" w:afterLines="0" w:afterAutospacing="0"/>
      <w:ind w:left="0" w:leftChars="200" w:firstLine="0" w:firstLineChars="0"/>
    </w:pPr>
  </w:style>
  <w:style w:type="paragraph" w:styleId="25">
    <w:name w:val="Block Text"/>
    <w:basedOn w:val="7"/>
    <w:next w:val="7"/>
    <w:unhideWhenUsed/>
    <w:qFormat/>
    <w:uiPriority w:val="9"/>
    <w:pPr>
      <w:spacing w:before="100" w:after="100"/>
      <w:ind w:left="480" w:right="480" w:firstLine="0"/>
    </w:pPr>
  </w:style>
  <w:style w:type="paragraph" w:styleId="26">
    <w:name w:val="List Bullet 2"/>
    <w:basedOn w:val="1"/>
    <w:qFormat/>
    <w:uiPriority w:val="0"/>
    <w:pPr>
      <w:numPr>
        <w:ilvl w:val="0"/>
        <w:numId w:val="9"/>
      </w:numPr>
    </w:pPr>
  </w:style>
  <w:style w:type="paragraph" w:styleId="27">
    <w:name w:val="List Bullet 5"/>
    <w:basedOn w:val="1"/>
    <w:qFormat/>
    <w:uiPriority w:val="0"/>
    <w:pPr>
      <w:numPr>
        <w:ilvl w:val="0"/>
        <w:numId w:val="10"/>
      </w:numPr>
    </w:pPr>
  </w:style>
  <w:style w:type="paragraph" w:styleId="28">
    <w:name w:val="List Number 4"/>
    <w:basedOn w:val="1"/>
    <w:qFormat/>
    <w:uiPriority w:val="0"/>
    <w:pPr>
      <w:numPr>
        <w:ilvl w:val="0"/>
        <w:numId w:val="11"/>
      </w:numPr>
    </w:pPr>
  </w:style>
  <w:style w:type="paragraph" w:styleId="29">
    <w:name w:val="Date"/>
    <w:next w:val="7"/>
    <w:qFormat/>
    <w:uiPriority w:val="0"/>
    <w:pPr>
      <w:keepNext/>
      <w:keepLines/>
      <w:spacing w:after="200"/>
      <w:jc w:val="center"/>
    </w:pPr>
    <w:rPr>
      <w:rFonts w:ascii="微软雅黑" w:hAnsi="微软雅黑" w:eastAsia="微软雅黑" w:cstheme="minorBidi"/>
      <w:sz w:val="24"/>
      <w:szCs w:val="24"/>
      <w:lang w:val="en-US" w:eastAsia="en-US" w:bidi="ar-SA"/>
    </w:rPr>
  </w:style>
  <w:style w:type="paragraph" w:styleId="30">
    <w:name w:val="endnote text"/>
    <w:basedOn w:val="1"/>
    <w:qFormat/>
    <w:uiPriority w:val="0"/>
    <w:pPr>
      <w:snapToGrid w:val="0"/>
      <w:jc w:val="left"/>
    </w:pPr>
  </w:style>
  <w:style w:type="paragraph" w:styleId="31">
    <w:name w:val="Balloon Text"/>
    <w:basedOn w:val="1"/>
    <w:qFormat/>
    <w:uiPriority w:val="0"/>
    <w:pPr>
      <w:ind w:firstLine="0" w:firstLineChars="0"/>
    </w:pPr>
    <w:rPr>
      <w:sz w:val="18"/>
    </w:rPr>
  </w:style>
  <w:style w:type="paragraph" w:styleId="3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34">
    <w:name w:val="toc 1"/>
    <w:basedOn w:val="1"/>
    <w:next w:val="1"/>
    <w:qFormat/>
    <w:uiPriority w:val="0"/>
  </w:style>
  <w:style w:type="paragraph" w:styleId="35">
    <w:name w:val="Subtitle"/>
    <w:basedOn w:val="36"/>
    <w:next w:val="7"/>
    <w:qFormat/>
    <w:uiPriority w:val="0"/>
    <w:pPr>
      <w:keepNext/>
      <w:keepLines/>
      <w:spacing w:before="240" w:after="240"/>
      <w:jc w:val="center"/>
    </w:pPr>
    <w:rPr>
      <w:rFonts w:ascii="微软雅黑" w:hAnsi="微软雅黑"/>
      <w:sz w:val="30"/>
      <w:szCs w:val="30"/>
    </w:rPr>
  </w:style>
  <w:style w:type="paragraph" w:styleId="36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paragraph" w:styleId="37">
    <w:name w:val="List Number 5"/>
    <w:basedOn w:val="1"/>
    <w:qFormat/>
    <w:uiPriority w:val="0"/>
    <w:pPr>
      <w:numPr>
        <w:ilvl w:val="0"/>
        <w:numId w:val="12"/>
      </w:numPr>
    </w:pPr>
  </w:style>
  <w:style w:type="paragraph" w:styleId="38">
    <w:name w:val="List"/>
    <w:basedOn w:val="1"/>
    <w:qFormat/>
    <w:uiPriority w:val="0"/>
    <w:pPr>
      <w:ind w:left="200" w:hanging="200" w:hangingChars="200"/>
    </w:pPr>
  </w:style>
  <w:style w:type="paragraph" w:styleId="39">
    <w:name w:val="footnote text"/>
    <w:basedOn w:val="1"/>
    <w:unhideWhenUsed/>
    <w:qFormat/>
    <w:uiPriority w:val="9"/>
    <w:rPr>
      <w:rFonts w:ascii="微软雅黑" w:hAnsi="微软雅黑" w:eastAsia="微软雅黑"/>
    </w:rPr>
  </w:style>
  <w:style w:type="paragraph" w:styleId="40">
    <w:name w:val="List 5"/>
    <w:basedOn w:val="1"/>
    <w:qFormat/>
    <w:uiPriority w:val="0"/>
    <w:pPr>
      <w:ind w:left="100" w:leftChars="800" w:hanging="200" w:hangingChars="200"/>
    </w:pPr>
  </w:style>
  <w:style w:type="paragraph" w:styleId="41">
    <w:name w:val="table of figures"/>
    <w:basedOn w:val="1"/>
    <w:next w:val="1"/>
    <w:qFormat/>
    <w:uiPriority w:val="0"/>
    <w:pPr>
      <w:ind w:leftChars="0" w:firstLine="0" w:firstLineChars="0"/>
      <w:jc w:val="left"/>
    </w:pPr>
    <w:rPr>
      <w:rFonts w:ascii="微软雅黑" w:hAnsi="微软雅黑" w:eastAsia="微软雅黑"/>
    </w:rPr>
  </w:style>
  <w:style w:type="paragraph" w:styleId="42">
    <w:name w:val="List 4"/>
    <w:basedOn w:val="1"/>
    <w:qFormat/>
    <w:uiPriority w:val="0"/>
    <w:pPr>
      <w:ind w:left="100" w:leftChars="600" w:hanging="200" w:hangingChars="200"/>
    </w:pPr>
  </w:style>
  <w:style w:type="paragraph" w:styleId="43">
    <w:name w:val="List Continue 2"/>
    <w:basedOn w:val="1"/>
    <w:qFormat/>
    <w:uiPriority w:val="0"/>
    <w:pPr>
      <w:spacing w:after="120" w:afterLines="0" w:afterAutospacing="0"/>
      <w:ind w:left="840" w:leftChars="400"/>
    </w:pPr>
  </w:style>
  <w:style w:type="paragraph" w:styleId="44">
    <w:name w:val="Message Header"/>
    <w:basedOn w:val="1"/>
    <w:qFormat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Arial" w:hAnsi="Arial"/>
      <w:sz w:val="24"/>
    </w:rPr>
  </w:style>
  <w:style w:type="paragraph" w:styleId="45">
    <w:name w:val="Normal (Web)"/>
    <w:basedOn w:val="1"/>
    <w:qFormat/>
    <w:uiPriority w:val="0"/>
    <w:pPr>
      <w:spacing w:before="-2147483648" w:beforeAutospacing="1" w:after="-2147483648" w:afterAutospacing="1"/>
      <w:ind w:left="0" w:right="0" w:firstLine="560" w:firstLineChars="200"/>
      <w:jc w:val="both"/>
    </w:pPr>
    <w:rPr>
      <w:rFonts w:ascii="微软雅黑" w:hAnsi="微软雅黑" w:eastAsia="微软雅黑"/>
      <w:lang w:eastAsia="zh-CN" w:bidi="ar"/>
    </w:rPr>
  </w:style>
  <w:style w:type="paragraph" w:styleId="46">
    <w:name w:val="List Continue 3"/>
    <w:basedOn w:val="1"/>
    <w:qFormat/>
    <w:uiPriority w:val="0"/>
    <w:pPr>
      <w:spacing w:after="120" w:afterLines="0" w:afterAutospacing="0"/>
      <w:ind w:left="1260" w:leftChars="600"/>
    </w:pPr>
  </w:style>
  <w:style w:type="paragraph" w:styleId="47">
    <w:name w:val="index 1"/>
    <w:basedOn w:val="1"/>
    <w:next w:val="1"/>
    <w:qFormat/>
    <w:uiPriority w:val="0"/>
  </w:style>
  <w:style w:type="paragraph" w:styleId="48">
    <w:name w:val="index 2"/>
    <w:basedOn w:val="1"/>
    <w:next w:val="1"/>
    <w:qFormat/>
    <w:uiPriority w:val="0"/>
    <w:pPr>
      <w:ind w:left="200" w:leftChars="200"/>
    </w:pPr>
  </w:style>
  <w:style w:type="paragraph" w:styleId="49">
    <w:name w:val="annotation subject"/>
    <w:basedOn w:val="20"/>
    <w:next w:val="20"/>
    <w:qFormat/>
    <w:uiPriority w:val="0"/>
    <w:rPr>
      <w:b/>
    </w:rPr>
  </w:style>
  <w:style w:type="character" w:styleId="52">
    <w:name w:val="endnote reference"/>
    <w:basedOn w:val="51"/>
    <w:qFormat/>
    <w:uiPriority w:val="0"/>
    <w:rPr>
      <w:vertAlign w:val="superscript"/>
    </w:rPr>
  </w:style>
  <w:style w:type="character" w:styleId="53">
    <w:name w:val="page number"/>
    <w:basedOn w:val="51"/>
    <w:qFormat/>
    <w:uiPriority w:val="0"/>
  </w:style>
  <w:style w:type="character" w:styleId="54">
    <w:name w:val="Emphasis"/>
    <w:basedOn w:val="51"/>
    <w:qFormat/>
    <w:uiPriority w:val="0"/>
    <w:rPr>
      <w:i/>
    </w:rPr>
  </w:style>
  <w:style w:type="character" w:styleId="55">
    <w:name w:val="line number"/>
    <w:basedOn w:val="51"/>
    <w:qFormat/>
    <w:uiPriority w:val="0"/>
  </w:style>
  <w:style w:type="character" w:styleId="56">
    <w:name w:val="Hyperlink"/>
    <w:basedOn w:val="57"/>
    <w:qFormat/>
    <w:uiPriority w:val="0"/>
    <w:rPr>
      <w:color w:val="0070C0"/>
      <w:u w:val="single"/>
    </w:rPr>
  </w:style>
  <w:style w:type="character" w:customStyle="1" w:styleId="57">
    <w:name w:val="Body Text Char"/>
    <w:basedOn w:val="51"/>
    <w:link w:val="7"/>
    <w:qFormat/>
    <w:uiPriority w:val="0"/>
    <w:rPr>
      <w:rFonts w:ascii="微软雅黑" w:hAnsi="微软雅黑" w:eastAsia="微软雅黑"/>
    </w:rPr>
  </w:style>
  <w:style w:type="character" w:styleId="58">
    <w:name w:val="annotation reference"/>
    <w:basedOn w:val="51"/>
    <w:qFormat/>
    <w:uiPriority w:val="0"/>
    <w:rPr>
      <w:sz w:val="21"/>
    </w:rPr>
  </w:style>
  <w:style w:type="character" w:styleId="59">
    <w:name w:val="footnote reference"/>
    <w:basedOn w:val="57"/>
    <w:qFormat/>
    <w:uiPriority w:val="0"/>
    <w:rPr>
      <w:vertAlign w:val="superscript"/>
    </w:rPr>
  </w:style>
  <w:style w:type="paragraph" w:customStyle="1" w:styleId="60">
    <w:name w:val="First Paragraph"/>
    <w:basedOn w:val="7"/>
    <w:next w:val="7"/>
    <w:qFormat/>
    <w:uiPriority w:val="0"/>
    <w:pPr>
      <w:ind w:firstLine="720" w:firstLineChars="200"/>
      <w:jc w:val="both"/>
    </w:pPr>
  </w:style>
  <w:style w:type="paragraph" w:customStyle="1" w:styleId="61">
    <w:name w:val="Compact"/>
    <w:basedOn w:val="7"/>
    <w:qFormat/>
    <w:uiPriority w:val="0"/>
    <w:pPr>
      <w:spacing w:before="36" w:after="36"/>
    </w:pPr>
  </w:style>
  <w:style w:type="paragraph" w:customStyle="1" w:styleId="62">
    <w:name w:val="Author"/>
    <w:next w:val="7"/>
    <w:qFormat/>
    <w:uiPriority w:val="0"/>
    <w:pPr>
      <w:keepNext/>
      <w:keepLines/>
      <w:spacing w:after="200"/>
      <w:jc w:val="center"/>
    </w:pPr>
    <w:rPr>
      <w:rFonts w:ascii="微软雅黑" w:hAnsi="微软雅黑" w:eastAsia="微软雅黑" w:cstheme="minorBidi"/>
      <w:sz w:val="24"/>
      <w:szCs w:val="24"/>
      <w:lang w:val="en-US" w:eastAsia="en-US" w:bidi="ar-SA"/>
    </w:rPr>
  </w:style>
  <w:style w:type="paragraph" w:customStyle="1" w:styleId="63">
    <w:name w:val="Abstract Title"/>
    <w:basedOn w:val="1"/>
    <w:next w:val="64"/>
    <w:qFormat/>
    <w:uiPriority w:val="0"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64">
    <w:name w:val="Abstract"/>
    <w:basedOn w:val="1"/>
    <w:next w:val="7"/>
    <w:qFormat/>
    <w:uiPriority w:val="0"/>
    <w:pPr>
      <w:keepNext/>
      <w:keepLines/>
      <w:spacing w:before="100" w:after="300"/>
    </w:pPr>
    <w:rPr>
      <w:rFonts w:ascii="微软雅黑" w:hAnsi="微软雅黑" w:eastAsia="微软雅黑"/>
      <w:sz w:val="20"/>
      <w:szCs w:val="20"/>
    </w:rPr>
  </w:style>
  <w:style w:type="paragraph" w:customStyle="1" w:styleId="65">
    <w:name w:val="Bibliography"/>
    <w:basedOn w:val="1"/>
    <w:qFormat/>
    <w:uiPriority w:val="0"/>
  </w:style>
  <w:style w:type="paragraph" w:customStyle="1" w:styleId="66">
    <w:name w:val="Footnote Block Text"/>
    <w:unhideWhenUsed/>
    <w:qFormat/>
    <w:uiPriority w:val="9"/>
    <w:pPr>
      <w:spacing w:before="100" w:after="100"/>
      <w:ind w:left="480" w:right="480" w:firstLine="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table" w:customStyle="1" w:styleId="6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68">
    <w:name w:val="Definition Term"/>
    <w:basedOn w:val="1"/>
    <w:next w:val="69"/>
    <w:qFormat/>
    <w:uiPriority w:val="0"/>
    <w:pPr>
      <w:keepNext/>
      <w:keepLines/>
      <w:spacing w:after="0"/>
    </w:pPr>
    <w:rPr>
      <w:rFonts w:ascii="微软雅黑" w:hAnsi="微软雅黑" w:eastAsia="微软雅黑"/>
      <w:b/>
    </w:rPr>
  </w:style>
  <w:style w:type="paragraph" w:customStyle="1" w:styleId="69">
    <w:name w:val="Definition"/>
    <w:basedOn w:val="1"/>
    <w:qFormat/>
    <w:uiPriority w:val="0"/>
    <w:rPr>
      <w:rFonts w:ascii="微软雅黑" w:hAnsi="微软雅黑" w:eastAsia="微软雅黑"/>
    </w:rPr>
  </w:style>
  <w:style w:type="paragraph" w:customStyle="1" w:styleId="70">
    <w:name w:val="Table Caption"/>
    <w:basedOn w:val="17"/>
    <w:qFormat/>
    <w:uiPriority w:val="0"/>
    <w:pPr>
      <w:keepNext/>
    </w:pPr>
    <w:rPr>
      <w:rFonts w:ascii="微软雅黑" w:hAnsi="微软雅黑" w:eastAsia="微软雅黑"/>
    </w:rPr>
  </w:style>
  <w:style w:type="paragraph" w:customStyle="1" w:styleId="71">
    <w:name w:val="Image Caption"/>
    <w:basedOn w:val="17"/>
    <w:qFormat/>
    <w:uiPriority w:val="0"/>
    <w:rPr>
      <w:rFonts w:ascii="微软雅黑" w:hAnsi="微软雅黑" w:eastAsia="微软雅黑"/>
    </w:rPr>
  </w:style>
  <w:style w:type="paragraph" w:customStyle="1" w:styleId="72">
    <w:name w:val="Figure"/>
    <w:basedOn w:val="1"/>
    <w:qFormat/>
    <w:uiPriority w:val="0"/>
  </w:style>
  <w:style w:type="paragraph" w:customStyle="1" w:styleId="73">
    <w:name w:val="Captioned Figure"/>
    <w:basedOn w:val="72"/>
    <w:qFormat/>
    <w:uiPriority w:val="0"/>
    <w:pPr>
      <w:keepNext/>
    </w:pPr>
  </w:style>
  <w:style w:type="character" w:customStyle="1" w:styleId="74">
    <w:name w:val="Verbatim Char"/>
    <w:basedOn w:val="57"/>
    <w:qFormat/>
    <w:uiPriority w:val="0"/>
    <w:rPr>
      <w:rFonts w:ascii="Copperplate" w:hAnsi="Copperplate"/>
      <w:sz w:val="22"/>
    </w:rPr>
  </w:style>
  <w:style w:type="character" w:customStyle="1" w:styleId="75">
    <w:name w:val="Section Number"/>
    <w:basedOn w:val="57"/>
    <w:qFormat/>
    <w:uiPriority w:val="0"/>
  </w:style>
  <w:style w:type="paragraph" w:customStyle="1" w:styleId="76">
    <w:name w:val="TOC Heading"/>
    <w:basedOn w:val="2"/>
    <w:next w:val="7"/>
    <w:unhideWhenUsed/>
    <w:qFormat/>
    <w:uiPriority w:val="39"/>
    <w:pPr>
      <w:tabs>
        <w:tab w:val="left" w:pos="0"/>
      </w:tabs>
      <w:spacing w:before="240" w:line="259" w:lineRule="auto"/>
      <w:outlineLvl w:val="9"/>
    </w:pPr>
    <w:rPr>
      <w:rFonts w:asciiTheme="majorHAnsi" w:hAnsiTheme="majorHAnsi" w:eastAsiaTheme="majorEastAsia" w:cstheme="majorBidi"/>
      <w:b w:val="0"/>
      <w:color w:val="366091" w:themeColor="accent1" w:themeShade="BF"/>
    </w:rPr>
  </w:style>
  <w:style w:type="paragraph" w:customStyle="1" w:styleId="77">
    <w:name w:val="Source Code"/>
    <w:qFormat/>
    <w:uiPriority w:val="0"/>
    <w:pPr>
      <w:wordWrap w:val="0"/>
    </w:pPr>
    <w:rPr>
      <w:rFonts w:asciiTheme="minorHAnsi" w:hAnsiTheme="minorHAnsi" w:eastAsiaTheme="minorHAnsi" w:cstheme="minorBidi"/>
    </w:rPr>
  </w:style>
  <w:style w:type="character" w:customStyle="1" w:styleId="78">
    <w:name w:val="KeywordTok"/>
    <w:qFormat/>
    <w:uiPriority w:val="0"/>
    <w:rPr>
      <w:b/>
      <w:color w:val="007020"/>
    </w:rPr>
  </w:style>
  <w:style w:type="character" w:customStyle="1" w:styleId="79">
    <w:name w:val="DataTypeTok"/>
    <w:qFormat/>
    <w:uiPriority w:val="0"/>
    <w:rPr>
      <w:color w:val="902000"/>
    </w:rPr>
  </w:style>
  <w:style w:type="character" w:customStyle="1" w:styleId="80">
    <w:name w:val="DecValTok"/>
    <w:qFormat/>
    <w:uiPriority w:val="0"/>
    <w:rPr>
      <w:color w:val="40A070"/>
    </w:rPr>
  </w:style>
  <w:style w:type="character" w:customStyle="1" w:styleId="81">
    <w:name w:val="BaseNTok"/>
    <w:qFormat/>
    <w:uiPriority w:val="0"/>
    <w:rPr>
      <w:color w:val="40A070"/>
    </w:rPr>
  </w:style>
  <w:style w:type="character" w:customStyle="1" w:styleId="82">
    <w:name w:val="FloatTok"/>
    <w:qFormat/>
    <w:uiPriority w:val="0"/>
    <w:rPr>
      <w:color w:val="40A070"/>
    </w:rPr>
  </w:style>
  <w:style w:type="character" w:customStyle="1" w:styleId="83">
    <w:name w:val="ConstantTok"/>
    <w:qFormat/>
    <w:uiPriority w:val="0"/>
    <w:rPr>
      <w:color w:val="880000"/>
    </w:rPr>
  </w:style>
  <w:style w:type="character" w:customStyle="1" w:styleId="84">
    <w:name w:val="CharTok"/>
    <w:qFormat/>
    <w:uiPriority w:val="0"/>
    <w:rPr>
      <w:color w:val="4070A0"/>
    </w:rPr>
  </w:style>
  <w:style w:type="character" w:customStyle="1" w:styleId="85">
    <w:name w:val="SpecialCharTok"/>
    <w:qFormat/>
    <w:uiPriority w:val="0"/>
    <w:rPr>
      <w:color w:val="4070A0"/>
    </w:rPr>
  </w:style>
  <w:style w:type="character" w:customStyle="1" w:styleId="86">
    <w:name w:val="StringTok"/>
    <w:qFormat/>
    <w:uiPriority w:val="0"/>
    <w:rPr>
      <w:color w:val="4070A0"/>
    </w:rPr>
  </w:style>
  <w:style w:type="character" w:customStyle="1" w:styleId="87">
    <w:name w:val="VerbatimStringTok"/>
    <w:qFormat/>
    <w:uiPriority w:val="0"/>
    <w:rPr>
      <w:color w:val="4070A0"/>
    </w:rPr>
  </w:style>
  <w:style w:type="character" w:customStyle="1" w:styleId="88">
    <w:name w:val="SpecialStringTok"/>
    <w:qFormat/>
    <w:uiPriority w:val="0"/>
    <w:rPr>
      <w:color w:val="BB6688"/>
    </w:rPr>
  </w:style>
  <w:style w:type="character" w:customStyle="1" w:styleId="89">
    <w:name w:val="ImportTok"/>
    <w:qFormat/>
    <w:uiPriority w:val="0"/>
    <w:rPr>
      <w:b/>
      <w:color w:val="008000"/>
    </w:rPr>
  </w:style>
  <w:style w:type="character" w:customStyle="1" w:styleId="90">
    <w:name w:val="CommentTok"/>
    <w:qFormat/>
    <w:uiPriority w:val="0"/>
    <w:rPr>
      <w:i/>
      <w:color w:val="60A0B0"/>
    </w:rPr>
  </w:style>
  <w:style w:type="character" w:customStyle="1" w:styleId="91">
    <w:name w:val="DocumentationTok"/>
    <w:qFormat/>
    <w:uiPriority w:val="0"/>
    <w:rPr>
      <w:i/>
      <w:color w:val="BA2121"/>
    </w:rPr>
  </w:style>
  <w:style w:type="character" w:customStyle="1" w:styleId="92">
    <w:name w:val="AnnotationTok"/>
    <w:qFormat/>
    <w:uiPriority w:val="0"/>
    <w:rPr>
      <w:b/>
      <w:i/>
      <w:color w:val="60A0B0"/>
    </w:rPr>
  </w:style>
  <w:style w:type="character" w:customStyle="1" w:styleId="93">
    <w:name w:val="CommentVarTok"/>
    <w:qFormat/>
    <w:uiPriority w:val="0"/>
    <w:rPr>
      <w:b/>
      <w:i/>
      <w:color w:val="60A0B0"/>
    </w:rPr>
  </w:style>
  <w:style w:type="character" w:customStyle="1" w:styleId="94">
    <w:name w:val="OtherTok"/>
    <w:qFormat/>
    <w:uiPriority w:val="0"/>
    <w:rPr>
      <w:color w:val="007020"/>
    </w:rPr>
  </w:style>
  <w:style w:type="character" w:customStyle="1" w:styleId="95">
    <w:name w:val="FunctionTok"/>
    <w:qFormat/>
    <w:uiPriority w:val="0"/>
    <w:rPr>
      <w:color w:val="06287E"/>
    </w:rPr>
  </w:style>
  <w:style w:type="character" w:customStyle="1" w:styleId="96">
    <w:name w:val="VariableTok"/>
    <w:qFormat/>
    <w:uiPriority w:val="0"/>
    <w:rPr>
      <w:color w:val="19177C"/>
    </w:rPr>
  </w:style>
  <w:style w:type="character" w:customStyle="1" w:styleId="97">
    <w:name w:val="ControlFlowTok"/>
    <w:qFormat/>
    <w:uiPriority w:val="0"/>
    <w:rPr>
      <w:b/>
      <w:color w:val="007020"/>
    </w:rPr>
  </w:style>
  <w:style w:type="character" w:customStyle="1" w:styleId="98">
    <w:name w:val="OperatorTok"/>
    <w:qFormat/>
    <w:uiPriority w:val="0"/>
    <w:rPr>
      <w:color w:val="666666"/>
    </w:rPr>
  </w:style>
  <w:style w:type="character" w:customStyle="1" w:styleId="99">
    <w:name w:val="BuiltInTok"/>
    <w:qFormat/>
    <w:uiPriority w:val="0"/>
    <w:rPr>
      <w:color w:val="008000"/>
    </w:rPr>
  </w:style>
  <w:style w:type="character" w:customStyle="1" w:styleId="100">
    <w:name w:val="ExtensionTok"/>
    <w:qFormat/>
    <w:uiPriority w:val="0"/>
  </w:style>
  <w:style w:type="character" w:customStyle="1" w:styleId="101">
    <w:name w:val="PreprocessorTok"/>
    <w:qFormat/>
    <w:uiPriority w:val="0"/>
    <w:rPr>
      <w:color w:val="BC7A00"/>
    </w:rPr>
  </w:style>
  <w:style w:type="character" w:customStyle="1" w:styleId="102">
    <w:name w:val="AttributeTok"/>
    <w:qFormat/>
    <w:uiPriority w:val="0"/>
    <w:rPr>
      <w:color w:val="7D9029"/>
    </w:rPr>
  </w:style>
  <w:style w:type="character" w:customStyle="1" w:styleId="103">
    <w:name w:val="RegionMarkerTok"/>
    <w:qFormat/>
    <w:uiPriority w:val="0"/>
  </w:style>
  <w:style w:type="character" w:customStyle="1" w:styleId="104">
    <w:name w:val="InformationTok"/>
    <w:qFormat/>
    <w:uiPriority w:val="0"/>
    <w:rPr>
      <w:b/>
      <w:i/>
      <w:color w:val="60A0B0"/>
    </w:rPr>
  </w:style>
  <w:style w:type="character" w:customStyle="1" w:styleId="105">
    <w:name w:val="WarningTok"/>
    <w:qFormat/>
    <w:uiPriority w:val="0"/>
    <w:rPr>
      <w:b/>
      <w:i/>
      <w:color w:val="60A0B0"/>
    </w:rPr>
  </w:style>
  <w:style w:type="character" w:customStyle="1" w:styleId="106">
    <w:name w:val="AlertTok"/>
    <w:qFormat/>
    <w:uiPriority w:val="0"/>
    <w:rPr>
      <w:b/>
      <w:color w:val="FF0000"/>
    </w:rPr>
  </w:style>
  <w:style w:type="character" w:customStyle="1" w:styleId="107">
    <w:name w:val="ErrorTok"/>
    <w:qFormat/>
    <w:uiPriority w:val="0"/>
    <w:rPr>
      <w:b/>
      <w:color w:val="FF0000"/>
    </w:rPr>
  </w:style>
  <w:style w:type="character" w:customStyle="1" w:styleId="108">
    <w:name w:val="NormalTok"/>
    <w:qFormat/>
    <w:uiPriority w:val="0"/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10</Pages>
  <Words>450</Words>
  <Characters>502</Characters>
  <Lines>12</Lines>
  <Paragraphs>8</Paragraphs>
  <TotalTime>12</TotalTime>
  <ScaleCrop>false</ScaleCrop>
  <LinksUpToDate>false</LinksUpToDate>
  <CharactersWithSpaces>502</CharactersWithSpaces>
  <Application>WPS Office WWO_wpscloud_20250925191819-314b3f48ed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2024-11-15T15:05:00Z</dcterms:created>
  <dc:creator>bowen</dc:creator>
  <cp:lastModifiedBy>张运哲</cp:lastModifiedBy>
  <dcterms:modified xsi:type="dcterms:W3CDTF">2025-10-06T23:22:26Z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2052-12.9.0.23117</vt:lpwstr>
  </property>
  <property fmtid="{D5CDD505-2E9C-101B-9397-08002B2CF9AE}" pid="3" name="ICV">
    <vt:lpwstr>F87BFB91711BF158B2DEE368B64CF445_43</vt:lpwstr>
  </property>
  <property fmtid="{D5CDD505-2E9C-101B-9397-08002B2CF9AE}" pid="4" name="KSOTemplateDocerSaveRecord">
    <vt:lpwstr>eyJoZGlkIjoiNzI4YmNmYThhZjA0NTVhODllNDhjMGZiNmFkMDJjN2YiLCJ1c2VySWQiOiIxNjA5OTI0MDI0In0=</vt:lpwstr>
  </property>
</Properties>
</file>