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E28FD">
      <w:pPr>
        <w:pStyle w:val="2"/>
      </w:pPr>
    </w:p>
    <w:p w14:paraId="6A01D08F">
      <w:pPr>
        <w:pStyle w:val="2"/>
      </w:pPr>
    </w:p>
    <w:p w14:paraId="18BBD4B4">
      <w:pPr>
        <w:pStyle w:val="2"/>
      </w:pPr>
      <w:r>
        <w:t>干变绕线车间电动推垛车技术分析报告</w:t>
      </w:r>
    </w:p>
    <w:p w14:paraId="23E0D8D7">
      <w:pPr>
        <w:pStyle w:val="3"/>
      </w:pPr>
      <w:r>
        <w:t>一、工程概述</w:t>
      </w:r>
    </w:p>
    <w:p w14:paraId="3DA701E8">
      <w:pPr>
        <w:pStyle w:val="4"/>
      </w:pPr>
      <w:r>
        <w:t>1.1 应用背景与设计目标</w:t>
      </w:r>
    </w:p>
    <w:p w14:paraId="294F0ABD">
      <w:r>
        <w:t>干变绕线车间电动推垛车是干式变压器生产过程中实现物料自动化转运的关键设备，主要承担低压线圈、绕线模具及工装夹具的搬运与堆垛任务。在干式变压器生产流程中，低压线圈绕制完成后需转运至打磨房进行表面处理，再移送至绝缘处理工序，最终成品需暂存于立体仓库，各环节均依赖推垛车实现高效衔接。传统人工搬运方式存在效率低（单班转运量不足20吨）、劳动强度大（人均负重50kg/次）、安全风险高（易发生线圈碰撞导致绝缘层破损）等问题，而电动推垛车可将转运效率提升至50吨/班以上，同时降低工伤事故率90%以上。</w:t>
      </w:r>
    </w:p>
    <w:p w14:paraId="5472DEE8">
      <w:r>
        <w:t>针对干变绕线车间的特殊工况，电动推垛车的设计目标需满足以下核心需求：一是负载适配性，需覆盖500-1500kg低压线圈的重量范围，负载中心距匹配线圈重心位置（距货叉前端600-800mm）；二是空间适应性，车间通道宽度通常为2.5-3m，要求最小转弯半径≤1.5m，以实现设备密集区域的灵活转向；三是环境耐受性，打磨工序产生的环氧树脂与金属粉尘（粒径0.5-10μm）易侵入设备传动系统，需达到IP54以上防护等级，电机与控制器需具备电磁屏蔽功能（抗1000V/m电磁场干扰）；四是安全可靠性，需集成多重安全防护装置，确保线圈绝缘层不受损伤（货叉缓冲垫硬度50 Shore A），并满足单班10小时连续作业（续航里程≥60km）。</w:t>
      </w:r>
    </w:p>
    <w:p w14:paraId="56ED7C94">
      <w:pPr>
        <w:pStyle w:val="4"/>
      </w:pPr>
      <w:r>
        <w:t>1.2 主要技术参数与执行标准</w:t>
      </w:r>
    </w:p>
    <w:p w14:paraId="1ACA4165">
      <w:r>
        <w:t>干变绕线车间电动推垛车的关键技术参数需根据负载特性与作业场景确定，以主流全电动堆垛车型为例，核心参数如下：额定载荷覆盖1.5-2.5吨级，其中针对1000kg级低压线圈的车型（如西林CDD1030BA），载荷中心距500mm，门架起升高度3000mm，门架缩回高度2088mm，满足3层堆垛需求；车体尺寸（长×宽×高）为1728mm×785mm×2088mm，货叉尺寸60mm×170mm×1100mm，货叉外宽550mm，适配标准托盘与专用线圈吊具；行走性能方面，最大行驶速度5km/h，空载起升速度80mm/s，满载起升速度50mm/s，转弯半径1328mm，通道宽度（跨货叉放置1200×1000mm托盘）2210mm，确保狭窄通道内的通过性。</w:t>
      </w:r>
    </w:p>
    <w:p w14:paraId="28BAA765">
      <w:r>
        <w:t>动力系统参数需满足连续作业要求：驱动电机采用永磁同步电机，功率1.8kW，额定转速3000rpm，峰值扭矩15N·m；升降电机功率2.2kW，额定转速1500rpm；蓄电池采用48V/200Ah锂电池组，能量密度150Wh/kg，支持快充功能（2小时充满80%），单次充电可完成50次标准堆垛循环（单次循环行驶50m+起升3m）。关键部件寿命指标：液压系统密封件寿命8000小时，驱动轮轮胎（聚氨酯材质）寿命10000小时，货叉变形量≤0.5mm（额定载荷下）。</w:t>
      </w:r>
    </w:p>
    <w:p w14:paraId="3674DC2F">
      <w:r>
        <w:t>执行标准方面，设备设计、制造与验收需严格遵循多项规范：《场（厂）内专用机动车辆安全技术规程》（GB/T 3811-2008）规定了车辆稳定性、制动性能等安全要求，如静态倾翻稳定性需满足30%额定载荷、15°侧倾不翻车；《工业车辆安全要求和验证》（GB 10827.1-2014）明确了电气系统安全防护（如绝缘电阻≥1MΩ）、机械危险防护（运动部件防护罩）；《电动车辆安全要求》（GB 18384-2020）对电池系统过充、过放保护提出要求；针对干变车间粉尘环境，需符合《爆炸性环境第1部分：设备通用要求》（GB 3836.1-2010）中粉尘防爆相关规定，电机防护等级不低于IP54，控制器采用金属外壳屏蔽。</w:t>
      </w:r>
    </w:p>
    <w:p w14:paraId="0F56F9B3">
      <w:pPr>
        <w:pStyle w:val="3"/>
      </w:pPr>
      <w:r>
        <w:t>二、结构组成与功能分析</w:t>
      </w:r>
    </w:p>
    <w:p w14:paraId="0902BF1B">
      <w:pPr>
        <w:pStyle w:val="4"/>
      </w:pPr>
      <w:r>
        <w:t>2.1 核心部件结构与技术特性</w:t>
      </w:r>
    </w:p>
    <w:p w14:paraId="363793CF">
      <w:r>
        <w:t>电动推垛车的核心部件通过模块化设计实现功能集成，各部件需适应干变绕线车间的负载与环境需求。车架作为承载基础，采用Q355B高强度钢材焊接而成，主纵梁截面尺寸120mm×80mm×5mm，横梁间距500mm，通过有限元分析优化应力分布，在额定载荷下最大变形量≤1mm，确保结构刚性。车架底部配置水平度微调机构，通过4个调节旋钮实现±3°转盘平行度校准，适应车间地面不平（局部高差≤5mm）的工况，调节精度可达0.1°/圈。</w:t>
      </w:r>
    </w:p>
    <w:p w14:paraId="35DAAD2C">
      <w:r>
        <w:t>货叉组件是直接承载线圈的关键部件，采用20CrMnTi合金结构钢整体锻造，货叉梁截面呈工字形（高度60mm，翼缘宽度170mm），下翼缘厚度12mm，上翼缘焊接防滑齿（齿高3mm，间距20mm），防止线圈搬运过程中滑动。货叉间距通过双作用油缸驱动同步调节，调节范围550-800mm，适配不同直径线圈（800-1200mm），调节速度10mm/s，位置精度±2mm。货叉顶端安装聚氨酯缓冲垫（厚度15mm，邵氏硬度50A），与线圈接触时形变量≤5mm，避免刚性碰撞损伤绝缘层。</w:t>
      </w:r>
    </w:p>
    <w:p w14:paraId="559EB19F">
      <w:r>
        <w:t>升降机构采用三级全自由门架结构，由外门架、中门架、内门架组成，材质为20号无缝钢管（外门架直径89mm×5mm，中门架76mm×4mm，内门架63mm×3mm），通过滚轮组实现相对滑动，滚轮采用轴承钢材质（GCr15），表面淬火硬度HRC60-62，配合润滑脂（型号KLüberplex BEM 41-132），滑动摩擦力≤50N。门架起升通过双油缸驱动，油缸缸径50mm，活塞杆直径30mm，行程2800mm，工作压力16MPa，单缸推力31.4kN，确保满载时起升平稳。链条传动系统采用16A双排滚子链（节距25.4mm，破断拉力≥22kN），通过链轮与油缸活塞杆连接，链条张紧度通过调节螺杆控制，下垂量≤20mm（跨度1.5m时）。</w:t>
      </w:r>
    </w:p>
    <w:p w14:paraId="4AE9D096">
      <w:r>
        <w:t>行走机构采用前轮驱动、后轮转向布局，驱动轮配置1个聚氨酯轮（PU轮），直径230mm，宽度75mm，轮芯为铝合金，轮胎硬度70 Shore A，具有良好的耐磨性与抓地力（摩擦系数≥0.8）；转向轮为2个万向轮，直径124mm，宽度60mm，带双轴承结构，转向阻力≤15N。驱动轮轮毂通过花键与传动轴连接，轴承型号为6205ZZ（游隙C2组），径向跳动≤0.05mm，确保动力传递平稳。行走机构离地间隙100mm，可通过高度差≤5mm的轨道接缝，适应车间地面轨道布局。</w:t>
      </w:r>
    </w:p>
    <w:p w14:paraId="65418819">
      <w:pPr>
        <w:pStyle w:val="4"/>
      </w:pPr>
      <w:r>
        <w:t>2.2 辅助系统配置与功能实现</w:t>
      </w:r>
    </w:p>
    <w:p w14:paraId="2C774B44">
      <w:r>
        <w:t>辅助系统是保障电动推垛车可靠运行的重要支撑，需针对干变绕线车间的粉尘、电磁环境进行专项设计。液压系统采用闭式回路设计，由电动液压泵、油箱、控制阀组及管路组成。液压泵选用CB-FC10型齿轮泵（排量10mL/r，额定转速1500rpm，工作压力16MPa），由1.6kW电机驱动，通过联轴器直连，传动效率≥95%。油箱容积20L，采用不锈钢材质（304），内置磁性过滤器（过滤精度10μm）与液位计，油液选用L-HM46抗磨液压油，适应-20℃-60℃温度范围，每6个月更换一次，换油时需通过滤油机（精度3μm）过滤。</w:t>
      </w:r>
    </w:p>
    <w:p w14:paraId="4C58D9AC">
      <w:r>
        <w:t>电气控制系统采用分布式架构，核心控制器为西门子S7-1214C PLC（DC/DC/DC类型，14DI/10DO/4AI/2AO），集成PROFINET接口，通讯速率100Mbps，支持与车间MES系统数据交互。传感器系统包括：激光测距仪（型号SICK LMS111，扫描角度190°，测量距离0.5-20m，精度±10mm）安装于门架顶部，用于货架定位；绝对值编码器（17位分辨率）安装于货叉电机轴，实时反馈货叉位置；U型光电开关（检测距离500mm）作为门架起升限位，触发时切断升降电机电源；区域防护扫描仪（型号Omron F3SG-SR31）安装于车体前后，检测到人员或障碍物（距离0.5-3m可调）时输出急停信号，响应时间≤20ms。</w:t>
      </w:r>
    </w:p>
    <w:p w14:paraId="796FE3CF">
      <w:r>
        <w:t>安全防护系统构建多层保护机制：操作手柄集成急停按钮（红色蘑菇头，旋转复位），按下时切断所有电机动力并激活电磁制动；货叉起升高度超过1.5m时，通过高度传感器触发限速功能，行走速度从5km/h降至3km/h；过载保护通过安装于货叉根部的应变片式压力传感器实现，当载荷超过额定值120%时，系统发出声光报警（蜂鸣器音量≥90dB，红色LED闪烁）并禁止起升；蓄电池舱配备温度传感器（量程-40℃-85℃），温度超过45℃时启动强制风冷（风量50m³/h），防止热失控。针对粉尘防护，电机与控制器外壳采用IP54防护等级，散热孔加装滤筒式预过滤器（过滤效率≥95%@1μm），每两周清洁一次滤芯，确保粉尘环境下的可靠性。</w:t>
      </w:r>
    </w:p>
    <w:p w14:paraId="46DD0B40">
      <w:pPr>
        <w:pStyle w:val="3"/>
      </w:pPr>
      <w:r>
        <w:t>三、机械系统运行原理与传动特性</w:t>
      </w:r>
    </w:p>
    <w:p w14:paraId="66ADAFAD">
      <w:pPr>
        <w:pStyle w:val="4"/>
      </w:pPr>
      <w:r>
        <w:t>3.1 液压升降系统工作原理</w:t>
      </w:r>
    </w:p>
    <w:p w14:paraId="7FA591DC">
      <w:r>
        <w:t>液压升降系统通过能量转换与控制实现货叉的平稳升降，其工作流程遵循帕斯卡原理。上升过程中，PLC控制电磁换向阀（型号4WE6E6X/EG24N9K4）得电，阀芯左移，电动液压泵（齿轮泵）从油箱吸油，输出的高压油（压力10-16MPa）经单向阀、换向阀进入油缸下腔。根据推力公式F=P×A（P为系统压力，A为活塞有效面积），当系统压力16MPa、活塞直径50mm时，单缸输出推力F=16×10⁶Pa×(π×0.025m²)=31415N，双缸总推力62830N，足以驱动1500kg负载（含货叉自重）以50mm/s的速度上升。</w:t>
      </w:r>
    </w:p>
    <w:p w14:paraId="1437E7E2">
      <w:r>
        <w:t>下降过程依靠负载自重实现，PLC控制换向阀失电，阀芯复位，油缸下腔油液经换向阀、平衡阀、节流阀回流至油箱。平衡阀（型号FD12KA2X/B03）作为关键安全元件，通过弹簧设定开启压力（调定压力1.5MPa），防止负载超速下降：当下降速度超过设定值（60mm/s）时，阀内阻尼孔产生压差，推动阀芯关小开口，增大回油阻力，使速度稳定。节流阀通过调节旋钮控制回油流量，实现下降速度无级调节（20-60mm/s），适配不同重量线圈的下降平稳性需求（重载时调慢，轻载时调快）。</w:t>
      </w:r>
    </w:p>
    <w:p w14:paraId="4B246783">
      <w:r>
        <w:t>系统压力由溢流阀（型号DB10-1-5X/315U）限定，当压力超过31.5MPa时，溢流阀开启卸荷，保护液压元件免受过载损坏。为避免升降过程中的压力冲击，系统设置蓄能器（容积0.5L，预充压力8MPa），吸收换向时的液压冲击，使压力波动控制在±0.5MPa以内。液压管路采用φ10mm高压胶管（工作压力32MPa，爆破压力96MPa），接头为卡套式（型号24°锥密封），安装时预紧扭矩25-30N·m，确保无渗漏，管路布置避开运动部件，最小弯曲半径≥100mm。</w:t>
      </w:r>
    </w:p>
    <w:p w14:paraId="3EE66318">
      <w:r>
        <w:t>液压系统的效率特性直接影响升降性能，总效率η=容积效率×机械效率×液压油效率。齿轮泵容积效率ηv=0.9-0.95（转速1500rpm时），机械效率ηm=0.85-0.9，液压油在40℃时黏度指数≥140，沿程压力损失≤0.5MPa/m，系统总效率约0.75-0.8。通过定期更换液压油（每6个月）、清洁过滤器（压差超过0.3MPa时），可维持系统效率不低于初始值的90%。在干变绕线车间粉尘环境下，液压油污染度需控制在NAS 8级以内（每100mL油液中≥5μm颗粒数≤2500个），通过每月油液检测确保达标。</w:t>
      </w:r>
    </w:p>
    <w:p w14:paraId="551F6C2E">
      <w:pPr>
        <w:pStyle w:val="4"/>
      </w:pPr>
      <w:r>
        <w:t>3.2 行走驱动系统传动机制</w:t>
      </w:r>
    </w:p>
    <w:p w14:paraId="4F37DADB">
      <w:r>
        <w:t>行走驱动系统实现动力从电机到驱动轮的高效传递，其传动路径为：驱动电机→减速器→传动轴→驱动轮。驱动电机选用永磁同步电机（型号YE3-100L2-4），额定功率2.2kW，额定转速1430rpm，额定扭矩15N·m，峰值扭矩45N·m（持续30s），采用矢量控制方式，调速范围1:100（15-1500rpm），确保低速大扭矩与高速平稳运行。电机安装于车架后部，通过弹性联轴器（型号LK4-35）与减速器输入轴连接，联轴器允许径向偏差≤0.1mm、角向偏差≤1°，吸收安装误差与振动。</w:t>
      </w:r>
    </w:p>
    <w:p w14:paraId="369E845B">
      <w:r>
        <w:t>减速器采用两级平行轴斜齿轮减速结构，总减速比i=16（一级减速比i1=3.8，二级减速比i2=4.21），输入转速1430rpm时输出转速n=1430/i=89.4rpm。第一级齿轮副：主动轮齿数z1=14，模数m=2.5，螺旋角β=15°；从动轮齿数z2=53，模数m=2.5，材料20CrMnTi，渗碳淬火（齿面硬度HRC58-62，心部硬度HRC30-35），齿面接触疲劳强度σHlim=1500MPa，满足10000小时使用寿命要求。第二级齿轮副：主动轮齿数z3=16，从动轮齿数z4=67，模数m=3，通过轴系支撑在减速器箱体（HT250铸铁）内，轴承选用圆锥滚子轴承（型号30205），承受径向力与轴向力，轴承寿命L10h=15000小时。</w:t>
      </w:r>
    </w:p>
    <w:p w14:paraId="0E997C5B">
      <w:r>
        <w:t>传动轴将减速器输出动力传递至驱动轮，采用两段式结构：前段为花键轴（材料40Cr，表面淬火HRC50-55），后段为传动轴管（φ40mm×4mm无缝钢管），两者通过花键套连接，允许轴向伸缩±50mm（补偿车架与驱动桥的相对位移）。传动轴两端通过十字万向节（型号SWC100）连接减速器输出法兰与驱动轮轮毂，万向节允许最大折角15°，传递扭矩300N·m，运行时不平衡量≤5g·mm（通过动平衡机校正），确保转速89.4rpm时振动加速度≤10m/s²。</w:t>
      </w:r>
    </w:p>
    <w:p w14:paraId="7EC63D25">
      <w:r>
        <w:t>驱动轮的动力特性直接影响车辆行驶性能，驱动轮转速n=89.4rpm时，根据公式v=π×D×n/60（D为驱动轮直径0.23m），行驶速度v=3.14×0.23m×89.4/60≈1.05m/s=3.78km/h（额定负载下），空载时电机转速提升至1500rpm，行驶速度可达5km/h。驱动轮附着力F=μ×G（μ为聚氨酯轮与环氧树脂地坪的摩擦系数0.8，G为驱动轮载荷，约为车辆总重的60%），当车辆总重2500kg时，附着力F=0.8×2500×9.8N×0.6=11760N，足以克服15%坡度（sin15°≈0.2588）的爬坡阻力F爬=2500×9.8×0.2588≈6315N，确保车间坡道通行能力。传动系统总效率η=电机效率×减速器效率×传动轴效率×轮毂效率=0.92×0.95×0.98×0.97≈0.83，当电机输出功率2.2kW时，驱动轮输出功率约1.83kW，满足重载行驶需求。</w:t>
      </w:r>
    </w:p>
    <w:p w14:paraId="7046713B">
      <w:pPr>
        <w:pStyle w:val="4"/>
      </w:pPr>
      <w:r>
        <w:t>3.3 转向与制动系统控制特性</w:t>
      </w:r>
    </w:p>
    <w:p w14:paraId="1B37F763">
      <w:r>
        <w:t>转向系统通过机械传动与液压助力实现小半径转向，适应干变绕线车间的狭窄通道。机械转向机构采用偏转后轮式设计，转向拉杆与转向节构成转向梯形，梯形底角70°，确保两侧转向轮偏转角满足阿克曼原理（内侧轮偏转角θ1=85°，外侧轮偏转角θ2=75°），减小转向时的轮胎拖滑。转向操作通过方向盘（直径380mm）、转向器（循环球式，传动比15:1）实现，转向盘转角与转向轮偏转角对应关系为1:0.067（方向盘转1圈，转向轮偏转24°），转向阻力≤30N（空载），满足人力操作需求。</w:t>
      </w:r>
    </w:p>
    <w:p w14:paraId="0C107D2B">
      <w:r>
        <w:t>液压助力转向系统（选装）可降低转向力，尤其适用于重载工况。系统由转向油泵（叶片泵，排量5mL/r）、转向器、助力缸组成，当驾驶员转动方向盘时，转向器内的滑阀移动，控制高压油进入助力缸左腔或右腔，推动转向轮偏转。助力缸缸径40mm，活塞杆直径20mm，工作压力8MPa，最大助力力F=8×10⁶Pa×(π×0.02m²)=10053N，使转向阻力降至≤15N。转向限位装置通过机械挡块限制最大转向角（±45°），避免转向过度导致轮胎蹭擦车架，限位块材质为45号钢，表面淬火处理，使用寿命≥10万次循环。</w:t>
      </w:r>
    </w:p>
    <w:p w14:paraId="675C128A">
      <w:r>
        <w:t>制动系统采用行车制动与驻车制动分离设计，确保安全冗余。行车制动为电磁制动器（型号DZD1-100），集成于驱动电机轴端，当车辆停止或急停时，PLC控制制动器得电，衔铁吸合，刹车片（半金属摩擦材料）在弹簧力作用下夹紧制动盘，制动力矩≥20N·m，制动响应时间≤0.2s。根据制动距离公式s=v²/(2μg)（v=5km/h=1.39m/s，μ=0.8，g=9.8m/s²），理论制动距离s=1.39²/(2×0.8×9.8)≈0.12m，实际考虑制动滞后与路面因素，实测制动距离≤1m（车速5km/h时），满足安全要求。</w:t>
      </w:r>
    </w:p>
    <w:p w14:paraId="0661BB26">
      <w:r>
        <w:t>驻车制动为机械拉索式，通过操作手柄拉动钢索，使后轮制动蹄片（鼓式制动器）与制动鼓贴合，制动力需满足30%额定载荷下15%坡度驻车不溜车。制动蹄片摩擦材料为石棉-free有机材料，摩擦系数0.35-0.45（温度200℃时），磨损极限厚度2mm，通过制动间隙自动调整机构（棘轮式）保持制动效能，无需人工调节。制动系统状态监测通过安装于制动管路的压力传感器实现，当行车制动压力低于6MPa或驻车制动未完全释放时，系统发出报警并限制车辆行驶速度≤2km/h，确保制动安全。</w:t>
      </w:r>
    </w:p>
    <w:p w14:paraId="66A92E3D">
      <w:r>
        <w:t>针对干变绕线车间的粉尘环境，转向与制动系统的关键部件采取防护措施：转向拉杆球头采用双唇口密封（材料氟橡胶），防止粉尘进入球头座；制动油缸活塞杆镀铬（厚度0.05mm）并涂覆耐磨涂层，提高抗腐蚀能力；制动盘表面喷涂陶瓷涂层（厚度50μm），减少粉尘附着导致的制动异响，连续制动10次后制动力衰减率≤15%，确保热稳定性。</w:t>
      </w:r>
    </w:p>
    <w:p w14:paraId="336194C1">
      <w:pPr>
        <w:pStyle w:val="3"/>
      </w:pPr>
      <w:r>
        <w:t>四、电气控制系统原理与控制逻辑</w:t>
      </w:r>
    </w:p>
    <w:p w14:paraId="43B86483">
      <w:pPr>
        <w:pStyle w:val="4"/>
      </w:pPr>
      <w:r>
        <w:t>4.1 控制系统架构与核心元件</w:t>
      </w:r>
    </w:p>
    <w:p w14:paraId="0B97D9B2">
      <w:r>
        <w:t>电动推垛车电气控制系统采用“三层架构”设计，实现感知、决策与执行的闭环控制。感知层由各类传感器构成，实时采集设备状态与环境信息：位置检测类包括激光测距仪（SICK LMS511，扫描频率25Hz，角度分辨率0.1°）用于货架与线圈定位，条码阅读器（型号Datalogic Matrix 300）读取托盘二维码获取物料信息；状态监测类包括温度传感器（PT100，测量范围-50-150℃）监测电机与电池温度，压力传感器（0-25MPa）检测液压系统压力，电流传感器（霍尔式，0-50A）监测电机工作电流；安全检测类包括急停按钮、安全门开关（型号施迈赛AZM161）、光电限位，构成硬线安全回路，响应优先级高于总线信号。</w:t>
      </w:r>
    </w:p>
    <w:p w14:paraId="1D10C998">
      <w:r>
        <w:t>决策层以PLC为控制核心，选用西门子S7-1214C DC/DC/DC紧凑型PLC，集成14点数字量输入（DI）、10点数字量输出（DO）、4点模拟量输入（AI）、2点模拟量输出（AO），扩展SM1223数字量模块（16DI/16DO）与SM1231模拟量模块（4AI RTD）满足I/O需求。PLC通过PROFINET总线（传输速率100Mbps，周期1ms）与变频器、触摸屏、远程I/O模块通讯，总线节点包括：行走变频器（型号ABB ACS380，功率2.2kW）、升降变频器（功率3.7kW）、电池管理系统（BMS）、人机界面（HMI，7英寸触摸屏，分辨率800×480）。PLC程序采用结构化编程，分为主程序、初始化模块、手动控制模块、自动控制模块、故障诊断模块，通过组织块（OB）实现中断处理（如急停中断OB40、定时中断OB35）。</w:t>
      </w:r>
    </w:p>
    <w:p w14:paraId="4FF298BF">
      <w:r>
        <w:t>执行层由电机、电磁阀、指示灯等执行元件组成，接收PLC指令完成动作。行走电机（2.2kW永磁同步电机）与升降电机（3.7kW异步电机）通过变频器实现无级调速，变频器采用矢量控制方式，调速精度±0.5%，过载能力150%额定电流持续60s。电磁换向阀（DC24V）控制液压系统油路切换，响应时间≤10ms，线圈功耗≤5W，防止发热烧毁。指示灯与蜂鸣器构成声光报警系统，红色LED（故障）、黄色LED（警告）、绿色LED（正常）通过不同闪烁频率传递状态信息，蜂鸣器音量分三级（70dB/80dB/90dB）对应不同紧急程度。</w:t>
      </w:r>
    </w:p>
    <w:p w14:paraId="611F0822">
      <w:r>
        <w:t>抗干扰设计是电气系统在干变绕线车间可靠运行的关键。硬件层面，控制器与变频器外壳接地（接地电阻≤4Ω），信号电缆采用屏蔽双绞线（屏蔽层单端接地），模拟量信号线与动力电缆间距≥300mm，避免电磁耦合。软件层面，数字量输入采用滤波（滤波时间0.1-10ms可调），模拟量输入进行滑动平均处理（采样次数10次），通讯数据添加校验码（CRC16），防止粉尘环境下的信号干扰。通过上述措施，系统在1000V/m电磁场强度下的通讯误码率≤10⁻⁶，满足工业电磁兼容性要求。</w:t>
      </w:r>
    </w:p>
    <w:p w14:paraId="3C91E36F">
      <w:pPr>
        <w:pStyle w:val="4"/>
      </w:pPr>
      <w:r>
        <w:t>4.2 电池管理与充电控制策略</w:t>
      </w:r>
    </w:p>
    <w:p w14:paraId="06399C45">
      <w:r>
        <w:t>电池管理系统（BMS）是保障锂电池组安全与寿命的核心，其主要功能包括状态监测、均衡控制、充放电保护。状态监测通过采集单体电压（精度±5mV）、总电压（精度±0.5%）、充放电电流（精度±1%）、温度（精度±1℃）实现，16串锂电池组（单体标称电压3.2V，总电压51.2V）中每个单体均配置电压采样芯片（型号AD7280），通过SPI总线将数据上传至BMS主控制器（STM32F407），采样频率10Hz，数据刷新率1Hz。荷电状态（SOC）估算采用安时积分法结合开路电压修正，SOC计算误差≤5%，当SOC＜20%时，HMI显示低电量报警，提示及时充电。</w:t>
      </w:r>
    </w:p>
    <w:p w14:paraId="1901AD15">
      <w:r>
        <w:t>均衡控制通过主动均衡电路实现，当组内单体电压差＞50mV时，BMS启动均衡：能量从高电压单体经电感式均衡器转移至低电压单体，均衡电流0.5A，均衡效率≥85%。以16串电池组为例，若某单体电压4.1V，其余15串4.0V，均衡时间t=(4.1V-4.0V)×200Ah/(0.5A)=40h，可将压差控制在≤20mV，避免木桶效应导致的容量损失。均衡过程在充电后期（SOC＞80%）或静置时进行，不影响正常作业。健康状态（SOH）通过循环次数（记录充放电循环次数，满充放为1次）、容量衰减率（实际容量/标称容量）评估，当SOH＜80%时，建议更换电池组。</w:t>
      </w:r>
    </w:p>
    <w:p w14:paraId="5080F6BE">
      <w:r>
        <w:t>充电控制采用恒流-恒压（CC-CV）两阶段策略，适配不同类型充电桩。充电初期（SOC＜80%），BMS向充电桩发送允许最大充电电流（1C=200A），充电桩以恒流模式充电，充电功率P=U×I=51.2V×200A=10.24kW；当单体电压达到3.65V（总电压58.4V）时，进入恒压阶段，充电电流逐渐减小，直至电流降至0.05C（10A）时终止充电，总充电时间约2.5小时（0-100%SOC）。快充模式（SOC 20%-80%）可在1小时内完成，通过提高恒流阶段电流至1.5C（300A）实现，此时需监控电池温度，超过40℃时降低充电电流。</w:t>
      </w:r>
    </w:p>
    <w:p w14:paraId="5891C805">
      <w:r>
        <w:t>针对干变绕线车间连续作业需求，电源保障采用“主电池+备用电池”双电池组方案。主电池组安装于车体电池舱，备用电池组存放于车间充电站，通过专用换电支架实现快速更换，换电流程：①关闭车辆总电源，拔下电池插头；②通过手动液压叉车将电池组（重量约80kg）从舱内抽出；③推入满电电池组，连接插头并固定；④开启总电源，BMS自检后投入使用，全程耗时≤5分钟。充电站配置2台60kW直流充电桩（兼容GB/T 20234.3标准），支持同时为2组电池充电，单班可完成3次换电，满足10小时连续作业（能耗约1.2kWh/吨·公里）。电池组存放环境需控制温度15-35℃、湿度40%-60%，避免阳光直射与金属粉尘堆积，延长使用寿命。</w:t>
      </w:r>
    </w:p>
    <w:p w14:paraId="6910726A">
      <w:pPr>
        <w:pStyle w:val="4"/>
      </w:pPr>
      <w:r>
        <w:t>4.3 控制逻辑与信号传递机制</w:t>
      </w:r>
    </w:p>
    <w:p w14:paraId="02D58999">
      <w:r>
        <w:t>电动推垛车的控制逻辑基于状态机模型设计，实现手动与自动作业模式的无缝切换。手动模式下，操作员通过手柄控制行走、升降动作：手柄前推/后拉控制行走前进/后退，偏转角度与速度成正比（最大偏转30°对应最大速度5km/h）；手柄上抬/下压控制货叉上升/下降，动作使能需满足“双手操作”（同时按下手柄两侧按钮），防止误操作。自动模式下，系统接收MES系统下发的作业指令（如“从A3货位转运线圈至打磨房1号工位”），自动规划路径并执行：①路径规划，基于车间电子地图（精度±50mm），采用A*算法避开障碍物，生成最优路径；②速度控制，根据路径曲率与距离，自动生成S型速度曲线（加加速度≤0.5m/s³），避免冲击；③定位停靠，通过激光测距仪与RFID地标（定位精度±10mm）实现工位精准停靠，停靠误差≤±5mm。</w:t>
      </w:r>
    </w:p>
    <w:p w14:paraId="19660B50">
      <w:r>
        <w:t>信号传递机制采用分层处理方式，确保实时性与可靠性。数字量信号（如急停、限位）通过硬线直接接入PLC的DI模块，采用24V DC两线制，输入电流≥5mA，信号延迟≤1ms，确保安全信号优先响应。模拟量信号（如速度给定、压力反馈）通过AI模块转换为数字量（12位分辨率），采样周期100ms，经数字滤波（一阶低通滤波，截止频率10Hz）后用于控制算法。例如，行走速度给定通过手柄电位器输出0-10V模拟量，对应0-5km/h速度，PLC将其转换为数字量后，通过PROFINET总线发送至变频器，变频器按给定值调节输出频率。</w:t>
      </w:r>
    </w:p>
    <w:p w14:paraId="510D21D1">
      <w:r>
        <w:t>安全联锁逻辑是控制的核心，通过多重条件判断防止危险工况。例如，货叉起升联锁：仅当行走速度≤0.5km/h、驻车制动释放、无超载报警时，升降电机允许启动；行走联锁：仅当货叉离地高度≥200mm（防止地面障碍物碰撞）、转向轮回正角度≤5°（防止转向时突然起步）时，行走电机允许高速运行（＞3km/h）；充电联锁：充电插头插入时，所有电机动力切断，防止带电作业。联锁条件不满足时，PLC在HMI显示具体原因（如“请释放驻车制动”），并通过蜂鸣器提示操作员。</w:t>
      </w:r>
    </w:p>
    <w:p w14:paraId="16E50F69">
      <w:r>
        <w:t>典型作业流程的控制时序如下（自动堆垛）：①任务接收，PLC通过以太网从MES系统接收入库指令，解析货位坐标（X=15m，Y=8m，Z=2m）；②行走定位，启动行走电机，按S型曲线加速至5km/h，激光测距仪实时反馈位置，距离目标1m时减速至1km/h，最终停靠误差±3mm；③货叉调整，根据线圈直径调节货叉间距至800mm，货叉下降至最低位置（离地50mm）；④取货作业，前进至线圈底部托盘，货叉起升300mm（离地高度），后退至安全距离；⑤堆垛作业，行驶至目标货位，货叉起升2m（对准货位），前进至放置位置，货叉下降至货位，后退并复位货叉，完成任务。全过程通过PLC状态字（16位）记录当前步骤，状态字定义为：bit0（行走中）、bit1（升降中）、bit2（货叉调节中）、bit3（任务完成）等，便于故障诊断与监控。</w:t>
      </w:r>
    </w:p>
    <w:p w14:paraId="6B4288D5">
      <w:pPr>
        <w:pStyle w:val="3"/>
      </w:pPr>
      <w:r>
        <w:t>五、常见故障类型、成因与处理对策</w:t>
      </w:r>
    </w:p>
    <w:p w14:paraId="3F9EFC2D">
      <w:pPr>
        <w:pStyle w:val="4"/>
      </w:pPr>
      <w:r>
        <w:t>5.1 机械系统故障分析</w:t>
      </w:r>
    </w:p>
    <w:p w14:paraId="6F02E67B">
      <w:r>
        <w:t>机械系统故障多与负载、磨损、安装精度相关，在干变绕线车间粉尘环境下需重点关注运动部件的润滑与防护。车架变形是严重故障，表现为货叉水平度超差（＞0.5mm/m）或行驶跑偏（直线行驶10m偏差＞50mm），成因包括：长期超载（超过额定载荷150%）导致纵梁塑性变形；高速行驶时碰撞障碍物（如设备基础）产生冲击载荷。处理对策：①使用激光水平仪检测变形量，若主纵梁弯曲＜2mm，可采用火焰校正（加热温度600-800℃，冷却后保温）；②变形量＞2mm或出现裂纹时，需更换车架总成，更换后通过拉力试验验证强度（加载1.5倍额定载荷，持荷10分钟无永久变形）。预防措施：设置电子秤监控载荷，超载时禁止行驶；通道转角处安装防撞缓冲器（聚氨酯材质，厚度100mm）。</w:t>
      </w:r>
    </w:p>
    <w:p w14:paraId="17B211BB">
      <w:r>
        <w:t>货叉变形表现为货叉梁下挠（额定载荷下＞2mm）或侧弯（间距偏差＞10mm），主要成因：偏载作业（载荷中心距超过设计值）；货叉插入托盘深度不足（＜货叉长度的2/3）导致局部受力过大。处理对策：①下挠变形可采用压力机冷校直，支点间距1.5m，校正力F=3EI/L³（E为弹性模量206GPa，I为截面惯性矩，L为跨度），校直后残余变形≤0.5mm；②侧弯变形需更换货叉，选用20CrMnTi材质锻造件，确保硬度HRC30-35，屈服强度≥800MPa。预防措施：作业前确认载荷中心距（标注于货叉上表面），插入深度≥800mm（货叉长度1100mm时）；定期（每月）用水平仪检测货叉水平度，及时发现变形。</w:t>
      </w:r>
    </w:p>
    <w:p w14:paraId="7412136A">
      <w:r>
        <w:t>传动异响是早期故障信号，不同部位异响特征不同：轴承异响表现为连续“嗡嗡”声，随转速升高而增大，成因是轴承润滑不良（油脂干涸或污染）、滚道剥落（疲劳失效）；齿轮异响表现为周期性“咔咔”声，成因是齿轮啮合侧隙过大（超过0.3mm）或齿面磨损（齿厚减薄＞0.2mm）。处理对策：①轴承异响：拆卸后清洗轴承，更换锂基润滑脂（型号ZL-3，填充量为轴承腔的1/3），若转动时有卡滞或游隙＞0.1mm，更换轴承（型号6205ZZ，游隙C2组）；②齿轮异响：检查齿轮啮合侧隙，通过调整垫片厚度将侧隙控制在0.1-0.2mm，齿面磨损超标时需更换齿轮副，更换后进行跑合（空载运行2小时）。预防措施：每500小时检查传动部件润滑状况，粉尘环境下缩短润滑周期至200小时。</w:t>
      </w:r>
    </w:p>
    <w:p w14:paraId="6DB56C76">
      <w:r>
        <w:t>门架升降卡顿表现为升降过程中出现顿挫感或停滞，主要成因：①滚轮与门架间隙过小（＜0.5mm）或过大（＞2mm），导致滑动阻力不均；②链条张紧度不一致（左右链条下垂量差＞5mm），升降时门架倾斜；③门架立柱变形（直线度超差＞0.5mm/m），与滚轮卡滞。处理对策：①调整滚轮间隙，通过偏心轴或调整垫片使间隙保持1-1.5mm，确保滑动顺畅；②张紧链条，通过调节螺杆使左右链条下垂量（跨度1.5m时）均为20-30mm；③门架变形时，使用专用校直工装（支撑间距2m）进行冷校直，直线度恢复至≤0.3mm/m。预防措施：每周清理门架立柱上的粉尘（用压缩空气吹扫），涂抹导轨专用润滑脂（每100小时）。</w:t>
      </w:r>
    </w:p>
    <w:p w14:paraId="001C4EA4">
      <w:pPr>
        <w:pStyle w:val="4"/>
      </w:pPr>
      <w:r>
        <w:t>5.2 液压系统故障诊断</w:t>
      </w:r>
    </w:p>
    <w:p w14:paraId="0AA9C309">
      <w:r>
        <w:t>液压系统故障与油液污染、密封失效、元件磨损相关，需结合压力、流量、温度等参数综合判断。液压油泄漏是常见故障，表现为接头处渗油（滴油频率＞1滴/分钟）或油缸活塞杆“出汗”（表面湿润但不滴油），成因包括：①密封件老化（橡胶密封件使用超过1年，出现龟裂或硬化）；②接头松动（预紧扭矩不足，如卡套式接头未达到25N·m）；③油管破裂（长期弯曲疲劳或外部损伤）。处理对策：①更换密封件，选用氟橡胶材质（耐油、耐温-20-200℃），安装时确保无扭曲，唇边朝向压力侧；②重新紧固接头，卡套式接头需二次拧紧（首次25N·m，运行1小时后复紧至28N·m）；③破裂油管需更换，新油管弯曲半径≥10倍管径，避免靠近热源（如电机）。预防措施：每月检查油位与泄漏情况，油液污染度超标时（NAS 8级以上）更换液压油并清洗油箱。</w:t>
      </w:r>
    </w:p>
    <w:p w14:paraId="366A181E">
      <w:r>
        <w:t>货叉升降缓慢表现为空载起升速度＜60mm/s或满载起升速度＜30mm/s，低于标准值50%，成因包括：①液压泵磨损（内泄漏增大，容积效率＜80%），表现为泵出口压力波动大（＞±1MPa）；②滤油器堵塞（滤芯压差＞0.3MPa），导致吸油阻力增大；③溢流阀设定压力偏低（低于10MPa），系统无法建立足够压力。处理对策：①检测液压泵性能，在额定转速下测量出口流量，若流量低于标称值80%（齿轮泵10mL/r×1500rpm=15L/min，实测＜12L/min），需更换泵总成；②更换滤油器滤芯（精度10μm），清洗滤网；③调整溢流阀压力至16MPa（顺时针旋转调节螺杆，每圈对应压力变化2MPa），调节后锁定螺母防松。预防措施：每季度检测系统压力，使用专用液压油（L-HM46），避免混用不同品牌油液。</w:t>
      </w:r>
    </w:p>
    <w:p w14:paraId="77544F93">
      <w:r>
        <w:t>货叉沉降量超标表现为静置时货叉10分钟内下降＞50mm（标准≤30mm），成因主要是油缸内漏或平衡阀故障。油缸内漏检测：拆去油缸回油管，使货叉满载起升，关闭换向阀，若回油管口有油液流出（＞5滴/分钟），说明活塞密封件失效，需更换密封件（U形圈+支撑环）。平衡阀故障表现为下降速度不受节流阀控制（超速或卡顿），拆解平衡阀后若发现阀芯磨损（径向间隙＞0.1mm）或弹簧疲劳（自由长度缩短＞5%），需更换阀芯或平衡阀总成。处理时需注意：平衡阀安装方向不可颠倒（进油口P接油缸下腔，出油口T接回油），调试时先空载运行3次，排除空气。预防措施：每月检测沉降量，避免货叉长期处于高位（＞2m）静置。</w:t>
      </w:r>
    </w:p>
    <w:p w14:paraId="441D95B2">
      <w:r>
        <w:t>液压油温度过高（超过55℃）会导致油液黏度下降、密封件老化加速，表现为系统压力不稳定、动作迟缓。成因包括：①散热不良（散热器表面积灰过多，散热风量不足）；②溢流阀频繁溢流（如负载持续超过系统能力，导致溢流阀开启时间＞30%工作周期）；③油液不足（油位低于液位计1/2，循环速度过快导致摩擦生热）。处理对策：①清洗散热器（用压缩空气反向吹扫），加装轴流风扇（风量80m³/h）强制冷却；②优化作业流程，避免长时间重载停滞（如等待指令时降下货叉）；③补充液压油至液位计2/3处，确保散热循环充分。预防措施：夏季高温时缩短作业周期，每2小时停机10分钟降温；定期检查油温传感器，异常时及时报警。</w:t>
      </w:r>
    </w:p>
    <w:p w14:paraId="77CBA105">
      <w:pPr>
        <w:pStyle w:val="4"/>
      </w:pPr>
      <w:r>
        <w:t>5.3 电气系统故障排除</w:t>
      </w:r>
    </w:p>
    <w:p w14:paraId="47CDECC0">
      <w:r>
        <w:t>电气系统故障具有隐蔽性，需结合故障代码、参数测量、替换法诊断，在粉尘环境下需重点排查传感器与连接插件。传感器误报是常见故障，如激光测距仪无信号（HMI显示“定位失败”）或光电开关误动作（无障碍物时触发限位），成因包括：①传感器透镜污染（粉尘覆盖导致检测距离缩短）；②接线松动（插件接触不良，端子压降＞0.5V）；③电磁干扰（附近电机启动时产生浪涌）。处理对策：①用无水酒精清洁透镜，安装防尘罩（带压缩空气吹扫接口，流量5L/min）；②重新插拔插件，端子处涂抹导电膏（降低接触电阻）；③传感器电缆穿金属管并单端接地，远离动力电缆（间距≥300mm）。例如，某案例中光电开关误报频次从每天5次降至每周1次，通过加装防护罩与屏蔽电缆实现。</w:t>
      </w:r>
    </w:p>
    <w:p w14:paraId="01DF77C7">
      <w:r>
        <w:t>电机过流报警（变频器显示故障代码E.OC）表现为启动时电流超过额定值2倍（2.2kW电机额定电流4.5A，报警电流9A），成因包括：①机械卡阻（如制动器未完全释放，导致启动扭矩过大）；②电机绝缘不良（绕组对地绝缘电阻＜1MΩ）；③变频器参数设置错误（如加速时间过短＜0.5s，导致启动电流冲击）。处理对策：①检查机械传动部件，手动盘动电机轴，转动阻力应＜2N·m，若卡滞需拆解制动器，清洁刹车片（去除粉尘与油污）；②用兆欧表测量电机绝缘电阻，若＜1MΩ，需烘干绕组（温度80℃，持续4小时）或重绕线圈；③重新设置变频器参数，加速时间调整为1-2s，电流限幅值设为150%额定电流（6.75A）。预防措施：每月检查电机温度与异响，保持通风良好，避免粉尘堆积。</w:t>
      </w:r>
    </w:p>
    <w:p w14:paraId="378EF2E7">
      <w:r>
        <w:t>电池亏电表现为充满电后作业时间＜4小时（标准8小时），或电量表指针在50%SOC时突然下降至0，成因包括：①电池单体损坏（某串电压＜2.5V，无法充电）；②充电器故障（输出电压低于54V，或充电电流＜100A）；③BMS均衡功能失效（单体压差＞100mV）。处理对策：①用BMS诊断仪检测单体电压，更换电压＜2.5V的单体电池，更换后需进行3次满充放循环激活；②检测充电器输出参数，更换损坏的充电器模块；③修复BMS均衡电路，更换均衡电阻（阻值10Ω/2W）或均衡芯片。预防措施：避免深度放电（SOC＜20%），充电环境温度控制在15-35℃，每月进行1次均衡充电（连续充电12小时）。</w:t>
      </w:r>
    </w:p>
    <w:p w14:paraId="33FEDCA9">
      <w:r>
        <w:t>控制器通讯故障表现为HMI与PLC失去连接（显示“通讯超时”）或变频器无响应，成因包括：①PROFINET网线故障（断线或水晶头氧化）；②交换机故障（电源损坏或端口失效）；③PLC程序丢失（锂电池电压不足，程序未保存）。处理对策：①用网络测试仪检测网线通断，更换水晶头（按T568B标准制作）；②更换交换机电源（DC24V/1A）或备用端口；③从备份文件恢复PLC程序，更换PLC锂电池（电压＜3V时），确保程序保存时间＞7天。预防措施：每周备份PLC程序，通讯线路采用冗余设计（双网线），关键节点设置信号中继器。</w:t>
      </w:r>
    </w:p>
    <w:p w14:paraId="0CBF54DD">
      <w:r>
        <w:t>建立故障代码体系可提高排查效率，常见代码及处理流程：①E01（电池欠压）：检查单体电压，补充充电；②E02（电机过载）：测量电流，检查机械卡阻；③E03（传感器故障）：清洁传感器，检查接线；④E04（液压压力低）：检测系统压力，调整溢流阀；⑤E05（通讯故障）：检查网线与交换机。故障排除遵循“先检查电源，再检查信号，最后更换部件”的原则，例如E03故障：先测量传感器电源（DC24V±5%），再检查信号线通断，最后替换同型号传感器验证。通过标准化流程，可将平均故障排除时间从2小时缩短至30分钟。</w:t>
      </w:r>
    </w:p>
    <w:p w14:paraId="59A7EF80">
      <w:pPr>
        <w:pStyle w:val="3"/>
      </w:pPr>
      <w:r>
        <w:t>六、维护保养要点与操作规范</w:t>
      </w:r>
    </w:p>
    <w:p w14:paraId="5B06FDD6">
      <w:pPr>
        <w:pStyle w:val="4"/>
      </w:pPr>
      <w:r>
        <w:t>6.1 分级维护周期与核心内容</w:t>
      </w:r>
    </w:p>
    <w:p w14:paraId="11CEC289">
      <w:r>
        <w:t>电动推垛车的维护保养需按周期分级执行，结合干变绕线车间的作业强度与环境条件制定计划。日常点检（每班作业前30分钟）由操作工执行，重点检查关键安全项：①轮胎气压（驱动轮800kPa，转向轮600kPa，用胎压计测量），胎面磨损深度≥2mm，有无裂纹；②制动性能（行车制动：踩下踏板，车辆应在1m内停止；驻车制动：拉起手柄，30%坡度不溜车）；③液压油位（液位计2/3处，不足时补充L-HM46液压油）；④急停按钮（按下后所有电机断电，指示灯熄灭）；⑤电池电量（SOC≥80%，低电量时禁止作业）。点检结果记录于《日常点检表》，发现异常立即停机报修。</w:t>
      </w:r>
    </w:p>
    <w:p w14:paraId="14AC8AED">
      <w:r>
        <w:t>周保养（每周五班后1小时）由维修工执行，侧重清洁与润滑：①清洁传感器（激光测距仪、光电开关透镜用无尘布蘸酒精擦拭）；②润滑运动部件：门架滚轮（每个注油嘴加注锂基润滑脂2-3g）、转向拉杆球头（注入油脂至溢出新油）、货叉调节导轨（涂抹润滑脂，厚度1mm）；③检查紧固件：车架连接螺栓（M16，扭矩120N·m）、货叉定位销（开口销完好）、电机固定螺栓（扭矩40N·m），松动时复紧；④清理电池舱粉尘（用吸尘器吸除，避免金属粉尘堆积导致短路）。保养后进行空载试运行（各动作循环3次），确认无异响与泄漏。</w:t>
      </w:r>
    </w:p>
    <w:p w14:paraId="0D91F659">
      <w:r>
        <w:t>月检修（每月最后一周六）进行精度校准与性能检测，由维修班执行：①货叉水平度校准，使用框式水平仪（精度0.02mm/m）放置于货叉上表面，调节车架底部微调旋钮，使水平度≤0.3mm/m；②制动性能测试，在平坦地面以5km/h速度行驶，实测制动距离≤1m，制动力矩≥20N·m；③液压系统压力检测，启动液压泵，测量油缸无杆腔压力（空载10MPa，满载16MPa），偏差超过±1MPa时调整溢流阀；④电气绝缘测试，用兆欧表测量电机绕组对地绝缘电阻（≥1MΩ），电缆屏蔽层接地电阻（≤4Ω）。检修数据记录于《月度检修报告》，超差项制定整改计划。</w:t>
      </w:r>
    </w:p>
    <w:p w14:paraId="734CB999">
      <w:r>
        <w:t>年大修（每年12月，停产3天）进行深度维护与部件更换，由技术部门组织：①更换关键易损件：液压油（全部更换，用量20L）、密封件（油缸、换向阀密封件）、滤芯（液压滤油器、空气滤芯）；②电机保养：拆解驱动电机，清洁定子绕组，更换轴承（型号6205ZZ），转子动平衡校正（不平衡量≤5g·mm）；③结构件检测：车架应力测试（采用应变片测量关键部位应力，≤200MPa），货叉无损检测（磁粉探伤，无裂纹）；④控制系统升级：PLC程序备份与更新，触摸屏校准，传感器重新标定。大修后进行全性能测试（连续作业8小时，考核效率、精度、可靠性），验收合格后方可投入使用。</w:t>
      </w:r>
    </w:p>
    <w:p w14:paraId="41567A5B">
      <w:pPr>
        <w:pStyle w:val="4"/>
      </w:pPr>
      <w:r>
        <w:t>6.2 标准化操作流程与安全要求</w:t>
      </w:r>
    </w:p>
    <w:p w14:paraId="4F920D9F">
      <w:r>
        <w:t>标准化操作流程是确保作业安全与效率的基础，需覆盖作业全周期。开机准备阶段：①环境检查，清理作业通道内杂物（如工具、托盘），确认地面无油污、积水，照明亮度≥500Lux；②设备检查，按《日常点检表》逐项确认，特别检查货叉缓冲垫完好、防护装置齐全；③参数确认，根据待运线圈重量（输入HMI），系统自动匹配载荷参数（如载荷中心距500mm对应限速3km/h），操作员复核无误后登录系统（输入工号与密码）。准备就绪后，将模式开关置于“手动”或“自动”位置，HMI显示“就绪”。</w:t>
      </w:r>
    </w:p>
    <w:p w14:paraId="597220F0">
      <w:r>
        <w:t>作业执行阶段：手动模式下，操作员站于操作平台，双手握住控制手柄：①行走控制，缓慢前推手柄控制前进，速度随手柄偏转角度增大而提高（最大5km/h），遇障碍物时提前减速（距障碍物2m时降至1km/h）；②升降控制，按下手柄两侧使能按钮，上抬手柄货叉上升，下压手柄货叉下降，接近目标高度时微调（如堆垛时降至距货架100mm处暂停，再缓慢下放）；③货叉调节，通过控制面板按钮调整货叉间距，确保线圈重心位于货叉中心，调节后锁定。自动模式下，操作员在HMI选择任务单号，系统自动执行，过程中需监控运行状态，异常时按下急停按钮。</w:t>
      </w:r>
    </w:p>
    <w:p w14:paraId="03C067E7">
      <w:r>
        <w:t>停机与交接阶段：作业完成后，①将货叉降至最低位置（离地50mm），行驶至指定停放区，拉起驻车制动，关闭总电源；②设备清理，用抹布擦拭手柄、触摸屏，清理货叉上的粉尘与杂物，检查有无泄漏（液压油、电池液）；③数据记录，在《设备运行记录表》填写当班作业量（转运次数、吨位）、运行时间、故障情况，与下一班操作员交接，双方签字确认。若发现故障，需填写《故障报修单》，详细描述现象（如“货叉升降缓慢，伴随异响”），提交维修部门。</w:t>
      </w:r>
    </w:p>
    <w:p w14:paraId="4A3FDDD0">
      <w:r>
        <w:t>安全操作要求是预防事故的关键，需严格执行：①个人防护，操作员必须佩戴安全帽（防冲击）、护目镜（防粉尘）、防滑工作鞋（鞋底花纹深度≥3mm），禁止佩戴围巾、手链等易卷入物品；②载荷限制，严禁超载（额定载荷1000kg，禁止超过1100kg），禁止偏载（载荷中心距≤500mm），禁止载人（除操作员外）；③通道安全，行驶时注意观察，鸣笛示意（转弯、路口前3m），行人优先，通道内不得长时间停留；④紧急处理，发生碰撞时立即按下急停按钮，发生火灾时使用车载灭火器（4kg ABC干粉）扑救，同时疏散人员并报告车间主管。违反安全规范者按《安全生产奖惩制度》处理，造成事故的追究责任。</w:t>
      </w:r>
    </w:p>
    <w:p w14:paraId="3E8467A0">
      <w:pPr>
        <w:pStyle w:val="4"/>
      </w:pPr>
      <w:r>
        <w:t>6.3 维护质量验证与记录管理</w:t>
      </w:r>
    </w:p>
    <w:p w14:paraId="572DEE51">
      <w:r>
        <w:t>维护质量验证通过量化检测确保维护效果，建立可追溯的验证体系。机械性能验证：①空载运行测试，各动作（行走、升降、货叉调节）循环10次，记录运行时间（行走100m耗时≤20s，升降3m耗时≤60s），无卡顿、异响；②负载测试，加载1.1倍额定载荷（1100kg），测试货叉沉降量（10分钟≤30mm）、起升速度（≥40mm/s），符合设计标准；③结构强度验证，加载1.5倍额定载荷，持荷10分钟后测量车架变形量（≤1mm），无永久变形。验证数据填入《维护质量验证表》，作为维护效果的评判依据。</w:t>
      </w:r>
    </w:p>
    <w:p w14:paraId="1BE36D06">
      <w:r>
        <w:t>电气性能验证：①控制精度测试，自动模式下重复定位精度（连续5次停靠同一货位）≤±3mm，货叉调节位置精度≤±2mm；②安全功能测试，模拟急停、限位、过载等故障，系统应在0.5s内响应（停机或报警）；③电磁兼容性测试，在绕线机工作状态下（电磁场强度500V/m），推垛车通讯误码率≤10⁻⁶，传感器无误报。验证不合格项需重新维护，直至达标，形成闭环管理。</w:t>
      </w:r>
    </w:p>
    <w:p w14:paraId="7928B9A3">
      <w:r>
        <w:t>记录管理体系遵循“全过程、可追溯”原则,建立纸质与电子档案。基础记录包括:《设备台账》(含型号、出厂编号、购置日期、历次大修记录)、《备件更换清单》(记录更换部件型号、序列号、更换日期、供应商)、《维护计划》(年度、月度维护项目与责任人)。运行记录包括:《日常点检表》(每班)、《设备运行记录表》(每日)、《故障处理单》(每次故障,含现象、诊断、处理、责任人)。技术文档包括:设备图纸(机械装配图、电气原理图)、操作手册、维护手册、校准证书(如激光测距仪校准证书,有效期1年)。</w:t>
      </w:r>
    </w:p>
    <w:p w14:paraId="15DD445D">
      <w:r>
        <w:t>记录管理要求:①填写规范,内容真实、完整,字迹清晰,不得涂改(错误处划改并签字);②存档期限,日常记录保存1年,维护记录保存3年,大修记录与技术文档永久保存;③电子备份,关键记录扫描成PDF文件,每月备份至服务器与云端,防止数据丢失;④分析应用,每月统计故障类型与频次,识别薄弱环节(如传感器故障占比30%,需改进防护措施),每季度召开设备管理会议,优化维护计划。记录管理纳入ISO9001质量管理体系审核,确保符合“过程受控、结果可验证”的要求。</w:t>
      </w:r>
    </w:p>
    <w:p w14:paraId="173DB47E">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DEDF219"/>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C7A774"/>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20</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2025-10-01T19:49:48Z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C2723A4045CB15C75C15DD685C435A4C_43</vt:lpwstr>
  </property>
  <property fmtid="{D5CDD505-2E9C-101B-9397-08002B2CF9AE}" pid="4" name="KSOTemplateDocerSaveRecord">
    <vt:lpwstr>eyJoZGlkIjoiNzI4YmNmYThhZjA0NTVhODllNDhjMGZiNmFkMDJjN2YiLCJ1c2VySWQiOiIxNjA5OTI0MDI0In0=</vt:lpwstr>
  </property>
</Properties>
</file>