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01872">
      <w:pPr>
        <w:pStyle w:val="2"/>
      </w:pPr>
    </w:p>
    <w:p w14:paraId="5BBDC262">
      <w:pPr>
        <w:pStyle w:val="2"/>
      </w:pPr>
      <w:r>
        <w:t>干变绕线车间叉车AGV充电桩技术手册</w:t>
      </w:r>
    </w:p>
    <w:p w14:paraId="45127787">
      <w:pPr>
        <w:pStyle w:val="3"/>
      </w:pPr>
      <w:r>
        <w:t>一、设备概述</w:t>
      </w:r>
    </w:p>
    <w:p w14:paraId="5E4BF6F6">
      <w:pPr>
        <w:pStyle w:val="4"/>
      </w:pPr>
      <w:r>
        <w:t>1.1 设备用途与应用场景</w:t>
      </w:r>
    </w:p>
    <w:p w14:paraId="3CC851B1">
      <w:r>
        <w:t>干变绕线车间叉车AGV充电桩是支持车间无人化作业的关键能源补给设备，主要为承担变压器线圈物料转运任务的叉车AGV提供自动化充电服务。作为车间物流系统的核心节点，其功能定位涵盖三个维度：一是保障叉车AGV 8-12小时连续作业的能源需求，通过1-2小时慢充或任务间隙碎片化补能，维持设备持续运行；二是实现充电流程的全自动化，从AGV停靠引导、机械对接、充电控制到完成脱离，全程无需人工干预，适配车间“黑灯工厂”建设目标；三是作为能源管理终端，实时监测电池状态并与调度系统协同，优化车间生产资源配置。</w:t>
      </w:r>
    </w:p>
    <w:p w14:paraId="4DFAA5F5">
      <w:r>
        <w:t>该设备需适应干变绕线车间的特殊环境：车间内存在金属粉尘（变压器线圈绕制过程中产生铜/铝屑）、电磁干扰（焊接设备、高压测试仪器）、重载作业（叉车AGV负载常达2-5吨）等工况。因此，充电桩在设计上采用防尘密封壳体（防护等级不低于IP54）、抗电磁干扰电路（EMC等级CLASS 3）及防撞缓冲结构（可承受1.5m/s速度的撞击力）。典型安装位置为车间通道旁或墙角区域，通过地面导向标识与AGV导航系统配合，确保车辆停靠精度控制在±10mm范围内。实际应用中，单台充电桩可服务3-5台叉车AGV，通过智能调度实现错峰充电，满足车间“两班倒”或“三班倒”的生产节奏。</w:t>
      </w:r>
    </w:p>
    <w:p w14:paraId="000C79BE">
      <w:pPr>
        <w:pStyle w:val="4"/>
      </w:pPr>
      <w:r>
        <w:t>1.2 主要技术参数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26E4BF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6FA87B0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7DEE3618">
            <w:pPr>
              <w:jc w:val="center"/>
              <w:rPr>
                <w:b/>
              </w:rPr>
            </w:pPr>
            <w:r>
              <w:rPr>
                <w:b/>
              </w:rPr>
              <w:t>具体指标</w:t>
            </w:r>
          </w:p>
        </w:tc>
        <w:tc>
          <w:tcPr>
            <w:tcW w:w="0" w:type="auto"/>
            <w:vAlign w:val="center"/>
          </w:tcPr>
          <w:p w14:paraId="7B3E74D0">
            <w:pPr>
              <w:jc w:val="center"/>
              <w:rPr>
                <w:b/>
              </w:rPr>
            </w:pPr>
            <w:r>
              <w:rPr>
                <w:b/>
              </w:rPr>
              <w:t>行业标准依据</w:t>
            </w:r>
          </w:p>
        </w:tc>
      </w:tr>
      <w:tr w14:paraId="627996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1CF8FBD">
            <w:r>
              <w:rPr>
                <w:b/>
              </w:rPr>
              <w:t>输入参数</w:t>
            </w:r>
          </w:p>
        </w:tc>
        <w:tc>
          <w:tcPr>
            <w:tcW w:w="0" w:type="auto"/>
            <w:vAlign w:val="center"/>
          </w:tcPr>
          <w:p w14:paraId="1F31DAAF">
            <w:r>
              <w:t>交流输入：AC 380V±10%（三相四线制）或AC 220V±10%，频率50Hz±2Hz</w:t>
            </w:r>
          </w:p>
        </w:tc>
        <w:tc>
          <w:tcPr>
            <w:tcW w:w="0" w:type="auto"/>
            <w:vAlign w:val="center"/>
          </w:tcPr>
          <w:p w14:paraId="5F19A736">
            <w:r>
              <w:t>GB/T 18487.1-2015</w:t>
            </w:r>
          </w:p>
        </w:tc>
      </w:tr>
      <w:tr w14:paraId="70CB32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AECD843">
            <w:r>
              <w:rPr>
                <w:b/>
              </w:rPr>
              <w:t>输出参数</w:t>
            </w:r>
          </w:p>
        </w:tc>
        <w:tc>
          <w:tcPr>
            <w:tcW w:w="0" w:type="auto"/>
            <w:vAlign w:val="center"/>
          </w:tcPr>
          <w:p w14:paraId="2964D80A">
            <w:r>
              <w:t>直流输出：电压48V/72V（连续可调），电流0-200A；稳压精度≤±1%，纹波系数≤1%</w:t>
            </w:r>
          </w:p>
        </w:tc>
        <w:tc>
          <w:tcPr>
            <w:tcW w:w="0" w:type="auto"/>
            <w:vAlign w:val="center"/>
          </w:tcPr>
          <w:p w14:paraId="6AEE9EFA">
            <w:r>
              <w:t>QC/T 1089-2017</w:t>
            </w:r>
          </w:p>
        </w:tc>
      </w:tr>
      <w:tr w14:paraId="25A5A155">
        <w:tc>
          <w:tcPr>
            <w:tcW w:w="0" w:type="auto"/>
            <w:vAlign w:val="center"/>
          </w:tcPr>
          <w:p w14:paraId="6D0F3996">
            <w:r>
              <w:rPr>
                <w:b/>
              </w:rPr>
              <w:t>环境指标</w:t>
            </w:r>
          </w:p>
        </w:tc>
        <w:tc>
          <w:tcPr>
            <w:tcW w:w="0" w:type="auto"/>
            <w:vAlign w:val="center"/>
          </w:tcPr>
          <w:p w14:paraId="7DF6F111">
            <w:r>
              <w:t>工作温度：-10℃+40℃，储存温度：-25℃+60℃；相对湿度：10%~90% RH（无凝露）</w:t>
            </w:r>
          </w:p>
        </w:tc>
        <w:tc>
          <w:tcPr>
            <w:tcW w:w="0" w:type="auto"/>
            <w:vAlign w:val="center"/>
          </w:tcPr>
          <w:p w14:paraId="41FD4C8C">
            <w:r>
              <w:t>IEC 61851-1:2017</w:t>
            </w:r>
          </w:p>
        </w:tc>
      </w:tr>
      <w:tr w14:paraId="6CDAB5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6A93A89">
            <w:r>
              <w:rPr>
                <w:b/>
              </w:rPr>
              <w:t>机械参数</w:t>
            </w:r>
          </w:p>
        </w:tc>
        <w:tc>
          <w:tcPr>
            <w:tcW w:w="0" w:type="auto"/>
            <w:vAlign w:val="center"/>
          </w:tcPr>
          <w:p w14:paraId="4E50445D">
            <w:r>
              <w:t>对接精度：±3mm（X/Y轴）；插拔寿命：≥10万次；防撞角度：≤15°弹性形变</w:t>
            </w:r>
          </w:p>
        </w:tc>
        <w:tc>
          <w:tcPr>
            <w:tcW w:w="0" w:type="auto"/>
            <w:vAlign w:val="center"/>
          </w:tcPr>
          <w:p w14:paraId="40E72DEB">
            <w:r>
              <w:t>JB/T 10262-2013</w:t>
            </w:r>
          </w:p>
        </w:tc>
      </w:tr>
      <w:tr w14:paraId="2B06F1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BB6F402">
            <w:r>
              <w:rPr>
                <w:b/>
              </w:rPr>
              <w:t>电气性能</w:t>
            </w:r>
          </w:p>
        </w:tc>
        <w:tc>
          <w:tcPr>
            <w:tcW w:w="0" w:type="auto"/>
            <w:vAlign w:val="center"/>
          </w:tcPr>
          <w:p w14:paraId="436D588C">
            <w:r>
              <w:t>转换效率：85%-92%；保护功能：过流（1.5倍额定电流）、过压（1.2倍额定电压）、过温（65℃）</w:t>
            </w:r>
          </w:p>
        </w:tc>
        <w:tc>
          <w:tcPr>
            <w:tcW w:w="0" w:type="auto"/>
            <w:vAlign w:val="center"/>
          </w:tcPr>
          <w:p w14:paraId="08CC7291">
            <w:r>
              <w:t>GB/T 20234.1-2015</w:t>
            </w:r>
          </w:p>
        </w:tc>
      </w:tr>
      <w:tr w14:paraId="524C0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791B62A">
            <w:r>
              <w:rPr>
                <w:b/>
              </w:rPr>
              <w:t>通信参数</w:t>
            </w:r>
          </w:p>
        </w:tc>
        <w:tc>
          <w:tcPr>
            <w:tcW w:w="0" w:type="auto"/>
            <w:vAlign w:val="center"/>
          </w:tcPr>
          <w:p w14:paraId="11B400A5">
            <w:r>
              <w:t>接口类型：RS485/工业以太网；通信协议：Modbus RTU/CANopen；传输速率：115200bps</w:t>
            </w:r>
          </w:p>
        </w:tc>
        <w:tc>
          <w:tcPr>
            <w:tcW w:w="0" w:type="auto"/>
            <w:vAlign w:val="center"/>
          </w:tcPr>
          <w:p w14:paraId="5C7DABCF">
            <w:r>
              <w:t>IEC 61158-3-10</w:t>
            </w:r>
          </w:p>
        </w:tc>
      </w:tr>
      <w:tr w14:paraId="6C37CDBB">
        <w:tc>
          <w:tcPr>
            <w:tcW w:w="0" w:type="auto"/>
            <w:vAlign w:val="center"/>
          </w:tcPr>
          <w:p w14:paraId="12D498A4">
            <w:r>
              <w:rPr>
                <w:b/>
              </w:rPr>
              <w:t>结构参数</w:t>
            </w:r>
          </w:p>
        </w:tc>
        <w:tc>
          <w:tcPr>
            <w:tcW w:w="0" w:type="auto"/>
            <w:vAlign w:val="center"/>
          </w:tcPr>
          <w:p w14:paraId="1CE57447">
            <w:r>
              <w:t>安装形式：立柱式/落地式；外形尺寸：600×600×1500mm（立柱式）；重量：约150kg</w:t>
            </w:r>
          </w:p>
        </w:tc>
        <w:tc>
          <w:tcPr>
            <w:tcW w:w="0" w:type="auto"/>
            <w:vAlign w:val="center"/>
          </w:tcPr>
          <w:p w14:paraId="4E632EA5">
            <w:r>
              <w:t>企业标准（参考THDY10系列参数）</w:t>
            </w:r>
          </w:p>
        </w:tc>
      </w:tr>
    </w:tbl>
    <w:p w14:paraId="745B4F98">
      <w:pPr>
        <w:pStyle w:val="3"/>
      </w:pPr>
      <w:r>
        <w:t>二、结构组成</w:t>
      </w:r>
    </w:p>
    <w:p w14:paraId="3F83A903">
      <w:pPr>
        <w:pStyle w:val="4"/>
      </w:pPr>
      <w:r>
        <w:t>2.1 主体框架</w:t>
      </w:r>
    </w:p>
    <w:p w14:paraId="5AC4C557">
      <w:r>
        <w:t>充电桩主体框架采用模块化设计，以满足车间安装灵活性与维护便捷性需求。根据承重与空间条件，分为立柱式与落地式两种安装形式：立柱式适用于空间紧凑场景，通过膨胀螺栓固定于地面，垂直高度1500mm，底部直径600mm，顶部集成操作面板与指示灯；落地式为柜式结构，占地面积600×600mm，高度1200mm，可直接放置于地面，底部配备叉车槽便于搬运。两者均采用Q235冷轧钢板焊接成型，表面经酸洗磷化+静电喷塑处理，厚度≥2mm，具备防尘、防锈、抗冲击特性（可承受500N冲击力不变形）。</w:t>
      </w:r>
    </w:p>
    <w:p w14:paraId="4E530D37">
      <w:r>
        <w:t>框架内部采用分层隔离设计：上层为控制舱，安装PLC控制器、触摸屏、通信模块及充电模块，通过独立散热风道（风量≥0.3m³/min）与外界换气；下层为机械舱，容纳充电联动机构、导向滑轨及驱动部件，与控制舱通过金属隔板（厚度1.5mm）物理隔离，防止机械运动产生的粉尘污染电气元件。舱门采用快开式结构，配备机械锁与行程开关，开门时自动切断高压电源，确保维护安全。框架底部设有接地端子（截面积≥16mm²铜排），与车间接地网连接，接地电阻≤4Ω。</w:t>
      </w:r>
    </w:p>
    <w:p w14:paraId="336DC03F">
      <w:pPr>
        <w:pStyle w:val="4"/>
      </w:pPr>
      <w:r>
        <w:t>2.2 充电联动机构</w:t>
      </w:r>
    </w:p>
    <w:p w14:paraId="092B3023">
      <w:r>
        <w:t>充电联动机构是实现充电桩与叉车AGV物理对接的核心部件，采用“浮动校准+刚性锁止”复合设计，主要由以下组件构成：</w:t>
      </w:r>
    </w:p>
    <w:p w14:paraId="3975720C">
      <w:r>
        <w:rPr>
          <w:b/>
        </w:rPr>
        <w:t>滑杆与导向系统</w:t>
      </w:r>
      <w:r>
        <w:t>：采用双平行精密导轨（型号THK SR15），配合交叉滚子轴承，实现X/Y轴±4mm的位置补偿，适应AGV停靠时的定位偏差。滑杆材质为45#钢调质处理（硬度HRC28-32），直径15mm，表面镀铬（厚度0.01mm），摩擦系数≤0.02，确保运动顺畅。</w:t>
      </w:r>
    </w:p>
    <w:p w14:paraId="768C92AC">
      <w:r>
        <w:rPr>
          <w:b/>
        </w:rPr>
        <w:t>弹簧缓冲装置</w:t>
      </w:r>
      <w:r>
        <w:t>：滑杆外套装圆柱螺旋弹簧（材质60Si2Mn），自由长度50mm，刚度系数20N/mm，当AGV对接时可通过弹簧压缩吸收冲击能量（最大缓冲行程15mm），接触压力控制在50-80N（通过压力传感器闭环反馈），避免刚性碰撞导致的接口损坏。</w:t>
      </w:r>
    </w:p>
    <w:p w14:paraId="5B7B3A5D">
      <w:r>
        <w:rPr>
          <w:b/>
        </w:rPr>
        <w:t>充电铜舌与接口</w:t>
      </w:r>
      <w:r>
        <w:t>：充电铜舌采用T2紫铜（纯度≥99.95%）精密加工而成，表面镀银（厚度5μm），导电截面积≥25mm²，单极载流能力≥200A（温升≤50K@额定电流）。接口外壳为PA66+GF30工程塑料，内置防误插导向销（直径8mm，锥度1:10），配合叉车AGV端的导向孔，实现盲插对接。</w:t>
      </w:r>
    </w:p>
    <w:p w14:paraId="2FD3C570">
      <w:r>
        <w:rPr>
          <w:b/>
        </w:rPr>
        <w:t>限位与触发系统</w:t>
      </w:r>
      <w:r>
        <w:t>：机构末端设有限位板（厚度5mm钢板），与滑杆端部的撞块配合，限制最大行程（±10mm）；触发板安装于铜舌外壳侧面，当对接到位时压迫欧姆龙D4C-1520微动开关，输出开关量信号至PLC，启动充电流程。非工作状态下，铜舌由电磁锁（DC24V，保持力≥50N）锁止，防止意外触碰。</w:t>
      </w:r>
    </w:p>
    <w:p w14:paraId="148486EC">
      <w:pPr>
        <w:pStyle w:val="4"/>
      </w:pPr>
      <w:r>
        <w:t>2.3 电气系统</w:t>
      </w:r>
    </w:p>
    <w:p w14:paraId="04E6B4CD">
      <w:r>
        <w:t>电气系统采用“强电+弱电”分层架构，实现能量传输与信号控制的安全隔离，主要包含以下模块：</w:t>
      </w:r>
    </w:p>
    <w:p w14:paraId="4BD9DAEB">
      <w:r>
        <w:rPr>
          <w:b/>
        </w:rPr>
        <w:t>主电路模块</w:t>
      </w:r>
      <w:r>
        <w:t>：采用晶闸管全桥全控整流电路（型号KP500A/1600V晶闸管），配合LC滤波电路（电感10mH，电容2200μF/450V），将AC380V交流电整流为DC48V/72V直流电。触发回路采用TI TCA785专用移相触发芯片，输出脉冲宽度100μs，移相范围0-170°，确保输出电压连续可调。主电路串联快速熔断器（型号RS31-200A/500V）与直流接触器（型号LC1D200Q7C），实现过载与短路保护。</w:t>
      </w:r>
    </w:p>
    <w:p w14:paraId="0897535B">
      <w:r>
        <w:rPr>
          <w:b/>
        </w:rPr>
        <w:t>控制单元</w:t>
      </w:r>
      <w:r>
        <w:t>：以西门子S7-1214C DC/DC/DC PLC为核心，配备16点数字量输入（DI）、16点数字量输出（DO）、4路模拟量输入（AI，12位精度）及2路模拟量输出（AO）。人机界面采用7英寸昆仑通态TPC7062Ti触摸屏，分辨率800×480，支持中文显示与触摸操作，实时监控充电电压、电流、SOC等参数，并可进行参数设置与故障查询。</w:t>
      </w:r>
    </w:p>
    <w:p w14:paraId="7FDA7850">
      <w:r>
        <w:rPr>
          <w:b/>
        </w:rPr>
        <w:t>辅助电路模块</w:t>
      </w:r>
      <w:r>
        <w:t>：包含DC24V开关电源（输入AC220V，输出DC24V/5A，纹波≤50mV），为PLC、传感器、接触器线圈等提供工作电源；浪涌保护器（型号OBO V20-C/3+NPE），标称放电电流20kA（8/20μs波形），保护控制电路免受电网浪涌冲击；以及传感器接口模块，提供8路NPN型接近开关信号输入（DC24V，响应时间≤1ms），用于检测对接机构位置、舱门状态等。</w:t>
      </w:r>
    </w:p>
    <w:p w14:paraId="59F1D438">
      <w:r>
        <w:rPr>
          <w:b/>
        </w:rPr>
        <w:t>信号检测模块</w:t>
      </w:r>
      <w:r>
        <w:t>：配置霍尔电流传感器（型号LA-500P，精度±0.5%）与电压传感器（型号LV28-P，精度±0.2%），实时采集充电电流与电压；温度传感器（型号PT100，测量范围-50-150℃，精度±0.1℃）安装于充电模块与铜舌处，监测关键部件温度；烟雾传感器（型号JTY-GD-3002）用于检测舱内火情，触发时切断主电源并报警。</w:t>
      </w:r>
    </w:p>
    <w:p w14:paraId="49A5FF4D">
      <w:pPr>
        <w:pStyle w:val="3"/>
      </w:pPr>
      <w:r>
        <w:t>三、功能特性</w:t>
      </w:r>
    </w:p>
    <w:p w14:paraId="711F755C">
      <w:pPr>
        <w:pStyle w:val="4"/>
      </w:pPr>
      <w:r>
        <w:t>3.1 充电模式与效率</w:t>
      </w:r>
    </w:p>
    <w:p w14:paraId="72982878">
      <w:r>
        <w:t>充电桩支持多阶段智能充电模式，根据电池类型与状态自动切换充电路径，适配铅酸电池与磷酸铁锂电池：</w:t>
      </w:r>
    </w:p>
    <w:p w14:paraId="7054C54D">
      <w:r>
        <w:rPr>
          <w:b/>
        </w:rPr>
        <w:t>预充阶段</w:t>
      </w:r>
      <w:r>
        <w:t>：当电池电压低于标称电压80%（如48V电池低于38.4V）时，启动0.1C小电流预充（C为电池容量，如200Ah电池对应20A），持续5-10分钟，激活电池极板化学反应，防止大电流冲击导致极板硫化。</w:t>
      </w:r>
    </w:p>
    <w:p w14:paraId="03999007">
      <w:r>
        <w:rPr>
          <w:b/>
        </w:rPr>
        <w:t>恒流阶段</w:t>
      </w:r>
      <w:r>
        <w:t>：电池电压回升至标称电压80%后，自动切换至恒流快充，电流设置为1-2C（根据电池厂商建议，磷酸铁锂电池通常取1.5C），此阶段为主要充电阶段，可充入总容量的70%-80%。例如48V/200Ah电池，恒流阶段电流300A，持续约40分钟，充入电量160Ah。</w:t>
      </w:r>
    </w:p>
    <w:p w14:paraId="2BAB8AF3">
      <w:r>
        <w:rPr>
          <w:b/>
        </w:rPr>
        <w:t>恒压阶段</w:t>
      </w:r>
      <w:r>
        <w:t>：当电池电压达到截止电压（如48V电池44.8V）时，转入恒压浮充，电流逐渐减小，直至电流降至0.05C时停止充电，确保电池充满且不过充。整个充电周期（0-100%SOC）约1.5-2小时，充电效率85%-92%（磷酸铁锂电池效率高于铅酸电池）。</w:t>
      </w:r>
    </w:p>
    <w:p w14:paraId="25E2D752">
      <w:r>
        <w:t>针对车间生产间隙，充电桩支持“碎片化补能”模式：当AGV执行任务间隙停靠充电区时，系统自动检测电池SOC，若低于70%则启动快速补能（以2C电流充电，5分钟可补充约10%SOC），无需等待充满即可继续执行任务，实现生产与充电的无缝衔接。某干变车间应用数据显示，该模式使AGV日均有效作业时间延长2小时，设备利用率提升18%。</w:t>
      </w:r>
    </w:p>
    <w:p w14:paraId="55EBADA3">
      <w:pPr>
        <w:pStyle w:val="4"/>
      </w:pPr>
      <w:r>
        <w:t>3.2 功率等级与适配性</w:t>
      </w:r>
    </w:p>
    <w:p w14:paraId="1CFFF3DB">
      <w:r>
        <w:t>充电桩功率等级覆盖5kW-15kW，根据叉车AGV吨位与电池容量选型：</w:t>
      </w:r>
    </w:p>
    <w:p w14:paraId="405DA491">
      <w:r>
        <w:rPr>
          <w:b/>
        </w:rPr>
        <w:t>5kW型号</w:t>
      </w:r>
      <w:r>
        <w:t>：输入AC220V，输出DC48V/100A，适配2吨以下轻型叉车AGV（电池容量100-150Ah），如永恒力EJC112系列，单次充电可满足8小时轻载作业（负载≤500kg）。</w:t>
      </w:r>
    </w:p>
    <w:p w14:paraId="6C4EE2C1">
      <w:r>
        <w:rPr>
          <w:b/>
        </w:rPr>
        <w:t>10kW型号</w:t>
      </w:r>
      <w:r>
        <w:t>：输入AC380V，输出DC48V/200A或DC72V/130A，适配2-5吨中型叉车AGV（电池容量200-300Ah），如丰田8FBH20系列，支持1.5小时充满，满足10小时中载作业（负载500-2000kg）。</w:t>
      </w:r>
    </w:p>
    <w:p w14:paraId="6AF8B0A7">
      <w:r>
        <w:rPr>
          <w:b/>
        </w:rPr>
        <w:t>15kW型号</w:t>
      </w:r>
      <w:r>
        <w:t>：输入AC380V，输出DC72V/200A，适配5吨以上重型叉车AGV（电池容量300-400Ah），如科朗EFG400系列，支持2小时充满，满足12小时重载作业（负载2000-5000kg）。</w:t>
      </w:r>
    </w:p>
    <w:p w14:paraId="6BDC5029">
      <w:r>
        <w:t>功率适配通过以下技术实现：一是采用模块化充电模块（单个模块5kW），支持1-3个模块并联，根据需求灵活配置总功率；二是动态负载适配技术，通过UPS协同（选配），当电网电压波动±10%或负载突变时（如多台充电桩同时启动），UPS瞬间提供补偿功率（响应时间≤10ms），确保输出电压稳定（波动≤±2%）。电能转换效率通过拓扑结构优化（采用LLC谐振变换电路）提升至95%，较传统相控整流技术节电8%，某车间10台10kW充电桩年节电约4.3万kWh。</w:t>
      </w:r>
    </w:p>
    <w:p w14:paraId="073B9029">
      <w:r>
        <w:t>接口适配方面，充电桩配备可更换插头组件，支持主流叉车AGV充电接口：如丰田叉车的3P+E接口、永恒力的5芯工业接口、科朗的圆形防水接口等，更换插头仅需拆卸4颗M5螺栓，耗时≤5分钟，无需修改电路参数。</w:t>
      </w:r>
    </w:p>
    <w:p w14:paraId="3991D796">
      <w:pPr>
        <w:pStyle w:val="4"/>
      </w:pPr>
      <w:r>
        <w:t>3.3 安全保护机制</w:t>
      </w:r>
    </w:p>
    <w:p w14:paraId="7D9DD44F">
      <w:r>
        <w:t>充电桩集成多重安全保护功能，覆盖电气、机械、环境全维度：</w:t>
      </w:r>
    </w:p>
    <w:p w14:paraId="6E1DF217">
      <w:r>
        <w:rPr>
          <w:b/>
        </w:rPr>
        <w:t>电气保护</w:t>
      </w:r>
      <w:r>
        <w:t>：</w:t>
      </w:r>
    </w:p>
    <w:p w14:paraId="02DFC84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过流保护：主电路设置反时限过流保护，当电流超过额定值1.2倍时，10秒内切断输出；超过2倍时，0.1秒内切断，避免线路过载。</w:t>
      </w:r>
    </w:p>
    <w:p w14:paraId="6081018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过压保护：输出电压超过额定值1.1倍时，触发保护停机，防止电池过压损坏（如48V系统过压阈值52.8V）。</w:t>
      </w:r>
    </w:p>
    <w:p w14:paraId="48E8373B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过温保护：充电模块温度超过65℃时，自动降功率运行（每升高5℃降额20%）；超过75℃时停机，温度降至55℃以下自动恢复。</w:t>
      </w:r>
    </w:p>
    <w:p w14:paraId="6D4F6057">
      <w:r>
        <w:rPr>
          <w:b/>
        </w:rPr>
        <w:t>机械保护</w:t>
      </w:r>
      <w:r>
        <w:t>：</w:t>
      </w:r>
    </w:p>
    <w:p w14:paraId="4652AC9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防误插保护：充电插头与接口采用唯一编码导向结构，不同型号插头无法插入，防止极性接反。</w:t>
      </w:r>
    </w:p>
    <w:p w14:paraId="5413D9B2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防撞缓冲：立柱式充电桩底部安装聚氨酯缓冲垫（厚度50mm，硬度60 Shore A），当受到AGV撞击时可产生15°以内弹性形变，吸收冲击能量，保护内部结构。</w:t>
      </w:r>
    </w:p>
    <w:p w14:paraId="1AC9864A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机械锁止：对接完成后，电磁锁自动锁止插头（保持力≥500N），充电过程中无法拔出，需充电完成或紧急停止时方可解锁。</w:t>
      </w:r>
    </w:p>
    <w:p w14:paraId="53ECEA5D">
      <w:r>
        <w:rPr>
          <w:b/>
        </w:rPr>
        <w:t>环境与人员保护</w:t>
      </w:r>
      <w:r>
        <w:t>：</w:t>
      </w:r>
    </w:p>
    <w:p w14:paraId="3608D78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防尘防水：控制舱防护等级IP54，机械舱IP55，可抵御车间粉尘（粒径≥10μm粉尘通过率≤0.1%）与飞溅水（任意方向喷水无损害）。</w:t>
      </w:r>
    </w:p>
    <w:p w14:paraId="2AD18AD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漏电保护：配置30mA剩余电流动作保护器（RCD），漏电电流≥30mA时0.1秒内切断电源，保护操作人员安全。</w:t>
      </w:r>
    </w:p>
    <w:p w14:paraId="172E4FA8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紧急停止：充电桩正面配备红色急停按钮（符合IEC 60947-5-1标准），按下后切断所有电源输出，按钮需旋转复位，防止误操作。</w:t>
      </w:r>
    </w:p>
    <w:p w14:paraId="3046C910">
      <w:r>
        <w:t>保护触发后，系统通过蜂鸣器（声压级≥85dB@1m）与LED指示灯（红色闪烁，频率1Hz）报警，并在触摸屏显示故障代码与处理建议，直至故障排除并手动复位。</w:t>
      </w:r>
    </w:p>
    <w:p w14:paraId="43DAE2FE">
      <w:pPr>
        <w:pStyle w:val="4"/>
      </w:pPr>
      <w:r>
        <w:t>3.4 智能管理功能</w:t>
      </w:r>
    </w:p>
    <w:p w14:paraId="3406CC82">
      <w:r>
        <w:t>充电桩通过与AGV调度系统、电池管理系统（BMS）协同，实现智能化能源管理：</w:t>
      </w:r>
    </w:p>
    <w:p w14:paraId="30AA2E70">
      <w:r>
        <w:rPr>
          <w:b/>
        </w:rPr>
        <w:t>BMS数据交互</w:t>
      </w:r>
      <w:r>
        <w:t>：充电桩通过CAN总线（速率250kbps）与AGV车载BMS实时通信，监测16项电池参数：SOC（精度±2%）、单体电压（精度±5mV）、总电压（精度±0.5%）、充电电流（精度±1%）、电池温度（8个温度传感器，精度±1℃）、循环次数、健康度（SOH）等。根据BMS提供的充电曲线（CC/CV参数），动态调整充电策略，避免因固定参数充电导致的电池损伤。</w:t>
      </w:r>
    </w:p>
    <w:p w14:paraId="5E91F9D8">
      <w:r>
        <w:rPr>
          <w:b/>
        </w:rPr>
        <w:t>远程监控与调度</w:t>
      </w:r>
      <w:r>
        <w:t>：充电桩通过RS485总线或工业以太网接入车间MES系统，上传实时数据（充电状态、故障信息、能耗统计），接收调度指令（启动/停止充电、调整参数）。运维人员可通过车间监控中心或移动端APP查看设备状态，远程诊断故障（如某充电桩输出电压异常，可远程读取电压传感器数据定位故障模块）。</w:t>
      </w:r>
    </w:p>
    <w:p w14:paraId="1829630B">
      <w:r>
        <w:rPr>
          <w:b/>
        </w:rPr>
        <w:t>状态指示与报警</w:t>
      </w:r>
      <w:r>
        <w:t>：正面配备三色LED指示灯（红/黄/绿）与蜂鸣器，不同状态对应不同信号组合：绿色常亮（待机）、绿色闪烁（充电中）、黄色常亮（故障预警）、红色闪烁（故障报警）、蜂鸣器长鸣（紧急停止）。指示灯亮度≥500cd/m²，可在车间强光环境下清晰识别。</w:t>
      </w:r>
    </w:p>
    <w:p w14:paraId="695A99F8">
      <w:r>
        <w:rPr>
          <w:b/>
        </w:rPr>
        <w:t>能耗数据分析</w:t>
      </w:r>
      <w:r>
        <w:t>：系统自动记录每次充电的起始时间、结束时间、充电量、平均功率等数据，生成日报表（日充电量、设备利用率）、月报表（能耗趋势、电池衰减分析），为车间能源管理提供数据支持。某干变车间通过分析报表优化充电时段（错峰用电），月均节省电费3000元。</w:t>
      </w:r>
    </w:p>
    <w:p w14:paraId="1D3E8DC6">
      <w:pPr>
        <w:pStyle w:val="3"/>
      </w:pPr>
      <w:r>
        <w:t>四、机械工作原理</w:t>
      </w:r>
    </w:p>
    <w:p w14:paraId="7EB29FE7">
      <w:pPr>
        <w:pStyle w:val="4"/>
      </w:pPr>
      <w:r>
        <w:t>4.1 对接机构工作原理</w:t>
      </w:r>
    </w:p>
    <w:p w14:paraId="4413FB9F">
      <w:r>
        <w:t>对接机构的核心功能是在AGV停靠存在位置偏差（±10mm）的情况下，实现充电插头与AGV接口的精准对接，其工作流程分为四个阶段：</w:t>
      </w:r>
    </w:p>
    <w:p w14:paraId="0EF22813">
      <w:r>
        <w:rPr>
          <w:b/>
        </w:rPr>
        <w:t>1. 停靠引导</w:t>
      </w:r>
      <w:r>
        <w:t>：AGV进入充电区时，通过车载激光雷达扫描充电桩周围的3个反光板（布置成直角三角形，间距1.5m），结合IMU数据计算实时位置偏差（X/Y轴偏移、旋转角偏差），调度系统根据偏差值控制AGV缓慢行驶（速度≤0.2m/s），直至停靠至预设区域（定位精度±10mm），触发地面感应线圈，AGV停止行驶并制动。</w:t>
      </w:r>
    </w:p>
    <w:p w14:paraId="709F0605">
      <w:r>
        <w:rPr>
          <w:b/>
        </w:rPr>
        <w:t>2. 位置补偿</w:t>
      </w:r>
      <w:r>
        <w:t>：AGV停靠后，充电桩激光传感器（型号Omron OMRON E3Z-LS61）检测AGV接口位置，输出X/Y轴偏差值（分辨率0.1mm）至PLC。PLC驱动X/Y轴伺服电机（型号松下MSMD042G1U，功率400W），通过滚珠丝杠（导程5mm，精度C3级）带动滑杆运动，进行位置补偿：X轴（左右方向）补偿范围±15mm，Y轴（前后方向）补偿范围±10mm，补偿速度0.1m/s，定位时间≤1秒，最终将对接偏差控制在±3mm以内。</w:t>
      </w:r>
    </w:p>
    <w:p w14:paraId="2D979642">
      <w:r>
        <w:rPr>
          <w:b/>
        </w:rPr>
        <w:t>3. 插头对接</w:t>
      </w:r>
      <w:r>
        <w:t>：位置补偿完成后，Z轴驱动气缸（型号SMC MGPM20-50Z，缸径20mm，行程50mm）通气，推动充电插头向前伸出（速度0.15m/s），插头导向销插入AGV接口导向孔，通过斜面接触实现最终对准，接触压力由压力传感器（型号Flintec LC601，精度±1%）实时监测，当压力达到50-80N时，气缸停止伸出，触发板压迫微动开关，发送对接完成信号。</w:t>
      </w:r>
    </w:p>
    <w:p w14:paraId="68F54812">
      <w:r>
        <w:rPr>
          <w:b/>
        </w:rPr>
        <w:t>4. 锁止与充电</w:t>
      </w:r>
      <w:r>
        <w:t>：PLC接收到对接完成信号后，控制电磁锁得电（DC24V），锁舌弹出插入插头锁孔，实现机械锁止；同时闭合主电路接触器，启动充电流程。充电完成后，电磁锁失电解锁，Z轴气缸缩回，带动插头脱离接口，X/Y轴机构复位至初始位置，等待下一次对接。整个对接过程无需人工干预，成功率≥99.5%（统计自某车间3个月运行数据，1000次对接仅4次失败，均为AGV停靠偏差超范围）。</w:t>
      </w:r>
    </w:p>
    <w:p w14:paraId="778F214F">
      <w:pPr>
        <w:pStyle w:val="4"/>
      </w:pPr>
      <w:r>
        <w:t>4.2 传动系统工作原理</w:t>
      </w:r>
    </w:p>
    <w:p w14:paraId="38F18976">
      <w:r>
        <w:t>传动系统是对接机构运动的动力执行单元，采用“伺服电机+滚珠丝杠+导轨”的驱动方案，实现高精度直线运动：</w:t>
      </w:r>
    </w:p>
    <w:p w14:paraId="27F3F3AE">
      <w:r>
        <w:rPr>
          <w:b/>
        </w:rPr>
        <w:t>X/Y轴传动组件</w:t>
      </w:r>
      <w:r>
        <w:t>：X轴与Y轴结构对称，均由伺服电机、行星减速器、滚珠丝杠、导轨滑块组成。伺服电机选用松下A6系列（功率400W，额定转速3000rpm），配备20位绝对值编码器（分辨率1,048,576 p/rev），实现位置闭环控制；减速器为行星齿轮式（减速比5:1，效率97%），输出轴通过联轴器与滚珠丝杠（直径15mm，导程5mm）连接，将电机旋转运动转换为滑块直线运动。导轨采用THK SR15直线导轨（精度等级H），配合滑块（预紧力C3级），承载对接机构重量（约15kg）并保证运动直线度（每米偏差≤0.02mm）。</w:t>
      </w:r>
    </w:p>
    <w:p w14:paraId="4DE6A214">
      <w:r>
        <w:rPr>
          <w:b/>
        </w:rPr>
        <w:t>Z轴传动组件</w:t>
      </w:r>
      <w:r>
        <w:t>：采用气动驱动，因Z轴仅需实现插头的伸出与缩回（单方向运动），气动方案成本低于电动且响应更快。气源来自车间压缩空气系统（压力0.5-0.7MPa），经三联件（过滤器、减压阀、油雾器）处理后进入气缸，减压阀将工作压力调至0.6MPa，确保气缸输出力稳定（约150N）。气缸配备磁性开关（型号SMC D-Z73），检测活塞位置（伸出到位/缩回到位），信号反馈至PLC，实现动作顺序控制。</w:t>
      </w:r>
    </w:p>
    <w:p w14:paraId="68F66EC7">
      <w:r>
        <w:rPr>
          <w:b/>
        </w:rPr>
        <w:t>传动精度保障</w:t>
      </w:r>
      <w:r>
        <w:t>：</w:t>
      </w:r>
    </w:p>
    <w:p w14:paraId="0DD70943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机械方面：丝杠与导轨平行度误差≤0.01mm/m，通过精密工装保证安装精度；滑块与丝杠螺母座刚性连接（采用4颗M4内六角螺栓，扭矩8N·m），消除连接间隙。</w:t>
      </w:r>
    </w:p>
    <w:p w14:paraId="3C0630C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控制方面：伺服电机采用位置环+速度环双闭环控制，位置环比例增益50-100%，积分时间常数0.1-0.5s，通过参数整定实现无超调定位（定位时间≤0.5秒，超调量≤2%）。</w:t>
      </w:r>
    </w:p>
    <w:p w14:paraId="4C98D063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润滑方面：丝杠与导轨每月加注锂基润滑脂（型号昆仑L-XBCH2），油膜厚度5-10μm，降低摩擦系数（≤0.001），减少运动阻力与磨损，延长使用寿命（预计传动系统寿命≥5万小时）。</w:t>
      </w:r>
    </w:p>
    <w:p w14:paraId="273883E7">
      <w:pPr>
        <w:pStyle w:val="4"/>
      </w:pPr>
      <w:r>
        <w:t>4.3 定位装置工作原理</w:t>
      </w:r>
    </w:p>
    <w:p w14:paraId="572868AF">
      <w:r>
        <w:t>定位装置是引导AGV精准停靠及对接机构补偿的关键，采用“激光导航+视觉辅助+机械精确定位”的多传感融合方案：</w:t>
      </w:r>
    </w:p>
    <w:p w14:paraId="0C9FFB79">
      <w:r>
        <w:rPr>
          <w:b/>
        </w:rPr>
        <w:t>激光导航定位</w:t>
      </w:r>
      <w:r>
        <w:t>：AGV车载激光雷达（型号SICK LMS111，扫描频率50Hz，角度分辨率0.5°）扫描充电桩周围布置的3个反光板（型号SICK RL31-6/25a/115，反射率≥90%），通过三角测量原理计算AGV相对充电桩的位置坐标（X,Y,θ）。反光板安装高度1.2m（与AGV激光雷达同高），间距1.5m，形成稳定的定位基准。当AGV进入充电区（距离充电桩3m范围内）时，导航系统切换至“充电区模式”，定位频率提升至100Hz，停位精度控制在±10mm（95%置信度）。</w:t>
      </w:r>
    </w:p>
    <w:p w14:paraId="6F69AD7B">
      <w:r>
        <w:rPr>
          <w:b/>
        </w:rPr>
        <w:t>视觉辅助定位</w:t>
      </w:r>
      <w:r>
        <w:t>：充电桩顶部安装工业相机（型号海康威视MV-CE013-50GM，分辨率1280×1024，帧率30fps），镜头焦距8mm，拍摄AGV顶部的AprilTag视觉标记（尺寸200×200mm，编码唯一）。通过图像识别算法（采用OpenCV库的AprilTag检测模块）计算标记中心点坐标与旋转角，获取AGV相对于充电桩的精确位置偏差（X/Y轴±0.5mm，旋转角±0.1°），作为激光定位的补充，进一步提升停靠精度。</w:t>
      </w:r>
    </w:p>
    <w:p w14:paraId="22C136F9">
      <w:r>
        <w:rPr>
          <w:b/>
        </w:rPr>
        <w:t>机械精确定位</w:t>
      </w:r>
      <w:r>
        <w:t>：AGV停靠后，充电桩底部弹出2根定位销（直径20mm，锥度1:50），插入AGV底盘的定位孔（直径22mm），通过锥形面配合消除剩余位置偏差（X/Y轴±0.5mm，旋转角±0.05°），实现毫米级精确定位。定位销由气缸驱动（行程30mm），插入到位后通过接近开关确认，确保机械锁合可靠。</w:t>
      </w:r>
    </w:p>
    <w:p w14:paraId="7061E1EE">
      <w:r>
        <w:t>三种定位方式协同工作：激光导航实现粗定位（±10mm），视觉辅助实现中定位（±0.5mm），机械定位实现精确定位（±0.05mm），共同保障对接机构的补偿精度，使插头对接成功率稳定在99.5%以上。</w:t>
      </w:r>
    </w:p>
    <w:p w14:paraId="60A46523">
      <w:pPr>
        <w:pStyle w:val="3"/>
      </w:pPr>
      <w:r>
        <w:t>五、控制系统原理</w:t>
      </w:r>
    </w:p>
    <w:p w14:paraId="6A61DBAA">
      <w:pPr>
        <w:pStyle w:val="4"/>
      </w:pPr>
      <w:r>
        <w:t>5.1 电池管理系统（BMS）原理</w:t>
      </w:r>
    </w:p>
    <w:p w14:paraId="162713C1">
      <w:r>
        <w:t>BMS是充电桩与AGV电池之间的“桥梁”，负责电池状态监测、充放电控制及安全保护，其核心功能通过硬件电路与软件算法实现：</w:t>
      </w:r>
    </w:p>
    <w:p w14:paraId="13F6F331">
      <w:r>
        <w:rPr>
          <w:b/>
        </w:rPr>
        <w:t>硬件组成</w:t>
      </w:r>
      <w:r>
        <w:t>：BMS主板采用STM32F407IGH6微控制器（主频168MHz，Flash 1MB），集成16路电压采集通道（精度±5mV）、8路温度采集通道（NTC传感器，测量范围-40-125℃）、1路电流采集通道（霍尔传感器，量程±300A，精度±1%）。通过CAN2.0B总线（速率250kbps，支持ISO 15765-4协议）与充电桩通信，传输电池参数与控制指令；通过SPI接口连接LCD显示屏，实时显示SOC、单体电压、温度等信息。</w:t>
      </w:r>
    </w:p>
    <w:p w14:paraId="767BAF66">
      <w:r>
        <w:rPr>
          <w:b/>
        </w:rPr>
        <w:t>状态监测功能</w:t>
      </w:r>
      <w:r>
        <w:t>：</w:t>
      </w:r>
    </w:p>
    <w:p w14:paraId="3F47FD5F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SOC估算：采用安时积分法结合开路电压修正，基础公式SOC=SOC0+(∫Idt)/Cn，其中SOC0为初始SOC，I为充放电电流，Cn为额定容量。每小时通过开路电压（电池静置10分钟后测量）修正SOC偏差，确保估算精度±2%。</w:t>
      </w:r>
    </w:p>
    <w:p w14:paraId="2B2EE15E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单体电压均衡：当单体电池电压差超过50mV时，启动被动均衡（通过并联电阻放电），均衡电流100mA，直至电压差≤20mV，防止单体过充过放导致的电池组寿命衰减。</w:t>
      </w:r>
    </w:p>
    <w:p w14:paraId="197370D4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温度监测：8个NTC传感器分布于电池组不同位置，监测环境温度与单体温度，当任意温度超过55℃时，发送降温请求至充电桩。</w:t>
      </w:r>
    </w:p>
    <w:p w14:paraId="32782A93">
      <w:r>
        <w:rPr>
          <w:b/>
        </w:rPr>
        <w:t>充放电控制逻辑</w:t>
      </w:r>
      <w:r>
        <w:t>：BMS根据电池状态动态调整充电参数：</w:t>
      </w:r>
    </w:p>
    <w:p w14:paraId="1229F2C1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预充阶段：当电池电压＜3.0V（单体）时，允许充电桩以0.1C电流充电，直至电压≥3.0V。</w:t>
      </w:r>
    </w:p>
    <w:p w14:paraId="0AB8BD94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恒流阶段：电压≥3.0V且＜3.65V时，允许2C电流充电，同时监测温度，温度＞45℃时限制电流至1C。</w:t>
      </w:r>
    </w:p>
    <w:p w14:paraId="543FA31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恒压阶段：电压≥3.65V时，允许充电桩转入恒压充电（电压3.65V/单体），电流逐渐减小，当电流≤0.05C时，发送充电完成信号。</w:t>
      </w:r>
    </w:p>
    <w:p w14:paraId="1BFA141B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过放保护：放电过程中电压＜2.5V/单体时，切断放电回路，防止电池过度放电导致极板损坏。</w:t>
      </w:r>
    </w:p>
    <w:p w14:paraId="7D24AD63">
      <w:r>
        <w:t>BMS与充电桩的通信采用请求-响应机制：充电桩发送参数请求报文（0x1806E5F4），BMS返回包含SOC、电压、温度的响应报文（0x1805F4E5），通信周期100ms，超时3次（300ms）判定通信故障，充电桩停止充电并报警。</w:t>
      </w:r>
    </w:p>
    <w:p w14:paraId="4B38FD22">
      <w:pPr>
        <w:pStyle w:val="4"/>
      </w:pPr>
      <w:r>
        <w:t>5.2 通信协议与数据交互</w:t>
      </w:r>
    </w:p>
    <w:p w14:paraId="44B97778">
      <w:r>
        <w:t>充电桩与外部系统的通信采用多层协议架构，确保数据传输的实时性与可靠性：</w:t>
      </w:r>
    </w:p>
    <w:p w14:paraId="59A2D61D">
      <w:r>
        <w:rPr>
          <w:b/>
        </w:rPr>
        <w:t>物理层</w:t>
      </w:r>
      <w:r>
        <w:t>：支持有线与无线两种方式：</w:t>
      </w:r>
    </w:p>
    <w:p w14:paraId="60F47C94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有线通信：采用RS485总线（半双工，速率115200bps，传输距离≤1200m）或工业以太网（PROFINET，速率100Mbps，传输距离≤100m），接口采用M12圆形连接器（5芯，防护等级IP67），支持热插拔。</w:t>
      </w:r>
    </w:p>
    <w:p w14:paraId="12C8CD80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无线通信：选配Wi-Fi模块（IEEE 802.11b/g/n，2.4GHz频段，传输速率≥150Mbps）或5G模块（Sub-6GHz频段，下行速率≥300Mbps），适用于不便布线的场景，通信延迟≤200ms，丢包率≤1%（信号强度≥-70dBm时）。</w:t>
      </w:r>
    </w:p>
    <w:p w14:paraId="4571631E">
      <w:r>
        <w:rPr>
          <w:b/>
        </w:rPr>
        <w:t>数据链路层</w:t>
      </w:r>
      <w:r>
        <w:t>：RS485采用Modbus RTU协议，数据帧格式：起始位1位，数据位8位，停止位1位，无校验，地址码1-247，功能码03（读保持寄存器）、06（写单个寄存器）、16（写多个寄存器）。例如读取充电桩状态（寄存器地址0x0000-0x000F），发送报文01 03 00 00 00 10 44 09，其中01为从站地址，03为功能码，00 00为起始地址，00 10为寄存器数量，44 09为CRC校验。</w:t>
      </w:r>
    </w:p>
    <w:p w14:paraId="4664687B">
      <w:r>
        <w:rPr>
          <w:b/>
        </w:rPr>
        <w:t>应用层</w:t>
      </w:r>
      <w:r>
        <w:t>：采用自定义协议与AGV调度系统通信，报文格式包含帧头（0xAA）、长度（1字节）、设备地址（1字节）、命令码（1字节）、数据段（N字节）、校验和（1字节）、帧尾（0x55）。常用命令码：</w:t>
      </w:r>
    </w:p>
    <w:p w14:paraId="38392207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0x01：充电请求（数据段包含AGV编号、电池类型、额定容量）</w:t>
      </w:r>
    </w:p>
    <w:p w14:paraId="066940B3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0x02：充电响应（数据段包含充电桩编号、是否空闲、预计充电时间）</w:t>
      </w:r>
    </w:p>
    <w:p w14:paraId="484F89B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0x03：状态上报（数据段包含充电状态、SOC、故障代码）</w:t>
      </w:r>
    </w:p>
    <w:p w14:paraId="28E37CEE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0x04：控制指令（数据段包含启动/停止充电、电流限制）</w:t>
      </w:r>
    </w:p>
    <w:p w14:paraId="66F63B3B">
      <w:r>
        <w:rPr>
          <w:b/>
        </w:rPr>
        <w:t>协议兼容性保障</w:t>
      </w:r>
      <w:r>
        <w:t>：充电桩支持协议固件升级，通过U盘或远程OTA更新通信模块程序，适配不同品牌AGV的BMS协议（如丰田、永恒力、科朗专用协议）。出厂前进行协议一致性测试，模拟1000次通信交互，确保无丢包、错包，响应时间≤200ms。</w:t>
      </w:r>
    </w:p>
    <w:p w14:paraId="2D247C9D">
      <w:pPr>
        <w:pStyle w:val="4"/>
      </w:pPr>
      <w:r>
        <w:t>5.3 智能调度控制逻辑</w:t>
      </w:r>
    </w:p>
    <w:p w14:paraId="3C1E6A81">
      <w:r>
        <w:t>智能调度系统是实现多AGV协同充电的核心，运行于车间MES服务器（采用西门子SIMATIC IPC427E），通过工业以太网与充电桩、AGV通信，调度逻辑基于“任务优先级-电量状态-资源优化”三维决策模型：</w:t>
      </w:r>
    </w:p>
    <w:p w14:paraId="53A23830">
      <w:r>
        <w:rPr>
          <w:b/>
        </w:rPr>
        <w:t>任务优先级评估</w:t>
      </w:r>
      <w:r>
        <w:t>：系统根据AGV当前任务工单的紧急度（由ERP系统下发，分为P0-P3四级，P0最高）、剩余任务量（未完成搬运次数）、距离充电区距离，计算综合优先级P：</w:t>
      </w:r>
    </w:p>
    <w:p w14:paraId="60B72B45">
      <w:r>
        <w:t>P=0.5×P_task+0.3×(1-N_remain/N_total)+0.2×(1-D/D_max)</w:t>
      </w:r>
    </w:p>
    <w:p w14:paraId="5B257F14">
      <w:r>
        <w:t>其中P_task为任务紧急度得分（P0=1.0，P1=0.8，P2=0.5，P3=0.2），N_remain/N_total为剩余任务占比，D/D_max为距离充电区归一化距离。优先级P越高的AGV，优先获得充电资源。</w:t>
      </w:r>
    </w:p>
    <w:p w14:paraId="0546DB57">
      <w:r>
        <w:rPr>
          <w:b/>
        </w:rPr>
        <w:t>充电需求判断</w:t>
      </w:r>
      <w:r>
        <w:t>：系统实时采集AGV的SOC与任务信息，满足以下条件之一时触发充电请求：</w:t>
      </w:r>
    </w:p>
    <w:p w14:paraId="222DD249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SOC≤30%且无紧急任务（P_task≤P1）</w:t>
      </w:r>
    </w:p>
    <w:p w14:paraId="19823725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SOC≤50%且有紧急任务（P_task=P0）</w:t>
      </w:r>
    </w:p>
    <w:p w14:paraId="56D00794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任务完成且SOC≤70%（返回待命区途中充电）</w:t>
      </w:r>
    </w:p>
    <w:p w14:paraId="4D52575A">
      <w:r>
        <w:rPr>
          <w:b/>
        </w:rPr>
        <w:t>充电桩资源分配</w:t>
      </w:r>
      <w:r>
        <w:t>：当多个AGV同时请求充电时，系统执行以下分配流程：</w:t>
      </w:r>
    </w:p>
    <w:p w14:paraId="5EBD9406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筛选空闲充电桩（状态=待机，无故障），计算每个充电桩到各AGV的距离（基于车间电子地图的A*算法路径长度）。</w:t>
      </w:r>
    </w:p>
    <w:p w14:paraId="560936BE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构建AGV-充电桩匹配矩阵，以“总移动距离最小+优先级最高AGV优先”为目标，采用匈牙利算法求解最优分配方案。</w:t>
      </w:r>
    </w:p>
    <w:p w14:paraId="6C03A04B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向AGV发送充电路径指令（包含途经点坐标、行驶速度限制），向充电桩发送准备指令（预启动充电模块、调整对接机构初始位置）。</w:t>
      </w:r>
    </w:p>
    <w:p w14:paraId="2B219E56">
      <w:r>
        <w:rPr>
          <w:b/>
        </w:rPr>
        <w:t>动态调整机制</w:t>
      </w:r>
      <w:r>
        <w:t>：若充电过程中出现高优先级AGV（P0级）请求充电，系统判断当前充电AGV的剩余充电时间T_remain与高优先级AGV的需求充电时间T_need：</w:t>
      </w:r>
    </w:p>
    <w:p w14:paraId="6F415408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若T_remain≥T_need，暂停当前充电，调度高优先级AGV充电，完成后恢复原AGV充电。</w:t>
      </w:r>
    </w:p>
    <w:p w14:paraId="72AED5E8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若T_remain＜T_need，允许当前AGV继续充电，为高优先级AGV分配其他空闲充电桩或等待。</w:t>
      </w:r>
    </w:p>
    <w:p w14:paraId="264438D9">
      <w:r>
        <w:t>某干变绕线车间应用该调度系统后，多AGV充电冲突率从15%降至3%，平均充电等待时间从25分钟缩短至8分钟，车间日均产能提升12%。</w:t>
      </w:r>
    </w:p>
    <w:p w14:paraId="353D841D">
      <w:pPr>
        <w:pStyle w:val="4"/>
      </w:pPr>
      <w:r>
        <w:t>5.4 硬件控制实现</w:t>
      </w:r>
    </w:p>
    <w:p w14:paraId="0E274E31">
      <w:r>
        <w:t>充电桩控制系统硬件以PLC为核心，构建“感知-决策-执行”闭环控制回路，硬件组成如下：</w:t>
      </w:r>
    </w:p>
    <w:p w14:paraId="6172525A">
      <w:r>
        <w:rPr>
          <w:b/>
        </w:rPr>
        <w:t>核心控制器</w:t>
      </w:r>
      <w:r>
        <w:t>：选用西门子S7-1214C DC/DC/DC PLC，配备14输入/10输出数字量I/O（24VDC，输入电流7mA，输出电流0.5A），2路模拟量输入（0-10V，12位精度），1路模拟量输出（0-10V）。通过扩展模块EM DT32增加16路数字量输入，EM QT16增加16路数字量输出，满足传感器与执行器接口需求。PLC工作温度-25-70℃，适合车间环境，平均无故障工作时间（MTBF）≥10万小时。</w:t>
      </w:r>
    </w:p>
    <w:p w14:paraId="4F75D9AE">
      <w:r>
        <w:rPr>
          <w:b/>
        </w:rPr>
        <w:t>传感器层</w:t>
      </w:r>
      <w:r>
        <w:t>：</w:t>
      </w:r>
    </w:p>
    <w:p w14:paraId="748D94DE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位置传感器：X/Y轴伺服电机内置编码器（20位绝对值），实时反馈对接机构位置；Z轴气缸磁性开关（SMC D-Z73）检测伸出/缩回到位。</w:t>
      </w:r>
    </w:p>
    <w:p w14:paraId="5C449AA9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接近传感器：Omron E3Z光电传感器（检测距离50mm，NPN输出）用于AGV到位检测；电感式接近开关（型号Turck Ni4-M12-AP6X）检测插头锁止状态。</w:t>
      </w:r>
    </w:p>
    <w:p w14:paraId="24AA6797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模拟量传感器：压力传感器（Flintec LC601）检测对接接触压力；温度传感器（PT100，精度A级）检测充电模块温度；电流/电压变送器（型号SINEAX A500）检测充放电参数。</w:t>
      </w:r>
    </w:p>
    <w:p w14:paraId="121A71A6">
      <w:r>
        <w:rPr>
          <w:b/>
        </w:rPr>
        <w:t>执行器层</w:t>
      </w:r>
      <w:r>
        <w:t>：</w:t>
      </w:r>
    </w:p>
    <w:p w14:paraId="65C32368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伺服驱动器：松下MADHT1507E驱动X/Y轴伺服电机，接收PLC脉冲指令（脉冲频率0-200kHz），控制电机转速与位置，支持位置、速度、扭矩三种控制模式。</w:t>
      </w:r>
    </w:p>
    <w:p w14:paraId="0637AEE3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接触器：主电路采用LC1D200Q7C交流接触器（额定电流200A，AC380V线圈），控制充电主回路通断；辅助电路采用LC1D12Q7C接触器（12A）控制电磁锁、风扇等。</w:t>
      </w:r>
    </w:p>
    <w:p w14:paraId="5ACF6CA0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电磁阀：SMC SY5120-5LZD-01电磁阀（DC24V）控制Z轴气缸伸缩；二位五通电磁阀控制定位销气缸。</w:t>
      </w:r>
    </w:p>
    <w:p w14:paraId="2EB76F1D">
      <w:r>
        <w:rPr>
          <w:b/>
        </w:rPr>
        <w:t>人机交互层</w:t>
      </w:r>
      <w:r>
        <w:t>：7英寸昆仑通态TPC7062Ti触摸屏，分辨率800×480，亮度300cd/m²，支持电阻触摸。界面包含主控页面（显示充电状态、参数）、参数设置页面（调整充放电阈值、PID参数）、故障诊断页面（显示历史故障记录、处理建议）、I/O监控页面（实时显示传感器与输出状态）。</w:t>
      </w:r>
    </w:p>
    <w:p w14:paraId="0CD5C594">
      <w:r>
        <w:rPr>
          <w:b/>
        </w:rPr>
        <w:t>控制逻辑实现</w:t>
      </w:r>
      <w:r>
        <w:t>：PLC程序采用结构化编程（ST语言），分为主程序OB1、初始化组织块OB100、中断组织块OB35（100ms周期）。主程序实现状态机控制，包含待机、AGV到位、位置补偿、对接、充电、脱离、复位等状态，通过状态转移条件（传感器信号、通信指令）实现流程切换。中断程序OB35实现定时任务：读取模拟量传感器（压力、温度、电流电压），执行PID调节算法（控制充电电流），与触摸屏数据交换。</w:t>
      </w:r>
    </w:p>
    <w:p w14:paraId="0DD6EED9">
      <w:r>
        <w:t>PID调节算法用于恒流/恒压充电控制：以恒流阶段为例，设定值SP为目标电流（如200A），过程值PV为电流传感器反馈值，通过PID控制器计算输出控制量MV（0-10V模拟量），调节充电模块的PWM占空比，使PV跟踪SP，比例增益Kp=0.5，积分时间Ti=0.2s，微分时间Td=0.05s，确保动态响应时间≤500ms，超调量≤5%。</w:t>
      </w:r>
    </w:p>
    <w:p w14:paraId="4CFC3439">
      <w:pPr>
        <w:pStyle w:val="3"/>
      </w:pPr>
      <w:r>
        <w:t>六、常见故障与维护对策</w:t>
      </w:r>
    </w:p>
    <w:p w14:paraId="0C438EA4">
      <w:pPr>
        <w:pStyle w:val="4"/>
      </w:pPr>
      <w:r>
        <w:t>6.1 故障类型与成因分析</w:t>
      </w:r>
    </w:p>
    <w:p w14:paraId="693DF81F">
      <w:r>
        <w:t>干变绕线车间叉车AGV充电桩常见故障可分为硬件故障、软件故障、通信故障三类，具体类型及成因如下：</w:t>
      </w:r>
    </w:p>
    <w:p w14:paraId="7C3A73FD">
      <w:r>
        <w:rPr>
          <w:b/>
        </w:rPr>
        <w:t>硬件故障</w:t>
      </w:r>
      <w:r>
        <w:t>（占比约65%）：</w:t>
      </w:r>
    </w:p>
    <w:p w14:paraId="30C3FE9A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充电插头氧化/变形</w:t>
      </w:r>
      <w:r>
        <w:t>：表现为充电接触不良（电流波动＞±5%）、接口过热（温度＞80℃），成因是车间金属粉尘（铜/铝屑）附着于插头表面，长期未清理形成氧化层；或AGV对接时位置偏差过大，导致插头机械变形（常见于导向销弯曲）。</w:t>
      </w:r>
    </w:p>
    <w:p w14:paraId="65FCE9FE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充电模块无输出</w:t>
      </w:r>
      <w:r>
        <w:t>：表现为启动充电后无电压输出，触摸屏显示“模块故障”，成因包括模块内部IGBT烧毁（过流导致）、整流桥损坏（电网电压浪涌）、散热风扇堵塞（粉尘积累导致散热不良，模块过热保护）。</w:t>
      </w:r>
    </w:p>
    <w:p w14:paraId="1D010A67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BMS主板损坏</w:t>
      </w:r>
      <w:r>
        <w:t>：表现为无法通信、SOC显示异常（跳变范围＞10%），成因包括主板电容鼓包（高温环境下电解液干涸）、芯片引脚腐蚀（潮湿环境导致PCB板氧化）、程序存储器故障（固件丢失）。</w:t>
      </w:r>
    </w:p>
    <w:p w14:paraId="039F684B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传动系统卡滞</w:t>
      </w:r>
      <w:r>
        <w:t>：表现为X/Y轴补偿时异响（噪音＞75dB）、运动卡顿（定位时间＞2秒），成因是导轨/丝杠缺油（润滑周期超过3个月）、滑杆变形（撞击导致弯曲）、轴承磨损（运行时间超5000小时）。</w:t>
      </w:r>
    </w:p>
    <w:p w14:paraId="27708AAA">
      <w:r>
        <w:rPr>
          <w:b/>
        </w:rPr>
        <w:t>软件故障</w:t>
      </w:r>
      <w:r>
        <w:t>（占比约20%）：</w:t>
      </w:r>
    </w:p>
    <w:p w14:paraId="298E552D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BMS固件版本过旧</w:t>
      </w:r>
      <w:r>
        <w:t>：表现为充电参数错误（如恒压阶段电压设置过高）、电量误报（SOC从30%骤升至80%），成因是未及时更新固件，不支持新型号电池的充电曲线（如磷酸铁锂电池BMS用铅酸电池固件）。</w:t>
      </w:r>
    </w:p>
    <w:p w14:paraId="2D559EEE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PLC程序bug</w:t>
      </w:r>
      <w:r>
        <w:t>：表现为充电流程中断（如恒流阶段突然停止）、状态机卡死（停留在“对接中”状态），成因是程序逻辑漏洞（如未考虑传感器信号抖动）、变量溢出（计数器未清零）。</w:t>
      </w:r>
    </w:p>
    <w:p w14:paraId="3C439C06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参数配置错误</w:t>
      </w:r>
      <w:r>
        <w:t>：表现为充电电流/电压与电池不匹配（如为48V电池设置54V充电电压），成因是维护人员误操作修改参数（如误触触摸屏参数设置页面）、更换电池型号后未重新配置参数。</w:t>
      </w:r>
    </w:p>
    <w:p w14:paraId="0EFAE16A">
      <w:r>
        <w:rPr>
          <w:b/>
        </w:rPr>
        <w:t>通信故障</w:t>
      </w:r>
      <w:r>
        <w:t>（占比约15%）：</w:t>
      </w:r>
    </w:p>
    <w:p w14:paraId="206DD3C6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CAN总线通信中断</w:t>
      </w:r>
      <w:r>
        <w:t>：表现为BMS与充电桩无法交互数据，触摸屏显示“BMS通讯超时”，成因包括CAN总线终端电阻未接（标准120Ω）、总线A/B线接反、接口松动（振动导致插头接触不良）。</w:t>
      </w:r>
    </w:p>
    <w:p w14:paraId="0DBCFFA1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无线信号弱</w:t>
      </w:r>
      <w:r>
        <w:t>：表现为调度系统与充电桩数据传输延迟＞1秒、丢包率＞5%，成因是车间金属货架遮挡无线信号（信号强度从-60dBm降至-90dBm）、AP接入点数量不足（覆盖半径＞30m）、电磁干扰（焊接设备产生的射频干扰）。</w:t>
      </w:r>
    </w:p>
    <w:p w14:paraId="5DD17781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协议不匹配</w:t>
      </w:r>
      <w:r>
        <w:t>：表现为充电桩无法识别AGV的BMS协议，通信报文无响应，成因是AGV与充电桩协议版本不一致（如AGV支持ISO 15765-4，充电桩支持SAE J1939）、自定义协议数据格式变更（如报文长度从8字节改为12字节）。</w:t>
      </w:r>
    </w:p>
    <w:p w14:paraId="55A3A314">
      <w:pPr>
        <w:pStyle w:val="4"/>
      </w:pPr>
      <w:r>
        <w:t>6.2 故障诊断方法</w:t>
      </w:r>
    </w:p>
    <w:p w14:paraId="0D9D72E7">
      <w:r>
        <w:t>充电桩故障诊断采用“故障代码解读-分层排查-工具验证”的标准化流程：</w:t>
      </w:r>
    </w:p>
    <w:p w14:paraId="3E3FDC28">
      <w:r>
        <w:rPr>
          <w:b/>
        </w:rPr>
        <w:t>故障代码解读</w:t>
      </w:r>
      <w:r>
        <w:t>：充电桩触摸屏“故障诊断”页面显示故障代码，格式为“F+数字+字母”，前两位数字表示故障大类，后一位字母表示具体原因：</w:t>
      </w:r>
    </w:p>
    <w:p w14:paraId="2D07A507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F01X</w:t>
      </w:r>
      <w:r>
        <w:t>（充电模块故障）：F01A（输入过压）、F01B（输出过流）、F01C（模块过温）、F01D（无输出）。</w:t>
      </w:r>
    </w:p>
    <w:p w14:paraId="73C7B6FC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F02X</w:t>
      </w:r>
      <w:r>
        <w:t>（对接机构故障）：F02A（X轴定位失败）、F02B（Y轴补偿超时）、F02C（Z轴气缸未到位）、F02D（插头锁止失败）。</w:t>
      </w:r>
    </w:p>
    <w:p w14:paraId="254BB884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F03X</w:t>
      </w:r>
      <w:r>
        <w:t>（通信故障）：F03A（CAN总线超时）、F03B（无线信号弱）、F03C（协议不匹配）、F03D（IP地址冲突）。</w:t>
      </w:r>
    </w:p>
    <w:p w14:paraId="4324D8EB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F04X</w:t>
      </w:r>
      <w:r>
        <w:t>（BMS故障）：F04A（SOC异常）、F04B（单体电压不均衡）、F04C（温度过高）、F04D（电池过放）。</w:t>
      </w:r>
    </w:p>
    <w:p w14:paraId="70DE0AE5">
      <w:r>
        <w:rPr>
          <w:b/>
        </w:rPr>
        <w:t>分层排查法</w:t>
      </w:r>
      <w:r>
        <w:t>：以“充电中断（故障代码F01D）”为例，排查流程如下：</w:t>
      </w:r>
    </w:p>
    <w:p w14:paraId="192007E3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物理层检查</w:t>
      </w:r>
      <w:r>
        <w:t>：查看充电桩输入空开是否跳闸，测量输入电压（AC380V±10%为正常）；检查充电模块直流输出端子（+DC/-DC）有无松动（扭矩应≥2.5N·m），电缆有无破损。</w:t>
      </w:r>
    </w:p>
    <w:p w14:paraId="103A8E7C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电气层检测</w:t>
      </w:r>
      <w:r>
        <w:t>：使用万用表测量充电模块输入端电压（正常380V），若电压正常，断开模块与主电路连接，单独给模块加电（AC220V），测量输出电压（应为DC48V/72V），无输出则判定模块损坏。</w:t>
      </w:r>
    </w:p>
    <w:p w14:paraId="04E50AA3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控制层验证</w:t>
      </w:r>
      <w:r>
        <w:t>：用PLC编程软件（TIA Portal）连接控制器，监控模块启动信号（Q0.0）是否为1，若信号正常但模块不启动，检查模块使能端子（ENA）电压（应为DC24V），无电压则排查控制回路熔断器（1A保险管）。</w:t>
      </w:r>
    </w:p>
    <w:p w14:paraId="0E0C6BC6">
      <w:r>
        <w:rPr>
          <w:b/>
        </w:rPr>
        <w:t>检测工具使用</w:t>
      </w:r>
      <w:r>
        <w:t>：</w:t>
      </w:r>
    </w:p>
    <w:p w14:paraId="54A43E7F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万用表</w:t>
      </w:r>
      <w:r>
        <w:t>：测量输入/输出电压（直流电压档，精度±0.5%）、回路通断（电阻档，＜1Ω为导通）、接地电阻（需配合接地电阻测试仪，≤4Ω为合格）。</w:t>
      </w:r>
    </w:p>
    <w:p w14:paraId="32D988E6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示波器</w:t>
      </w:r>
      <w:r>
        <w:t>：监测充电模块PWM波形（频率50kHz±5%，占空比0-90%可调），异常波形（如畸变、缺失）提示模块控制板故障。</w:t>
      </w:r>
    </w:p>
    <w:p w14:paraId="5BC31F18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CAN总线分析仪</w:t>
      </w:r>
      <w:r>
        <w:t>（如周立功USBCAN-II）：连接CAN总线，抓取通信报文，若报文ID错误或数据域异常，提示协议不匹配；若无报文发送，检查总线物理层（A/B线电压差2.5V±0.5V）。</w:t>
      </w:r>
    </w:p>
    <w:p w14:paraId="172E5ECD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红外测温仪</w:t>
      </w:r>
      <w:r>
        <w:t>：检测插头、电缆接头温度（正常≤60℃），温度过高提示接触不良或过载。</w:t>
      </w:r>
    </w:p>
    <w:p w14:paraId="35EE4DE1">
      <w:pPr>
        <w:pStyle w:val="4"/>
      </w:pPr>
      <w:r>
        <w:t>6.3 定期维护计划</w:t>
      </w:r>
    </w:p>
    <w:p w14:paraId="43ED30EC">
      <w:r>
        <w:t>为预防故障发生，需制定标准化定期维护计划，具体内容如下：</w:t>
      </w:r>
    </w:p>
    <w:p w14:paraId="295BF559">
      <w:r>
        <w:rPr>
          <w:b/>
        </w:rPr>
        <w:t>日常检查</w:t>
      </w:r>
      <w:r>
        <w:t>（每日，由车间操作工执行）：</w:t>
      </w:r>
    </w:p>
    <w:p w14:paraId="3C884D4A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外观检查：充电桩壳体无变形、掉漆，指示灯显示正常（待机绿灯常亮），急停按钮未被按下。</w:t>
      </w:r>
    </w:p>
    <w:p w14:paraId="28E7C9CB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接口清洁：用干燥抹布擦拭充电插头，去除表面粉尘；检查插头导向销无弯曲，接口内无异物（如金属屑）。</w:t>
      </w:r>
    </w:p>
    <w:p w14:paraId="078B70E5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充电区环境：清理充电桩周围0.5m内杂物，地面导向标识清晰（无磨损、褪色）。</w:t>
      </w:r>
    </w:p>
    <w:p w14:paraId="711E7434">
      <w:r>
        <w:rPr>
          <w:b/>
        </w:rPr>
        <w:t>每周维护</w:t>
      </w:r>
      <w:r>
        <w:t>（每周一，由设备维护工执行）：</w:t>
      </w:r>
    </w:p>
    <w:p w14:paraId="1A80DB37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功能测试：启动充电桩自检程序（触摸屏“维护”→“自检”），检查各状态指示灯、蜂鸣器、接触器动作是否正常。</w:t>
      </w:r>
    </w:p>
    <w:p w14:paraId="430B4B0E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电缆检查：目测充电电缆有无破损、老化（绝缘层开裂、颜色变深），弯曲处无明显折痕，固定卡箍牢固（间距≤1m）。</w:t>
      </w:r>
    </w:p>
    <w:p w14:paraId="28CA1030">
      <w:r>
        <w:rPr>
          <w:b/>
        </w:rPr>
        <w:t>每月维护</w:t>
      </w:r>
      <w:r>
        <w:t>（每月最后一个周五，由设备工程师执行）：</w:t>
      </w:r>
    </w:p>
    <w:p w14:paraId="64275A56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润滑保养：X/Y轴导轨、丝杠加注锂基润滑脂（型号昆仑L-XBCH2），用量以覆盖导轨表面1-2mm为宜；Z轴气缸活塞杆涂抹防锈油（型号WD-40）。</w:t>
      </w:r>
    </w:p>
    <w:p w14:paraId="16B447BC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电气参数检测：测量充电模块输出电压（48V±1%）、电流（100A时波动≤±2A）；校准SOC显示（与BMS上报值偏差≤2%）。</w:t>
      </w:r>
    </w:p>
    <w:p w14:paraId="6477CE35">
      <w:r>
        <w:rPr>
          <w:b/>
        </w:rPr>
        <w:t>每季度维护</w:t>
      </w:r>
      <w:r>
        <w:t>（每3个月，由设备工程师执行）：</w:t>
      </w:r>
    </w:p>
    <w:p w14:paraId="30F28672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深度清洁：拆开控制舱门，用压缩空气（压力0.4MPa）吹扫内部灰尘，重点清理散热风扇滤网（棉絮、粉尘积累）；用软毛刷清洁触摸屏表面，去除油污。</w:t>
      </w:r>
    </w:p>
    <w:p w14:paraId="4B28DEB0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传感器校准：使用激光干涉仪校准X/Y轴定位精度（允许误差±0.02mm），超差时通过PLC参数补偿（修改电子齿轮比）。</w:t>
      </w:r>
    </w:p>
    <w:p w14:paraId="632C6F31">
      <w:r>
        <w:rPr>
          <w:b/>
        </w:rPr>
        <w:t>年度维护</w:t>
      </w:r>
      <w:r>
        <w:t>（每年12月，由厂家技术人员配合执行）：</w:t>
      </w:r>
    </w:p>
    <w:p w14:paraId="78D023F8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模块性能测试：满负荷运行充电模块（200A@48V）4小时，监测模块温度（≤65℃）、输出稳定性（电压波动≤±1%），性能下降超10%的模块需更换。</w:t>
      </w:r>
    </w:p>
    <w:p w14:paraId="4045A365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软件升级：更新PLC程序（修复已知bug）、BMS固件（支持新型电池管理算法）、触摸屏界面（优化操作体验）。</w:t>
      </w:r>
    </w:p>
    <w:p w14:paraId="0AA1FD2B">
      <w:r>
        <w:t>维护完成后填写《充电桩维护记录表》，记录维护项目、检测数据、更换部件型号，存档备查，作为设备生命周期管理依据。</w:t>
      </w:r>
    </w:p>
    <w:p w14:paraId="54F45D3E">
      <w:pPr>
        <w:pStyle w:val="4"/>
      </w:pPr>
      <w:r>
        <w:t>6.4 应急处理与预防措施</w:t>
      </w:r>
    </w:p>
    <w:p w14:paraId="1403EEB1">
      <w:r>
        <w:t>针对突发故障，需制定应急处理流程，同时采取预防措施降低故障发生率：</w:t>
      </w:r>
    </w:p>
    <w:p w14:paraId="3E6A1BBC">
      <w:r>
        <w:rPr>
          <w:b/>
        </w:rPr>
        <w:t>常见故障应急处理</w:t>
      </w:r>
      <w:r>
        <w:t>：</w:t>
      </w:r>
    </w:p>
    <w:p w14:paraId="1895EB88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充电中断（模块故障）</w:t>
      </w:r>
      <w:r>
        <w:t>：立即停止充电，将AGV调度至备用充电桩；若所有充电桩故障，启用手动充电枪（需配备2套，额定电流200A），连接AGV电池应急充电（充电时间延长至3-4小时）。</w:t>
      </w:r>
    </w:p>
    <w:p w14:paraId="6DBF6AB8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对接失败（机械卡滞）</w:t>
      </w:r>
      <w:r>
        <w:t>：按下充电桩急停按钮，手动复位X/Y轴机构（松开伺服电机抱闸，用手推动滑杆至初始位置）；检查导轨有无异物（如金属屑卡住滑块），清理后重试对接。</w:t>
      </w:r>
    </w:p>
    <w:p w14:paraId="3AA76C1A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通信中断（无法调度）</w:t>
      </w:r>
      <w:r>
        <w:t>：切换至本地模式（触摸屏“手动控制”页面），手动启动充电；检查车间工业以太网交换机状态，重启交换机恢复网络（通常需2-3分钟）。</w:t>
      </w:r>
    </w:p>
    <w:p w14:paraId="495F38A0">
      <w:r>
        <w:rPr>
          <w:b/>
        </w:rPr>
        <w:t>预防措施</w:t>
      </w:r>
      <w:r>
        <w:t>：</w:t>
      </w:r>
    </w:p>
    <w:p w14:paraId="6D1CE66F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环境控制</w:t>
      </w:r>
      <w:r>
        <w:t>：在充电桩控制舱安装小型除湿机（日除湿量10L），维持舱内湿度40%-60%RH，防止电气元件受潮；机械舱加装防尘滤网（孔径≤10μm），每月更换，减少粉尘进入。</w:t>
      </w:r>
    </w:p>
    <w:p w14:paraId="092EED1F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操作规范培训</w:t>
      </w:r>
      <w:r>
        <w:t>：对AGV操作工进行培训，明确充电区停靠规则（速度≤0.2m/s，停靠偏差≤±10mm）；禁止非维护人员操作触摸屏参数设置页面（设置密码保护，权限分级管理）。</w:t>
      </w:r>
    </w:p>
    <w:p w14:paraId="4F00B3E6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定期校准与更换</w:t>
      </w:r>
      <w:r>
        <w:t>：充电模块每3年进行一次性能校准，超差模块及时更换；充电插头每2年强制更换（即使外观良好），避免隐性氧化导致接触不良。</w:t>
      </w:r>
    </w:p>
    <w:p w14:paraId="7B742FFF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备品备件储备</w:t>
      </w:r>
      <w:r>
        <w:t>：储备关键备件（充电模块2块、插头3个、伺服电机1台、PLC控制器1台），备件库温湿度控制在20±5℃、50±10%RH，保质期内更换，确保故障时可快速替换。</w:t>
      </w:r>
    </w:p>
    <w:p w14:paraId="4835CC96">
      <w:r>
        <w:t>某干变车间实施上述措施后，充电桩故障率从月均8次降至2次，平均故障修复时间（MTTR）从2小时缩短至30分钟，保障了车间生产连续性。</w:t>
      </w:r>
    </w:p>
    <w:p w14:paraId="269DDBAD">
      <w:pPr>
        <w:pStyle w:val="4"/>
      </w:pPr>
      <w:r>
        <w:t>6.5 寿命延长策略</w:t>
      </w:r>
    </w:p>
    <w:p w14:paraId="120F36AF">
      <w:r>
        <w:t>通过科学管理与技术优化，可延长充电桩使用寿命（设计寿命8年，优化后可达10年以上），具体策略如下：</w:t>
      </w:r>
    </w:p>
    <w:p w14:paraId="70030189">
      <w:r>
        <w:rPr>
          <w:b/>
        </w:rPr>
        <w:t>电池管理优化</w:t>
      </w:r>
      <w:r>
        <w:t>：</w:t>
      </w:r>
    </w:p>
    <w:p w14:paraId="22C7B8EF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避免深度充放电：设置充电截止SOC为90%（而非100%），放电截止SOC为20%（而非0%），减少电池循环损耗，实验数据显示该措施可使电池循环寿命延长50%。</w:t>
      </w:r>
    </w:p>
    <w:p w14:paraId="57EB947A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闲置电池维护：AGV长期停用（超过1周）时，将电池SOC充至50%-60%，每2周补充充电至60%，防止电池自放电导致的极板硫化。</w:t>
      </w:r>
    </w:p>
    <w:p w14:paraId="2135D703">
      <w:r>
        <w:rPr>
          <w:b/>
        </w:rPr>
        <w:t>机械部件维护</w:t>
      </w:r>
      <w:r>
        <w:t>：</w:t>
      </w:r>
    </w:p>
    <w:p w14:paraId="144E4590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传动系统延寿：采用“按需润滑”策略，通过振动传感器（安装于导轨滑块）监测摩擦振动（正常≤0.1g），超过阈值时自动报警，提醒润滑，避免过度润滑导致粉尘吸附。</w:t>
      </w:r>
    </w:p>
    <w:p w14:paraId="49736892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易损件预防性更换：充电插头导向销（每6个月）、滑块轴承（每2年）、气缸密封圈（每1.5年）等易损件，到期强制更换，而非故障后更换，减少突发停机。</w:t>
      </w:r>
    </w:p>
    <w:p w14:paraId="6BB28263">
      <w:r>
        <w:rPr>
          <w:b/>
        </w:rPr>
        <w:t>电气系统防护</w:t>
      </w:r>
      <w:r>
        <w:t>：</w:t>
      </w:r>
    </w:p>
    <w:p w14:paraId="4B3FB175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电网质量改善：在充电桩输入端安装三相电源稳压器（稳压范围±15%，响应时间≤10ms），抑制电网电压波动；配备浪涌保护器（Imax 40kA），抵御雷击和操作过电压。</w:t>
      </w:r>
    </w:p>
    <w:p w14:paraId="68426FBA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电缆管理：充电电缆采用拖链保护（型号Igus E4.1），弯曲半径≥10倍电缆直径，避免过度弯折导致的内部断线；固定电缆每隔0.5m安装一个电缆夹，减少振动疲劳。</w:t>
      </w:r>
    </w:p>
    <w:p w14:paraId="15FFE650">
      <w:r>
        <w:rPr>
          <w:b/>
        </w:rPr>
        <w:t>软件持续优化</w:t>
      </w:r>
      <w:r>
        <w:t>：</w:t>
      </w:r>
    </w:p>
    <w:p w14:paraId="52FB1D42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算法迭代：通过OTA更新充电控制算法，如引入模糊PID控制（动态调整Kp、Ti、Td参数），适应电池老化后的特性变化，维持充电效率。</w:t>
      </w:r>
    </w:p>
    <w:p w14:paraId="0B5D9301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健康度评估：开发充电桩健康度（SOH）评估模型，基于运行时间、故障次数、性能参数衰减率，提前6个月预测设备寿命终结，制定更换计划，避免突发故障。</w:t>
      </w:r>
    </w:p>
    <w:p w14:paraId="04764E0B">
      <w:r>
        <w:t>通过综合应用上述策略，某干变绕线车间充电桩平均使用寿命从8年延长至11年，年均设备维护成本降低22%，投资回报率提升15%。</w:t>
      </w:r>
    </w:p>
    <w:p w14:paraId="276A8663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66A869"/>
    <w:multiLevelType w:val="singleLevel"/>
    <w:tmpl w:val="9B66A86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FBC2DBD"/>
    <w:multiLevelType w:val="singleLevel"/>
    <w:tmpl w:val="9FBC2D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FFB6EE8"/>
    <w:multiLevelType w:val="singleLevel"/>
    <w:tmpl w:val="9FFB6EE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>
    <w:nsid w:val="ACF59FF8"/>
    <w:multiLevelType w:val="singleLevel"/>
    <w:tmpl w:val="ACF59FF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B6FFDD3D"/>
    <w:multiLevelType w:val="singleLevel"/>
    <w:tmpl w:val="B6FFDD3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8">
    <w:nsid w:val="BDFB010F"/>
    <w:multiLevelType w:val="singleLevel"/>
    <w:tmpl w:val="BDFB010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BFE72179"/>
    <w:multiLevelType w:val="singleLevel"/>
    <w:tmpl w:val="BFE7217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BFFE8E29"/>
    <w:multiLevelType w:val="singleLevel"/>
    <w:tmpl w:val="BFFE8E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E7DD7EED"/>
    <w:multiLevelType w:val="singleLevel"/>
    <w:tmpl w:val="E7DD7EE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EBD6180C"/>
    <w:multiLevelType w:val="singleLevel"/>
    <w:tmpl w:val="EBD618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EDF7AEE5"/>
    <w:multiLevelType w:val="singleLevel"/>
    <w:tmpl w:val="EDF7AEE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EE6E01BB"/>
    <w:multiLevelType w:val="singleLevel"/>
    <w:tmpl w:val="EE6E01B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">
    <w:nsid w:val="EEDF5E46"/>
    <w:multiLevelType w:val="singleLevel"/>
    <w:tmpl w:val="EEDF5E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EFEEA30F"/>
    <w:multiLevelType w:val="singleLevel"/>
    <w:tmpl w:val="EFEEA30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8">
    <w:nsid w:val="F7EF5473"/>
    <w:multiLevelType w:val="singleLevel"/>
    <w:tmpl w:val="F7EF54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F9FFC597"/>
    <w:multiLevelType w:val="singleLevel"/>
    <w:tmpl w:val="F9FFC59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1">
    <w:nsid w:val="FEFA74A2"/>
    <w:multiLevelType w:val="singleLevel"/>
    <w:tmpl w:val="FEFA74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3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24">
    <w:nsid w:val="FFDA2F11"/>
    <w:multiLevelType w:val="singleLevel"/>
    <w:tmpl w:val="FFDA2F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FFE4A093"/>
    <w:multiLevelType w:val="singleLevel"/>
    <w:tmpl w:val="FFE4A09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FFEC6DBD"/>
    <w:multiLevelType w:val="singleLevel"/>
    <w:tmpl w:val="FFEC6D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8">
    <w:nsid w:val="1EED3FFD"/>
    <w:multiLevelType w:val="singleLevel"/>
    <w:tmpl w:val="1EED3FF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9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0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1">
    <w:nsid w:val="4F5A5EA7"/>
    <w:multiLevelType w:val="singleLevel"/>
    <w:tmpl w:val="4F5A5EA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53BFB8F5"/>
    <w:multiLevelType w:val="singleLevel"/>
    <w:tmpl w:val="53BFB8F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6F767927"/>
    <w:multiLevelType w:val="singleLevel"/>
    <w:tmpl w:val="6F7679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6F8DD420"/>
    <w:multiLevelType w:val="singleLevel"/>
    <w:tmpl w:val="6F8DD42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36">
    <w:nsid w:val="72EFBF26"/>
    <w:multiLevelType w:val="singleLevel"/>
    <w:tmpl w:val="72EFBF2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77BE25B7"/>
    <w:multiLevelType w:val="singleLevel"/>
    <w:tmpl w:val="77BE25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8">
    <w:nsid w:val="7B6EEBF0"/>
    <w:multiLevelType w:val="singleLevel"/>
    <w:tmpl w:val="7B6EEB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9">
    <w:nsid w:val="7BEEEB63"/>
    <w:multiLevelType w:val="singleLevel"/>
    <w:tmpl w:val="7BEEEB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0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1">
    <w:nsid w:val="7F6FCE00"/>
    <w:multiLevelType w:val="singleLevel"/>
    <w:tmpl w:val="7F6FCE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0"/>
  </w:num>
  <w:num w:numId="2">
    <w:abstractNumId w:val="40"/>
  </w:num>
  <w:num w:numId="3">
    <w:abstractNumId w:val="5"/>
  </w:num>
  <w:num w:numId="4">
    <w:abstractNumId w:val="27"/>
  </w:num>
  <w:num w:numId="5">
    <w:abstractNumId w:val="20"/>
  </w:num>
  <w:num w:numId="6">
    <w:abstractNumId w:val="35"/>
  </w:num>
  <w:num w:numId="7">
    <w:abstractNumId w:val="17"/>
  </w:num>
  <w:num w:numId="8">
    <w:abstractNumId w:val="29"/>
  </w:num>
  <w:num w:numId="9">
    <w:abstractNumId w:val="22"/>
  </w:num>
  <w:num w:numId="10">
    <w:abstractNumId w:val="23"/>
  </w:num>
  <w:num w:numId="11">
    <w:abstractNumId w:val="7"/>
  </w:num>
  <w:num w:numId="12">
    <w:abstractNumId w:val="3"/>
  </w:num>
  <w:num w:numId="13">
    <w:abstractNumId w:val="6"/>
  </w:num>
  <w:num w:numId="14">
    <w:abstractNumId w:val="0"/>
  </w:num>
  <w:num w:numId="15">
    <w:abstractNumId w:val="2"/>
  </w:num>
  <w:num w:numId="16">
    <w:abstractNumId w:val="8"/>
  </w:num>
  <w:num w:numId="17">
    <w:abstractNumId w:val="9"/>
  </w:num>
  <w:num w:numId="18">
    <w:abstractNumId w:val="26"/>
  </w:num>
  <w:num w:numId="19">
    <w:abstractNumId w:val="11"/>
  </w:num>
  <w:num w:numId="20">
    <w:abstractNumId w:val="18"/>
  </w:num>
  <w:num w:numId="21">
    <w:abstractNumId w:val="1"/>
  </w:num>
  <w:num w:numId="22">
    <w:abstractNumId w:val="14"/>
  </w:num>
  <w:num w:numId="23">
    <w:abstractNumId w:val="39"/>
  </w:num>
  <w:num w:numId="24">
    <w:abstractNumId w:val="15"/>
  </w:num>
  <w:num w:numId="25">
    <w:abstractNumId w:val="13"/>
  </w:num>
  <w:num w:numId="26">
    <w:abstractNumId w:val="21"/>
  </w:num>
  <w:num w:numId="27">
    <w:abstractNumId w:val="37"/>
  </w:num>
  <w:num w:numId="28">
    <w:abstractNumId w:val="4"/>
  </w:num>
  <w:num w:numId="29">
    <w:abstractNumId w:val="16"/>
  </w:num>
  <w:num w:numId="30">
    <w:abstractNumId w:val="28"/>
  </w:num>
  <w:num w:numId="31">
    <w:abstractNumId w:val="34"/>
  </w:num>
  <w:num w:numId="32">
    <w:abstractNumId w:val="25"/>
  </w:num>
  <w:num w:numId="33">
    <w:abstractNumId w:val="12"/>
  </w:num>
  <w:num w:numId="34">
    <w:abstractNumId w:val="32"/>
  </w:num>
  <w:num w:numId="35">
    <w:abstractNumId w:val="10"/>
  </w:num>
  <w:num w:numId="36">
    <w:abstractNumId w:val="33"/>
  </w:num>
  <w:num w:numId="37">
    <w:abstractNumId w:val="41"/>
  </w:num>
  <w:num w:numId="38">
    <w:abstractNumId w:val="31"/>
  </w:num>
  <w:num w:numId="39">
    <w:abstractNumId w:val="24"/>
  </w:num>
  <w:num w:numId="40">
    <w:abstractNumId w:val="19"/>
  </w:num>
  <w:num w:numId="41">
    <w:abstractNumId w:val="36"/>
  </w:num>
  <w:num w:numId="4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3F88D0"/>
    <w:rsid w:val="6FE07705"/>
    <w:rsid w:val="6FFD907A"/>
    <w:rsid w:val="74A83031"/>
    <w:rsid w:val="76962A74"/>
    <w:rsid w:val="7B77B008"/>
    <w:rsid w:val="7FF6C12C"/>
    <w:rsid w:val="AFBCA0A3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2025-10-06T23:48:12Z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A93633A4E4EA72CEBCE4E368A3D9E093_43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