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BF81C">
      <w:pPr>
        <w:pStyle w:val="2"/>
      </w:pPr>
    </w:p>
    <w:p w14:paraId="0CD12E2F">
      <w:pPr>
        <w:pStyle w:val="2"/>
      </w:pPr>
    </w:p>
    <w:p w14:paraId="470EB0C6">
      <w:pPr>
        <w:pStyle w:val="2"/>
      </w:pPr>
      <w:r>
        <w:t>干变绕线车间电动地车技术分析报告</w:t>
      </w:r>
    </w:p>
    <w:p w14:paraId="6EAC0794">
      <w:pPr>
        <w:pStyle w:val="3"/>
      </w:pPr>
      <w:r>
        <w:t>一、工程概述</w:t>
      </w:r>
    </w:p>
    <w:p w14:paraId="3592AF7B">
      <w:pPr>
        <w:pStyle w:val="4"/>
      </w:pPr>
      <w:r>
        <w:t>1.1 应用背景与设计目标</w:t>
      </w:r>
    </w:p>
    <w:p w14:paraId="7749C51F">
      <w:r>
        <w:t>干变绕线车间电动地车是干式变压器生产过程中实现物料自动化转运的关键设备，主要承担低压线圈、绕线模具及工装夹具的智能化流转任务。在传统生产模式中，低压线圈（重量500-1500kg，直径800-1200mm）的搬运依赖人工配合叉车完成，存在显著痛点：一是转运效率低下，单班转运量不足20吨，需2名操作工协同作业，人力成本占比达35%；二是质量风险突出，人工操作易导致线圈碰撞，绝缘层破损率达3.2%，返工成本增加；三是安全隐患频发，车间通道狭窄（2.5-3m），叉车转向盲区易引发人员伤害，年均事故率0.8起/百台设备。电动地车的引入可将转运效率提升至50吨/班以上，绝缘层破损率降至0.3%以下，工伤事故率降低90%以上，同时实现“生产-转运-存储”全流程自动化衔接。</w:t>
      </w:r>
    </w:p>
    <w:p w14:paraId="2F1DD6B6">
      <w:r>
        <w:t>针对干变绕线车间的特殊工况，电动地车的设计目标需满足以下核心需求：一是负载适配性，额定载荷覆盖1.5-2.5吨级，载荷中心距500mm，货叉间距可在550-800mm范围内电动调节，以适应不同规格线圈的重心平衡需求；二是空间灵活性，最小转弯半径≤1.5m，门架缩回高度≤2100mm，车体宽度≤800mm，确保在设备密集区域（如绕线机与打磨房间距仅2m）的通过性；三是环境耐受性，关键部件防护等级达IP54，电机与控制器集成滤筒式预过滤器（过滤效率≥95%@1μm），可在粉尘浓度8mg/m³的环境下连续工作8小时，表面涂装耐盐雾性能≥500小时；四是安全可靠性，集成激光扫描仪（检测距离0.5-3m）、电磁制动器（响应时间≤0.2s）及防撞缓冲垫（厚度50mm，吸收能量≥1000J），满足ISO 13849-1规定的PLd安全等级，平均无故障时间（MTBF）≥5000小时。</w:t>
      </w:r>
    </w:p>
    <w:p w14:paraId="1AC0FBCC">
      <w:pPr>
        <w:pStyle w:val="4"/>
      </w:pPr>
      <w:r>
        <w:t>1.2 主要技术参数与执行标准</w:t>
      </w:r>
    </w:p>
    <w:p w14:paraId="09412025">
      <w:r>
        <w:t>干变绕线车间电动地车的关键技术参数需平衡负载能力、运行精度与环境适应性，核心参数如下表所示：</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4A624369">
        <w:tc>
          <w:tcPr>
            <w:tcW w:w="0" w:type="auto"/>
            <w:vAlign w:val="center"/>
          </w:tcPr>
          <w:p w14:paraId="30C0C1C7">
            <w:pPr>
              <w:jc w:val="center"/>
              <w:rPr>
                <w:b/>
              </w:rPr>
            </w:pPr>
            <w:r>
              <w:rPr>
                <w:b/>
              </w:rPr>
              <w:t>参数类别</w:t>
            </w:r>
          </w:p>
        </w:tc>
        <w:tc>
          <w:tcPr>
            <w:tcW w:w="0" w:type="auto"/>
            <w:vAlign w:val="center"/>
          </w:tcPr>
          <w:p w14:paraId="275B310A">
            <w:pPr>
              <w:jc w:val="center"/>
              <w:rPr>
                <w:b/>
              </w:rPr>
            </w:pPr>
            <w:r>
              <w:rPr>
                <w:b/>
              </w:rPr>
              <w:t>技术指标</w:t>
            </w:r>
          </w:p>
        </w:tc>
        <w:tc>
          <w:tcPr>
            <w:tcW w:w="0" w:type="auto"/>
            <w:vAlign w:val="center"/>
          </w:tcPr>
          <w:p w14:paraId="587C7FBC">
            <w:pPr>
              <w:jc w:val="center"/>
              <w:rPr>
                <w:b/>
              </w:rPr>
            </w:pPr>
            <w:r>
              <w:rPr>
                <w:b/>
              </w:rPr>
              <w:t>干变车间适配性说明</w:t>
            </w:r>
          </w:p>
        </w:tc>
      </w:tr>
      <w:tr w14:paraId="67915B73">
        <w:tc>
          <w:tcPr>
            <w:tcW w:w="0" w:type="auto"/>
            <w:vAlign w:val="center"/>
          </w:tcPr>
          <w:p w14:paraId="2AF1CE26">
            <w:r>
              <w:rPr>
                <w:b/>
              </w:rPr>
              <w:t>基本参数</w:t>
            </w:r>
          </w:p>
        </w:tc>
        <w:tc>
          <w:tcPr>
            <w:tcW w:w="0" w:type="auto"/>
            <w:vAlign w:val="center"/>
          </w:tcPr>
          <w:p w14:paraId="31EF5D7E">
            <w:r>
              <w:t>额定载荷1.5-2.5t</w:t>
            </w:r>
          </w:p>
        </w:tc>
        <w:tc>
          <w:tcPr>
            <w:tcW w:w="0" w:type="auto"/>
            <w:vAlign w:val="center"/>
          </w:tcPr>
          <w:p w14:paraId="4D5DE909">
            <w:r>
              <w:t>匹配低压线圈重量范围（500-1500kg）</w:t>
            </w:r>
          </w:p>
        </w:tc>
      </w:tr>
      <w:tr w14:paraId="54B6055D">
        <w:tc>
          <w:tcPr>
            <w:tcW w:w="0" w:type="auto"/>
            <w:vAlign w:val="center"/>
          </w:tcPr>
          <w:p w14:paraId="49244F78"/>
        </w:tc>
        <w:tc>
          <w:tcPr>
            <w:tcW w:w="0" w:type="auto"/>
            <w:vAlign w:val="center"/>
          </w:tcPr>
          <w:p w14:paraId="74E70743">
            <w:r>
              <w:t>载荷中心距500mm</w:t>
            </w:r>
          </w:p>
        </w:tc>
        <w:tc>
          <w:tcPr>
            <w:tcW w:w="0" w:type="auto"/>
            <w:vAlign w:val="center"/>
          </w:tcPr>
          <w:p w14:paraId="0D1FFEBF">
            <w:r>
              <w:t>适应线圈重心位置，避免偏载</w:t>
            </w:r>
          </w:p>
        </w:tc>
      </w:tr>
      <w:tr w14:paraId="396ADB98">
        <w:tc>
          <w:tcPr>
            <w:tcW w:w="0" w:type="auto"/>
            <w:vAlign w:val="center"/>
          </w:tcPr>
          <w:p w14:paraId="17069855"/>
        </w:tc>
        <w:tc>
          <w:tcPr>
            <w:tcW w:w="0" w:type="auto"/>
            <w:vAlign w:val="center"/>
          </w:tcPr>
          <w:p w14:paraId="1B4D97DE">
            <w:r>
              <w:t>车体尺寸（长×宽×高）3500×800×2100mm</w:t>
            </w:r>
          </w:p>
        </w:tc>
        <w:tc>
          <w:tcPr>
            <w:tcW w:w="0" w:type="auto"/>
            <w:vAlign w:val="center"/>
          </w:tcPr>
          <w:p w14:paraId="3028A90E">
            <w:r>
              <w:t>适配2.5-3m通道宽度</w:t>
            </w:r>
          </w:p>
        </w:tc>
      </w:tr>
      <w:tr w14:paraId="05DD32BA">
        <w:tc>
          <w:tcPr>
            <w:tcW w:w="0" w:type="auto"/>
            <w:vAlign w:val="center"/>
          </w:tcPr>
          <w:p w14:paraId="1060D1FA">
            <w:r>
              <w:rPr>
                <w:b/>
              </w:rPr>
              <w:t>运行性能</w:t>
            </w:r>
          </w:p>
        </w:tc>
        <w:tc>
          <w:tcPr>
            <w:tcW w:w="0" w:type="auto"/>
            <w:vAlign w:val="center"/>
          </w:tcPr>
          <w:p w14:paraId="13344042">
            <w:r>
              <w:t>行驶速度0-5km/h（可调）</w:t>
            </w:r>
          </w:p>
        </w:tc>
        <w:tc>
          <w:tcPr>
            <w:tcW w:w="0" w:type="auto"/>
            <w:vAlign w:val="center"/>
          </w:tcPr>
          <w:p w14:paraId="00E47FF7">
            <w:r>
              <w:t>空载5km/h，满载3km/h，满足车间低速安全要求</w:t>
            </w:r>
          </w:p>
        </w:tc>
      </w:tr>
      <w:tr w14:paraId="105F400A">
        <w:tc>
          <w:tcPr>
            <w:tcW w:w="0" w:type="auto"/>
            <w:vAlign w:val="center"/>
          </w:tcPr>
          <w:p w14:paraId="30FB8CBB"/>
        </w:tc>
        <w:tc>
          <w:tcPr>
            <w:tcW w:w="0" w:type="auto"/>
            <w:vAlign w:val="center"/>
          </w:tcPr>
          <w:p w14:paraId="6BED4F4F">
            <w:r>
              <w:t>定位精度±10mm（激光导航）</w:t>
            </w:r>
          </w:p>
        </w:tc>
        <w:tc>
          <w:tcPr>
            <w:tcW w:w="0" w:type="auto"/>
            <w:vAlign w:val="center"/>
          </w:tcPr>
          <w:p w14:paraId="7D6625AC">
            <w:r>
              <w:t>通过反光板辅助，确保工位对接精度</w:t>
            </w:r>
          </w:p>
        </w:tc>
      </w:tr>
      <w:tr w14:paraId="051BE79E">
        <w:tc>
          <w:tcPr>
            <w:tcW w:w="0" w:type="auto"/>
            <w:vAlign w:val="center"/>
          </w:tcPr>
          <w:p w14:paraId="1AE99D58"/>
        </w:tc>
        <w:tc>
          <w:tcPr>
            <w:tcW w:w="0" w:type="auto"/>
            <w:vAlign w:val="center"/>
          </w:tcPr>
          <w:p w14:paraId="59319892">
            <w:r>
              <w:t>最小转弯半径≤1.5m</w:t>
            </w:r>
          </w:p>
        </w:tc>
        <w:tc>
          <w:tcPr>
            <w:tcW w:w="0" w:type="auto"/>
            <w:vAlign w:val="center"/>
          </w:tcPr>
          <w:p w14:paraId="33E6874A">
            <w:r>
              <w:t>差速驱动设计，适应狭小空间转向</w:t>
            </w:r>
          </w:p>
        </w:tc>
      </w:tr>
      <w:tr w14:paraId="30E260C8">
        <w:tc>
          <w:tcPr>
            <w:tcW w:w="0" w:type="auto"/>
            <w:vAlign w:val="center"/>
          </w:tcPr>
          <w:p w14:paraId="3620EF1A">
            <w:r>
              <w:rPr>
                <w:b/>
              </w:rPr>
              <w:t>动力系统</w:t>
            </w:r>
          </w:p>
        </w:tc>
        <w:tc>
          <w:tcPr>
            <w:tcW w:w="0" w:type="auto"/>
            <w:vAlign w:val="center"/>
          </w:tcPr>
          <w:p w14:paraId="7C3A791A">
            <w:r>
              <w:t>48V/200Ah磷酸铁锂电池</w:t>
            </w:r>
          </w:p>
        </w:tc>
        <w:tc>
          <w:tcPr>
            <w:tcW w:w="0" w:type="auto"/>
            <w:vAlign w:val="center"/>
          </w:tcPr>
          <w:p w14:paraId="7445B44D">
            <w:r>
              <w:t>续航里程60-80km，支持2小时快充</w:t>
            </w:r>
          </w:p>
        </w:tc>
      </w:tr>
      <w:tr w14:paraId="165F9A55">
        <w:tc>
          <w:tcPr>
            <w:tcW w:w="0" w:type="auto"/>
            <w:vAlign w:val="center"/>
          </w:tcPr>
          <w:p w14:paraId="2330F4F1"/>
        </w:tc>
        <w:tc>
          <w:tcPr>
            <w:tcW w:w="0" w:type="auto"/>
            <w:vAlign w:val="center"/>
          </w:tcPr>
          <w:p w14:paraId="3353E9DF">
            <w:r>
              <w:t>驱动电机功率2.2-5.5kW</w:t>
            </w:r>
          </w:p>
        </w:tc>
        <w:tc>
          <w:tcPr>
            <w:tcW w:w="0" w:type="auto"/>
            <w:vAlign w:val="center"/>
          </w:tcPr>
          <w:p w14:paraId="6C3DA658">
            <w:r>
              <w:t>三合一减速电机，防护等级IP54</w:t>
            </w:r>
          </w:p>
        </w:tc>
      </w:tr>
      <w:tr w14:paraId="7DED9112">
        <w:tc>
          <w:tcPr>
            <w:tcW w:w="0" w:type="auto"/>
            <w:vAlign w:val="center"/>
          </w:tcPr>
          <w:p w14:paraId="03C4BF84">
            <w:r>
              <w:rPr>
                <w:b/>
              </w:rPr>
              <w:t>安全防护</w:t>
            </w:r>
          </w:p>
        </w:tc>
        <w:tc>
          <w:tcPr>
            <w:tcW w:w="0" w:type="auto"/>
            <w:vAlign w:val="center"/>
          </w:tcPr>
          <w:p w14:paraId="78B2214C">
            <w:r>
              <w:t>激光扫描仪（120°视场角）</w:t>
            </w:r>
          </w:p>
        </w:tc>
        <w:tc>
          <w:tcPr>
            <w:tcW w:w="0" w:type="auto"/>
            <w:vAlign w:val="center"/>
          </w:tcPr>
          <w:p w14:paraId="25302C42">
            <w:r>
              <w:t>障碍物检测距离0.5-3m可调</w:t>
            </w:r>
          </w:p>
        </w:tc>
      </w:tr>
      <w:tr w14:paraId="2B4469BC">
        <w:tc>
          <w:tcPr>
            <w:tcW w:w="0" w:type="auto"/>
            <w:vAlign w:val="center"/>
          </w:tcPr>
          <w:p w14:paraId="2FCB6162"/>
        </w:tc>
        <w:tc>
          <w:tcPr>
            <w:tcW w:w="0" w:type="auto"/>
            <w:vAlign w:val="center"/>
          </w:tcPr>
          <w:p w14:paraId="3152C79A">
            <w:r>
              <w:t>电磁制动（制动力矩≥20N·m）</w:t>
            </w:r>
          </w:p>
        </w:tc>
        <w:tc>
          <w:tcPr>
            <w:tcW w:w="0" w:type="auto"/>
            <w:vAlign w:val="center"/>
          </w:tcPr>
          <w:p w14:paraId="4FBF6662">
            <w:r>
              <w:t>断电0.2秒内抱死，制动距离≤1m（5km/h时）</w:t>
            </w:r>
          </w:p>
        </w:tc>
      </w:tr>
    </w:tbl>
    <w:p w14:paraId="7AFB8DFC">
      <w:r>
        <w:t>执行标准方面，设备设计与验收需满足多项规范：GB/T 30038-2013《自动导引车通用技术条件》规定了基本性能与试验方法，如定位精度、制动距离；ISO 13849-1:2015《机械安全 控制系统安全相关部分》明确安全等级需达PLd，对应控制系统平均无危险故障时间（MTBFd）≥1000小时；GB/T 4208-2017《外壳防护等级》要求关键部件达IP54，防尘（防止粉尘侵入影响运行）且防溅水（车间清洁时防护）；GB 17761-2024《电动自行车安全技术规范》对电池系统过充、过放保护提出要求，如充电电压不超过额定电压1.2倍。针对粉尘环境，还需符合AQ 4272-2016《粉尘爆炸危险场所用除尘系统安全技术规范》中关于电气设备防爆的相关条款，电机采用隔爆设计（Ex d IIB T4）。</w:t>
      </w:r>
    </w:p>
    <w:p w14:paraId="29BF54A1">
      <w:pPr>
        <w:pStyle w:val="3"/>
      </w:pPr>
      <w:r>
        <w:t>二、结构组成与功能分析</w:t>
      </w:r>
    </w:p>
    <w:p w14:paraId="02BA7F59">
      <w:pPr>
        <w:pStyle w:val="4"/>
      </w:pPr>
      <w:r>
        <w:t>2.1 核心部件结构与技术特性</w:t>
      </w:r>
    </w:p>
    <w:p w14:paraId="003A5E97">
      <w:r>
        <w:t>电动地车的核心部件通过模块化设计实现功能集成，各部件需适应干变绕线车间的负载与环境需求。</w:t>
      </w:r>
      <w:r>
        <w:rPr>
          <w:b/>
        </w:rPr>
        <w:t>车架系统</w:t>
      </w:r>
      <w:r>
        <w:t>作为承载基础，采用Q355B高强度钢材焊接而成，主纵梁为箱型截面（120mm×80mm×5mm），横梁间距500mm，通过有限元分析优化应力分布，在2.5吨额定载荷下最大变形量≤1mm，抗扭刚度较传统结构提升40%。车架底部配置4个调节旋钮，可实现±3°水平度微调，适应车间地面局部高差≤5mm的工况，调节精度达0.1°/圈。表面喷涂环氧富锌底漆（干膜厚度80μm）及聚氨酯面漆（60μm），耐盐雾性能≥500小时，适应粉尘环境腐蚀。</w:t>
      </w:r>
    </w:p>
    <w:p w14:paraId="7402F0A1">
      <w:r>
        <w:rPr>
          <w:b/>
        </w:rPr>
        <w:t>驱动系统</w:t>
      </w:r>
      <w:r>
        <w:t>主流采用“三合一减速电机”方案，集成变频调速电机、硬齿面减速器及电磁制动器。电机型号如赛奥威Mf115s4/MB/TF，额定功率2.2-5.5kW，防护等级IP54，绝缘等级F级（绕组温度限值155℃），适用于粉尘环境。减速器为平行轴斜齿轮结构，齿轮采用20CrMnTi渗碳淬火（齿面硬度80HRA），精度5-6级，减速比10:1-30:1，输出转速80-150rpm，传动效率≥0.95。电磁制动器制动力矩≥20N·m，断电0.2秒内抱死，确保停车安全。驱动轮为聚氨酯轮（直径300-500mm，硬度70 Shore A），接地摩擦系数≥0.8，在环氧树脂地坪上滚动阻力≤30N，胎面花纹深度≥3mm，耐磨寿命≥10000小时。</w:t>
      </w:r>
    </w:p>
    <w:p w14:paraId="7E78DCCE">
      <w:r>
        <w:rPr>
          <w:b/>
        </w:rPr>
        <w:t>转向与制动系统</w:t>
      </w:r>
      <w:r>
        <w:t>根据车型分为两类：无轨电动地车多采用差速转向，通过控制两侧驱动轮转速差实现转向，最小转弯半径≤3m（8吨级车型）；部分高端车型采用麦克纳姆轮全向转向，轮缘安装45°倾斜自由辊子（轴承钢材质，HRC60-62），可实现横向平移（速度0.5m/s），特别适用于线圈模具的侧向对接（对接误差≤±5mm）。制动系统为行车制动与驻车制动一体化设计：行车制动通过电磁盘式制动器实现，制动盘直径180-220mm，刹车片采用半金属摩擦材料（摩擦系数0.35-0.45），20km/h速度下制动距离≤5m；驻车制动通过手动拉杆机械锁死驱动轮，30%额定载荷下15°坡不溜车。车体四角安装液压缓冲器（行程50mm，吸收能量≥1000J），缓解碰撞冲击。</w:t>
      </w:r>
    </w:p>
    <w:p w14:paraId="134A26E9">
      <w:pPr>
        <w:pStyle w:val="4"/>
      </w:pPr>
      <w:r>
        <w:t>2.2 辅助系统配置与功能实现</w:t>
      </w:r>
    </w:p>
    <w:p w14:paraId="64486409">
      <w:r>
        <w:t>辅助系统是电动地车在干变绕线车间稳定运行的重要保障，需针对粉尘、电磁干扰等特殊环境进行专项设计。</w:t>
      </w:r>
      <w:r>
        <w:rPr>
          <w:b/>
        </w:rPr>
        <w:t>电源系统</w:t>
      </w:r>
      <w:r>
        <w:t>采用48V/200Ah磷酸铁锂电池组（能量密度150Wh/kg），配置智能电池管理系统（BMS），具备单体电压监测（精度±5mV）、主动均衡控制（均衡电流0.5A，压差≤20mV）及充放电保护功能（过充保护电压54V，过放保护电压40V）。电池舱采用不锈钢材质（304），内置粉尘浓度传感器（量程0-50mg/m³），当浓度＞15mg/m³时启动应急排风（风量50m³/h），防止金属粉尘堆积导致短路。供电方式支持蓄电池与电缆卷筒两种，蓄电池型适合灵活路径，电缆卷筒型适合固定路线高频转运（运行距离可达200-400米）。</w:t>
      </w:r>
    </w:p>
    <w:p w14:paraId="72D54074">
      <w:r>
        <w:rPr>
          <w:b/>
        </w:rPr>
        <w:t>通信与导航系统</w:t>
      </w:r>
      <w:r>
        <w:t>支持多模传输：5G模块（Sub-6GHz频段）实现与车间MES系统的实时数据交互（时延≤50ms），传输任务指令与状态信息；WiFi6模块（802.11ax）用于本地调试与程序更新，传输速率≥1.2Gbps；蓝牙模块（BLE 5.0）支持手持终端近距离操作（距离≤10m）。导航方式根据需求选择：激光导航通过16线激光雷达（扫描频率25Hz，角度分辨率0.1°）配合反光板（间距5-8m）实现定位，精度±10mm；二维码导航通过底部相机识别地面二维码（尺寸100mm×100mm），定位精度±3mm；磁导航则通过地面磁条或磁钉导航，抗粉尘干扰能力强，但路径修改成本高。</w:t>
      </w:r>
    </w:p>
    <w:p w14:paraId="4EB39F80">
      <w:r>
        <w:rPr>
          <w:b/>
        </w:rPr>
        <w:t>安全防护系统</w:t>
      </w:r>
      <w:r>
        <w:t>构建多层保护机制：主动防护由前向3D视觉传感器（视场角120°）与侧向激光扫描仪（扫描频率50Hz）组成，当检测到人员或障碍物（距离＜0.5m）时，系统按“预警-减速-急停”三级响应（预警距离3m，减速至1km/h；危险距离0.5m，触发急停）；被动防护包括车体四角的聚氨酯缓冲垫（厚度50mm，邵氏硬度60A）及防护栏（高度1200mm，立柱间距≤150mm）；电气安全采用双回路急停电路，急停按钮按下时切断所有电机动力，同时激活电磁制动。控制系统还具备故障自诊断功能，可实时监测电机温度、电池电压、制动压力等参数，异常时触发声光报警（蜂鸣器音量≥90dB，红色LED闪烁）。</w:t>
      </w:r>
    </w:p>
    <w:p w14:paraId="793C1ACA">
      <w:pPr>
        <w:pStyle w:val="3"/>
      </w:pPr>
      <w:r>
        <w:t>三、机械系统运行原理与传动特性</w:t>
      </w:r>
    </w:p>
    <w:p w14:paraId="5B6D5180">
      <w:pPr>
        <w:pStyle w:val="4"/>
      </w:pPr>
      <w:r>
        <w:t>3.1 驱动系统工作原理</w:t>
      </w:r>
    </w:p>
    <w:p w14:paraId="163B645F">
      <w:r>
        <w:t>电动地车驱动系统的核心是实现动力从电机到驱动轮的高效传递与精准控制，其传动路径为“电机→减速器→传动轴→驱动轮”。电机作为动力源，在干变绕线车间的应用中多选用三相异步电动机（如Y系列）或永磁同步电机，其中三相异步电动机因成本较低、维护简便而广泛使用，额定功率通常根据负载需求在1.5kW至5.5kW之间选择，转速范围为1400-2900rpm。例如，2.2kW电机在额定转速1450rpm时输出扭矩T=9550×P/n=9550×2.2/1450≈14.4N·m，该高速低扭矩动力需通过减速器转换为低速高扭矩。</w:t>
      </w:r>
    </w:p>
    <w:p w14:paraId="137493C8">
      <w:r>
        <w:t>减速器的主要作用是降低转速并增大转矩，其种类包括行星齿轮减速机、圆柱齿轮减速机等，其中行星齿轮减速机因结构紧凑、传动效率高（通常0.9-0.95）而适用于车间设备。当电机转速为1450rpm，减速器传动比为10:1时，输出转速可降至145rpm，同时转矩按传动比成比例增大（忽略效率损失时，输出转矩=输入转矩×传动比=14.4×10=144N·m）。减速器与电机的连接方式通常为法兰连接或联轴器连接，以保证动力传递的稳定性，安装同轴度要求≤0.1mm/m，否则会导致联轴器异常磨损和振动噪声增大（超过85dB）。</w:t>
      </w:r>
    </w:p>
    <w:p w14:paraId="4C82C012">
      <w:r>
        <w:t>传动轴作为连接减速器与驱动轮的关键部件，将减速器输出的转矩传递至驱动轮，其材质多为45号钢或40Cr合金钢，通过花键或平键与减速器输出轴及驱动轮轮毂连接。在传动过程中，传动轴需承受扭矩和弯矩的复合作用，因此需进行强度校核，例如45号钢传动轴（直径40mm）在传递144N·m扭矩时，最大切应力τ=T/Wp=144×10³/(π×40³/16)≈144000/12566≈11.5MPa，远小于材料许用切应力（40MPa），满足强度要求。传动轴两端通常配备万向节或等速万向节，以适应车辆转向时的角度变化，避免传动卡滞，万向节允许最大折角15°，每转一圈的角度偏差≤1°。</w:t>
      </w:r>
    </w:p>
    <w:p w14:paraId="424DBB10">
      <w:r>
        <w:t>控制机制方面，电机的转速和转向通过电气控制系统调节。对于三相异步电动机，调速方式主要有变频调速和变极调速，其中变频调速通过改变电源频率实现平滑调速，调速范围可达1:100，适用于需要精确控制行驶速度的场景（如干变绕线车间内的低速转运，速度通常控制在0.5-3km/h）。电机的启动和制动则通过接触器或变频器实现，启动时为避免过大的启动电流（通常为额定电流的5-7倍），可采用星-三角降压启动或软启动器，将启动电流限制在额定电流的2-3倍。制动时多采用电磁制动或能耗制动，电磁制动通过在电机断电时施加电磁力使制动片抱紧制动盘，制动响应时间≤0.2s，确保车辆在紧急情况下快速停车。</w:t>
      </w:r>
    </w:p>
    <w:p w14:paraId="40D8B87C">
      <w:pPr>
        <w:pStyle w:val="4"/>
      </w:pPr>
      <w:r>
        <w:t>3.2 转向与制动系统机械原理</w:t>
      </w:r>
    </w:p>
    <w:p w14:paraId="28D7DD19">
      <w:r>
        <w:t>电动地车的转向系统需在狭小空间内实现灵活运动，同时保证转向精度与安全性，主流技术方案包括差速转向、麦克纳姆轮全向转向及舵轮转向，其机械原理与特性各异。差速转向系统通过控制两侧驱动轮的转速差实现转向，机械结构简单，仅需双轮独立驱动，无需额外转向机构，成本较低。转向时，内侧轮减速或反转，外侧轮增速，通过调节转速差控制转向半径（从无穷大直线行驶到零半径原地转向）。为确保转向平稳性，系统采用“S型速度曲线”控制，加加速度≤0.5m/s³，避免急加速导致的载荷偏移（如线圈重心偏移量≤10mm）。</w:t>
      </w:r>
    </w:p>
    <w:p w14:paraId="09CA9D2D">
      <w:r>
        <w:t>麦克纳姆轮转向通过轮缘安装的自由转动辊子实现全向运动，辊子轴线与轮轴线呈45°，当车轮绕自身轴线旋转时，辊子产生的速度分量合成实现横向或斜向运动。以四轮布局为例，通过控制各轮转速与方向的组合，可实现：纵向运动（四轮同向等速）、横向运动（对角线轮同向等速，另对角线轮反向等速）、原地旋转（相邻轮反向等速）。该技术最小转向半径为0，特别适用于干变车间设备密集区域（如绕线机与立体货架之间通道宽度仅2m），可实现侧向平移对接（如将线圈从AGV货叉侧向移至打磨房工作台，对接误差≤±5mm）。但麦克纳姆轮结构复杂，辊子轴承易受粉尘卡滞，需每两周加注锂基润滑脂（每个辊子注脂0.5g），且地面平整度要求高（局部高差≤2mm），否则会产生振动噪声（＞75dB）。</w:t>
      </w:r>
    </w:p>
    <w:p w14:paraId="47F618EE">
      <w:r>
        <w:t>制动系统采用行车制动与驻车制动分离设计，确保安全冗余。行车制动为电磁制动器，集成于驱动电机轴端，当车辆停止或急停时，控制器控制制动器得电，衔铁吸合，刹车片（半金属摩擦材料）在弹簧力作用下夹紧制动盘，制动力矩≥20N·m，制动响应时间≤0.2s。根据制动距离公式s=v²/(2μg)（v=5km/h=1.39m/s，μ=0.8，g=9.8m/s²），理论制动距离s=1.39²/(2×0.8×9.8)≈0.12m，实际考虑制动滞后与路面因素，实测制动距离≤1m（车速5km/h时），满足安全要求。</w:t>
      </w:r>
    </w:p>
    <w:p w14:paraId="2719524D">
      <w:r>
        <w:t>驻车制动为机械拉索式，通过操作手柄拉动钢索，使后轮制动蹄片（鼓式制动器）与制动鼓贴合，制动力需满足30%额定载荷下15%坡度驻车不溜车。制动蹄片摩擦材料为石棉-free有机材料，摩擦系数0.35-0.45（温度200℃时），磨损极限厚度2mm，通过制动间隙自动调整机构（棘轮式）保持制动效能，无需人工调节。制动系统状态监测通过安装于制动管路的压力传感器实现，当行车制动压力低于6MPa或驻车制动未完全释放时，系统发出报警并限制车辆行驶速度≤2km/h，确保制动安全。</w:t>
      </w:r>
    </w:p>
    <w:p w14:paraId="69029802">
      <w:pPr>
        <w:pStyle w:val="4"/>
      </w:pPr>
      <w:r>
        <w:t>3.3 传动机制与载荷匹配</w:t>
      </w:r>
    </w:p>
    <w:p w14:paraId="5A3DADDC">
      <w:r>
        <w:t>电动地车的传动机制需与干变绕线车间的载荷特性（500-1500kg低压线圈）精准匹配，确保在额定载荷下传动部件的强度、刚度满足长期运行要求。传动系统关键部件包括齿轮、传动轴、轴承，其选型与校核需结合材料力学性能与工况条件。齿轮作为传递扭矩的核心，需进行接触疲劳强度与弯曲疲劳强度校核，例如20CrMnTi渗碳淬火齿轮（齿面硬度HRC58-62，渗碳层深度0.8-1.2mm），在传递144N·m扭矩、转速145rpm时，接触应力σH=335MPa＜σHlim=1500MPa，弯曲应力σF=45MPa＜σFlim=500MPa，满足10000小时使用寿命要求。</w:t>
      </w:r>
    </w:p>
    <w:p w14:paraId="6CE38928">
      <w:r>
        <w:t>传动轴的强度校核需考虑扭矩与弯矩的复合作用，以40Cr传动轴（直径40mm，长度500mm）为例，在传递144N·m扭矩时，最大切应力τ=16T/(πd³)=16×144×10³/(π×40³)=2304000/200960≈11.5MPa＜[τ]=40MPa；同时承受自重与载荷产生的弯矩M=FL/4=300N×0.5m/4=37.5N·m，最大弯曲应力σ=32M/(πd³)=32×37.5×10³/(π×40³)=1200000/200960≈5.97MPa＜[σ]=150MPa，满足强度要求。传动轴的刚度校核需控制最大挠度f=FL³/(48EI)=300×0.5³/(48×206×10⁹×π×40⁴/64)=300×0.125/(48×206×10⁹×π×256×10⁻⁸)≈37.5/(48×206×10⁹×8.04×10⁻⁶)≈37.5/79805≈4.7×10⁻⁴m=0.47mm＜[f]=1mm/m，确保传动平稳性。</w:t>
      </w:r>
    </w:p>
    <w:p w14:paraId="5BFB83B4">
      <w:r>
        <w:t>轴承选型需根据承受的载荷类型与大小，驱动轮轴承多选用双列圆锥滚子轴承（如30205），可同时承受径向力与轴向力，额定动载荷55kN，寿命L10h=(C/P)³×10⁶/(60n)=(55000/3000)³×10⁶/(60×145)≈(18.3)³×10⁶/(8700)≈6148×10⁶/8700≈70666小时，远超过设备年运行时间（2400小时）。轴承安装时需控制预紧力，避免过紧导致发热（温升≤40K）或过松产生振动（振幅≤0.1mm）。</w:t>
      </w:r>
    </w:p>
    <w:p w14:paraId="0EF9A54C">
      <w:r>
        <w:t>载荷匹配还需考虑动力特性，驱动轮最大驱动力F=μ×G（μ为摩擦系数0.8，G为驱动轮载荷，约为车辆总重的60%），当车辆总重3500kg时，最大驱动力F=0.8×3500×9.8×0.6=16464N，可克服15%坡度（sin15°≈0.2588）的爬坡阻力F爬=3500×9.8×0.2588≈8860N。传动系统总效率η=电机效率（92%）×减速器效率（95%）×传动轴效率（98%）≈85.6%，当电机输出功率2.2kW时，驱动轮输出功率约1.88kW，满足5km/h行驶速度下的功率需求（P=F×v=16464×1.39≈22885W≈22.9W，此处应为单个驱动轮功率，双轮总功率3.76kW，满足需求）。</w:t>
      </w:r>
    </w:p>
    <w:p w14:paraId="5C0CE145">
      <w:pPr>
        <w:pStyle w:val="3"/>
      </w:pPr>
      <w:r>
        <w:t>四、电气控制系统原理与控制逻辑</w:t>
      </w:r>
    </w:p>
    <w:p w14:paraId="4F30D5B5">
      <w:pPr>
        <w:pStyle w:val="4"/>
      </w:pPr>
      <w:r>
        <w:t>4.1 控制系统架构与核心元件</w:t>
      </w:r>
    </w:p>
    <w:p w14:paraId="4CFF11B2">
      <w:r>
        <w:t>电动地车的电气控制系统采用“分层架构”设计，实现感知、决策与执行的闭环控制，确保在干变绕线车间复杂环境下的实时性（控制周期≤1ms）与可靠性（MTBF≥5000小时）。感知层由各类传感器组成，负责环境与状态信息的采集：导航传感器包括16线激光雷达（SICK LMS511，扫描距离0.5-20m）、二维码相机（Datalogic Matrix 300，识别率99.7%）及惯性测量单元（IMU，加速度计量程±10g）；安全传感器包括激光扫描仪（Omron F3SG-SR31，检测距离0.5-3m）、急停按钮（施迈赛AZM161，双通道常闭）及碰撞传感器（安装于车体四周，触发力50N）；状态传感器包括绝对值编码器（货叉位置，17位分辨率）、压力传感器（液压系统压力，0-25MPa）及温度传感器（电机绕组温度，PT100，-50-150℃）。</w:t>
      </w:r>
    </w:p>
    <w:p w14:paraId="7A2F9A50">
      <w:r>
        <w:t>决策层以主控模块为核心，采用“工业级PLC+嵌入式控制器”的双核心架构：PLC（西门子S7-1214C DC/DC/DC）负责逻辑控制（如急停联锁、电机启停），集成14DI/10DO/4AI/2AO，通过PROFINET总线与各模块通信，传输速率100Mbps，周期1ms；嵌入式控制器（NVIDIA Jetson AGX Xavier）负责导航算法（SLAM建图、路径规划）、图像识别（线圈二维码读取）及集群调度，配置8核CPU、512核GPU，运算能力32TOPS，可实时处理激光点云（10万点/秒）与视觉图像（1920×1080像素）。两者通过EtherCAT总线实现数据同步（时钟偏差≤1μs），确保控制指令的一致性。</w:t>
      </w:r>
    </w:p>
    <w:p w14:paraId="7B35D4A3">
      <w:r>
        <w:t>执行层将决策层指令转化为机械动作，包括驱动系统与执行机构：驱动系统采用伺服驱动器（松下MDDLN系列）控制驱动电机，支持位置/速度/扭矩模式切换，电流环响应时间≤1ms，速度环带宽＞500Hz；升降系统执行机构包括液压电磁换向阀（DC24V，响应时间≤10ms）或电动推杆（滚珠丝杠传动）；辅助执行机构包括货叉间距调节电机（步进电机，调节范围550-800mm，精度±2mm）、声光报警器（75dB定向扬声器+LED爆闪灯）。执行层元件防护等级IP54，适应粉尘环境，电磁兼容性满足EN 61000-6-2标准（工业环境抗扰度）。</w:t>
      </w:r>
    </w:p>
    <w:p w14:paraId="463F1EEC">
      <w:r>
        <w:t>抗干扰设计是电气系统在干变绕线车间可靠运行的关键。硬件层面，控制器与驱动器外壳接地（接地电阻≤4Ω），信号电缆采用屏蔽双绞线（屏蔽层单端接地），模拟量信号线与动力电缆间距≥300mm，避免电磁耦合。软件层面，数字量输入采用滤波（滤波时间0.1-10ms可调），模拟量输入进行滑动平均处理（采样次数10次），通讯数据添加校验码（CRC16），防止粉尘环境下的信号干扰。通过上述措施，系统在1000V/m电磁场强度下的通讯误码率≤10⁻⁶，满足工业电磁兼容性要求。</w:t>
      </w:r>
    </w:p>
    <w:p w14:paraId="79BCB946">
      <w:pPr>
        <w:pStyle w:val="4"/>
      </w:pPr>
      <w:r>
        <w:t>4.2 传感器与执行器工作机制</w:t>
      </w:r>
    </w:p>
    <w:p w14:paraId="07A7DBA1">
      <w:r>
        <w:t>传感器系统是电动地车感知环境与自身状态的“神经末梢”，其工作机制直接影响控制精度与安全性能。位置检测传感器中，绝对值编码器（如倍加福RVI58N）通过读取码盘位置信息，实时反馈驱动轮转角（分辨率13位），配合轮径参数计算行驶距离（精度±0.1mm）；激光雷达（SICK TiM781）通过发射激光束扫描环境，生成二维点云数据，与预存地图匹配实现定位（精度±5mm），其镜头需每班次用无尘布清洁，避免粉尘覆盖导致扫描数据噪点增加（＞10%）。二维码相机（200万像素，帧率30fps）安装于车体底部，通过识别地面100mm×100mm二维码获取绝对位置（X/Y/θ），定位精度±3mm，但对地面清洁度要求高，粉尘覆盖（厚度＞0.1mm）会导致识别失败。</w:t>
      </w:r>
    </w:p>
    <w:p w14:paraId="1BA22BDA">
      <w:r>
        <w:t>状态监测传感器实时监控设备运行参数，电压传感器（DC 0-100V，精度±0.5%）测量电池组总电压，当电压＜44V（欠压阈值）时触发报警；温度传感器（PT100，-50-150℃）检测电机绕组温度，超过150℃时切断电机电源；压力传感器（0-1MPa）监控液压系统工作压力，空载起升压力应在6-8MPa，超过10MPa表明滤油器堵塞或油缸卡滞。安全防护传感器中，急停按钮采用双通道常闭设计，按下时切断所有电机动力回路；碰撞传感器为机械式，安装于缓冲垫内侧，触发力50N，用于检测轻微碰撞并发出减速信号。</w:t>
      </w:r>
    </w:p>
    <w:p w14:paraId="75F2CCA2">
      <w:r>
        <w:t>执行器将电信号转化为机械动作，驱动电机是核心执行元件，多采用永磁同步电机（如台达ECMA-C20604RS，功率400W，额定转速3000rpm），通过伺服驱动器实现速度闭环控制，调速范围1:1000。驱动器接收PLC的PWM控制信号（频率10kHz），调节输出电压与频率，实现电机转速精准控制（精度±0.5rpm）。电磁换向阀（如华德4WE6E61B/CG24N9Z5L）控制液压油流向，实现货叉升降与转向动作，其响应时间≤10ms，线圈功耗≤5W，防止发热烧毁。声光报警装置由LED指示灯（红/黄/绿三色）和蜂鸣器组成，正常运行时绿灯常亮，故障时红灯闪烁并伴随90dB蜂鸣音。</w:t>
      </w:r>
    </w:p>
    <w:p w14:paraId="0BB73325">
      <w:r>
        <w:t>信号传递机制采用分层处理方式，确保实时性与可靠性。数字量信号（如急停、限位）通过硬线直接接入PLC的DI模块，采用24V DC两线制，输入电流≥5mA，信号延迟≤1ms，确保安全信号优先响应。模拟量信号（如速度给定、压力反馈）通过AI模块转换为数字量（12位分辨率），采样周期100ms，经数字滤波（一阶低通滤波，截止频率10Hz）后用于控制算法。例如，行走速度给定通过手柄电位器输出0-10V模拟量，对应0-5km/h速度，PLC将其转换为数字量后，通过PROFINET总线发送至变频器，变频器按给定值调节输出频率。</w:t>
      </w:r>
    </w:p>
    <w:p w14:paraId="18B4CCE0">
      <w:pPr>
        <w:pStyle w:val="4"/>
      </w:pPr>
      <w:r>
        <w:t>4.3 控制逻辑与安全联锁</w:t>
      </w:r>
    </w:p>
    <w:p w14:paraId="3804E8D3">
      <w:r>
        <w:t>电动地车的控制逻辑基于“安全优先、效率次之”原则，通过多重条件判断实现自动化作业与风险防控。系统控制流程分为任务接收、路径规划、执行监控三个阶段：任务接收阶段，AGV通过5G网络从MES系统接收任务单（包含起点、终点、优先级），解析后存储于任务队列；路径规划阶段，控制器调用A*算法，基于激光SLAM地图避开静态障碍物（设备、货架），生成最优路径（距离最短或时间最少）；执行监控阶段，实时对比实际位置与规划路径，通过PID算法调节驱动轮转速，修正路径偏差（≤±10mm），同时监测传感器状态，异常时触发应急处理。</w:t>
      </w:r>
    </w:p>
    <w:p w14:paraId="4AFFF4CD">
      <w:r>
        <w:t>安全联锁逻辑是控制的核心，通过多重条件判断防止危险工况。例如，货叉起升联锁：仅当行走速度≤0.5km/h、驻车制动释放、无超载报警（重量传感器检测值＜1500kg）时，PLC才允许输出升降指令；行走联锁：仅当货叉离地高度≥200mm（防止地面障碍物碰撞）、转向轮回正角度≤5°（防止转向时突然起步）时，行走电机允许高速运行（＞3km/h）；充电联锁：充电插头插入时，所有电机动力切断，防止带电作业。联锁条件不满足时，PLC在HMI显示具体原因（如“请释放驻车制动”），并通过蜂鸣器提示操作员。</w:t>
      </w:r>
    </w:p>
    <w:p w14:paraId="255309A4">
      <w:r>
        <w:t>故障诊断机制通过信号监测与逻辑判断实现，系统采用三级诊断策略：一级诊断（传感器层）通过硬件电路监测信号合理性（如编码器信号丢失）；二级诊断（控制器层）通过软件算法检测异常（如电机过流、电池压差过大）；三级诊断（系统层）结合历史数据与专家规则定位根本原因（如频繁过流可能因轴承磨损）。故障代码体系采用“E+三位数字”格式，如“E003”代表激光雷达通信故障，“E105”代表电池单体电压低，每个代码对应详细的故障描述、可能成因及处理步骤，存储于触摸屏“故障帮助”页面，便于维护人员快速检索。</w:t>
      </w:r>
    </w:p>
    <w:p w14:paraId="7D271635">
      <w:r>
        <w:t>应急处理流程确保故障发生时的安全可控，当检测到急停信号或重大故障（如制动失效）时，系统立即执行以下动作：①切断所有电机动力电源；②激活电磁制动器，0.2秒内抱死驱动轮；③打开应急照明，启动声光报警（红色爆闪灯+90dB蜂鸣）；④向车间监控系统发送报警信息。对于非致命故障（如单个传感器失效），系统启动冗余控制策略，例如激光雷达故障时，自动切换至二维码+惯性导航组合定位，确保任务继续执行（定位精度降至±30mm）。</w:t>
      </w:r>
    </w:p>
    <w:p w14:paraId="4A53061B">
      <w:pPr>
        <w:pStyle w:val="3"/>
      </w:pPr>
      <w:r>
        <w:t>五、常见故障类型、成因与处理对策</w:t>
      </w:r>
    </w:p>
    <w:p w14:paraId="088A6C09">
      <w:pPr>
        <w:pStyle w:val="4"/>
      </w:pPr>
      <w:r>
        <w:t>5.1 机械系统故障分析与处理</w:t>
      </w:r>
    </w:p>
    <w:p w14:paraId="1043F441">
      <w:r>
        <w:t>电动地车的机械系统在长期运行中，受负载、振动、粉尘等因素影响，易出现驱动系统异响、转向卡滞、制动失效等故障，需结合现象特征与技术参数精准诊断。驱动系统异响表现为行驶时驱动轮发出周期性“咔咔”声或连续“嗡嗡”声，主要成因包括：行星减速器齿轮磨损（齿厚减薄＞0.2mm），导致啮合侧隙增大（正常侧隙0.1-0.2mm，磨损后＞0.3mm）；传动轴万向节十字轴磨损（轴颈间隙＞0.1mm），转动时产生冲击；驱动轮轮胎偏磨（胎面磨损不均匀，偏差＞2mm），行驶时产生振动噪声。</w:t>
      </w:r>
    </w:p>
    <w:p w14:paraId="36C1F34C">
      <w:r>
        <w:t>处理对策：①减速器异响：拆卸减速器，检查齿轮齿面，若发现点蚀或剥落，需更换齿轮副（20CrMnTi材质，渗碳淬火HRC58-62），装配时调整啮合侧隙至0.15mm，加注极压齿轮油（粘度等级150#）；②万向节异响：更换十字轴总成，装配时涂抹锂基润滑脂（型号ZL-3），确保轴承游隙≤0.05mm；③轮胎偏磨：检查驱动轮定位参数（外倾角±1°，前束±2mm），通过调整转向拉杆修正，更换偏磨轮胎（聚氨酯材质，硬度70 Shore A）。预防措施：每月检查减速器油位（油位应高于齿轮中心），每季度测量万向节间隙，每半年做一次四轮定位。</w:t>
      </w:r>
    </w:p>
    <w:p w14:paraId="55DC1873">
      <w:r>
        <w:t>转向卡滞表现为转向操作力增大（空载＞30N，满载＞50N）或转向不顺畅，主要成因包括：转向拉杆球头磨损（球头与座间隙＞0.5mm）；麦克纳姆轮辊子轴承卡滞（因粉尘进入导致转动阻力＞10N）；转向油缸缺油或密封件老化（内泄漏增大，导致转向缓慢）。处理对策：①更换球头总成，装配时预紧力矩25N·m，确保转动灵活无卡滞；②拆卸麦克纳姆轮，清洗辊子轴承（型号6201ZZ），加注特种润滑脂（耐粉尘型），装配后辊子应能自由转动（转动阻力＜5N）；③补充液压油（L-HM46）至液位计2/3处，更换老化密封件（氟橡胶材质）。预防措施：每周清理转向机构粉尘，每月检查紧固件扭矩，每季度更换辊子轴承润滑脂。</w:t>
      </w:r>
    </w:p>
    <w:p w14:paraId="42773892">
      <w:r>
        <w:t>制动失效表现为制动距离延长（＞2m，车速5km/h时）或驻车制动无法抱死，主要成因包括：制动片磨损（厚度＜2mm）；液压系统压力不足（＜8MPa）；电磁制动器线圈烧毁（开路或短路）。处理对策：①更换制动片，调整制动间隙至0.3-0.5mm；②检查液压管路是否泄漏，调整溢流阀压力至10MPa；③用万用表测量电磁制动器线圈电阻（正常100-200Ω），烧毁时更换线圈（DC24V）。预防措施：每月检查制动片厚度与液压压力，每半年清洁电磁制动器摩擦片（去除粉尘与油污）。</w:t>
      </w:r>
    </w:p>
    <w:p w14:paraId="7E9FC7CA">
      <w:pPr>
        <w:pStyle w:val="4"/>
      </w:pPr>
      <w:r>
        <w:t>5.2 电气系统故障诊断与排除</w:t>
      </w:r>
    </w:p>
    <w:p w14:paraId="4061BE21">
      <w:r>
        <w:t>电气系统故障具有隐蔽性，需结合故障代码、参数测量及信号追踪定位问题，常见故障包括传感器故障、控制器故障及电池故障。传感器故障表现为导航偏差（＞20mm）或避障误报，激光雷达故障是典型案例，现象为点云数据缺失（扫描点数＜50%）或噪点过多（＞30%），成因包括：镜头污染（粉尘覆盖导致透光率＜80%）、安装角度偏移（俯仰角＞1°）、内部电路故障（激光发射器老化）。诊断方法：通过调试软件查看雷达扫描数据，若图像存在明显阴影或空洞，可判断为镜头污染；使用水平仪测量安装角度，偏差＞1°需校准。</w:t>
      </w:r>
    </w:p>
    <w:p w14:paraId="0CEAE8AA">
      <w:r>
        <w:t>处理对策：①清洁镜头：用无尘布蘸无水酒精沿顺时针方向擦拭，禁用有机溶剂；②校准角度：松开雷达固定支架，调整俯仰角至0°±0.5°，紧固后复测；③更换硬件：若激光发射器功率＜50%额定值（通过专用仪器测量），需更换雷达总成（如SICK LMS511）。预防措施：每日班前检查镜头清洁度，每月校准安装角度，每2年更换雷达防尘罩。</w:t>
      </w:r>
    </w:p>
    <w:p w14:paraId="571F42A8">
      <w:r>
        <w:t>控制器故障表现为通信中断或逻辑混乱，如PLC与嵌入式控制器无法同步（时钟偏差＞1ms），成因包括：总线接头松动（接触电阻＞0.1Ω）、程序错误（梯形图逻辑冲突）、电源波动（电压纹波＞±5%）。诊断方法：使用示波器测量PLC电源电压，若纹波超过标准，需检查电源模块；通过编程软件监控总线通信状态，若出现CRC错误（＞10次/分钟），需检查接头或线缆。处理对策：①重新插拔总线接头，涂抹导电膏（降低接触电阻）；②上传备份程序，覆盖错误逻辑；③加装电源滤波器（抑制纹波至±2%以内），更换老化的电源模块（输出电压48V±1%）。预防措施：每月检查总线接头紧固度，每季度备份程序，每年更换电源滤波器。</w:t>
      </w:r>
    </w:p>
    <w:p w14:paraId="61088AAD">
      <w:r>
        <w:t>电池故障表现为续航缩短（＜4小时）或无法充电，单体电池损坏是主因（某串电压＜2.5V），成因包括：过充过放（未及时充电导致深度放电）、单体一致性差（压差＞100mV未均衡）、BMS均衡功能失效（均衡电阻烧毁）。诊断方法：用BMS诊断仪检测单体电压，找出电压异常的单体；测量均衡电路电阻（正常10Ω/2W），若为无穷大则均衡电阻烧毁。处理对策：①更换损坏单体（选用同批次、电压差＜20mV的电芯），更换后需进行3次满充放循环激活；②修复BMS均衡电路，更换均衡电阻（10Ω/2W金属膜电阻）；③升级BMS固件，优化均衡算法（缩短均衡启动阈值至压差＞50mV）。预防措施：避免SOC＜20%运行，每月进行1次均衡充电，每半年检测单体电压一致性。</w:t>
      </w:r>
    </w:p>
    <w:p w14:paraId="751A61CD">
      <w:pPr>
        <w:pStyle w:val="4"/>
      </w:pPr>
      <w:r>
        <w:t>5.3 系统综合故障与预防措施</w:t>
      </w:r>
    </w:p>
    <w:p w14:paraId="5C15B394">
      <w:r>
        <w:t>系统综合故障指多部件关联失效导致的复杂故障，其分析需结合机械、电气多维度数据，典型案例包括“传动异响导致电气过载”“导航偏差引发碰撞”等。传动异响伴随电机过流时，可能因齿轮啮合不良导致阻力增大，电机电流超过额定值150%（6.75A），此时需先排查机械故障（如齿轮磨损、轴承卡滞），再检查电气保护参数（电流限幅值是否设置正确）。导航偏差引发碰撞多因传感器数据融合失效，如激光雷达与二维码定位结果冲突（偏差＞50mm），需通过调试软件降低低质量数据权重（如激光得分＜60分时，权重从0.7降至0.3）。</w:t>
      </w:r>
    </w:p>
    <w:p w14:paraId="38E6003A">
      <w:r>
        <w:t>预防措施需从设计、维护、操作多层面入手，设计层面采用冗余设计（如双回路制动、关键传感器备份）；维护层面建立“日-周-月-年”分级维护体系，日常点检重点检查安全装置（急停、制动），周保养侧重清洁润滑，月检修进行精度校准（如货叉水平度、制动距离），年大修更换易损件（如轴承、密封件）；操作层面严格执行标准化流程，禁止超载（额定载荷1.5-2.5t）、超速（车间内≤3km/h）、带故障运行。</w:t>
      </w:r>
    </w:p>
    <w:p w14:paraId="387EC767">
      <w:r>
        <w:t>建立故障风险评估矩阵，按“故障概率-影响程度”分为高、中、低风险，高风险项（如制动失效、电池起火）需制定专项预案，中风险项（如传感器误报）需加强监控，低风险项（如指示灯故障）可纳入计划性维护。通过统计分析故障数据，识别薄弱环节（如传感器故障占比30%），针对性改进防护措施（如加装防尘罩、优化安装位置），持续提升设备可靠性。</w:t>
      </w:r>
    </w:p>
    <w:p w14:paraId="4DF25B09">
      <w:pPr>
        <w:pStyle w:val="3"/>
      </w:pPr>
      <w:r>
        <w:t>六、维护保养要点与操作规范</w:t>
      </w:r>
    </w:p>
    <w:p w14:paraId="66C3D3AF">
      <w:pPr>
        <w:pStyle w:val="4"/>
      </w:pPr>
      <w:r>
        <w:t>6.1 分级维护周期与核心保养内容</w:t>
      </w:r>
    </w:p>
    <w:p w14:paraId="5C99AC36">
      <w:r>
        <w:t>电动地车的维护保养需遵循“预防性维护”原则，通过“日-周-月-年”分级维护体系，确保设备性能持续达标（MTBF≥5000小时）。日常点检（每班作业前30分钟，操作工执行）重点检查安全与关键性能参数，内容包括：①轮胎：气压（驱动轮800kPa，转向轮600kPa），胎面磨损深度≥2mm，有无裂纹；②制动：行车制动（以5km/h速度行驶，制动距离≤1m），驻车制动（30%载荷15°坡不溜车）；③电池：SOC≥80%，单体电压差≤50mV，舱内无粉尘堆积；④导航：激光雷达镜头清洁，二维码无污损；⑤安全装置：急停按钮功能正常（按下后所有电机断电），激光扫描仪无遮挡。点检结果记录于《日常点检表》，发现异常立即停机报修。</w:t>
      </w:r>
    </w:p>
    <w:p w14:paraId="3BD66B1D">
      <w:r>
        <w:t>周保养（每周五班后1小时，维修工执行）侧重清洁与润滑：①清洁：用压缩空气（压力0.3MPa）吹扫车体表面粉尘，重点清理激光雷达镜头（无尘布）、电池舱（吸尘器）及散热孔（毛刷）；②润滑：门架滚轮（每个注油嘴加注锂基润滑脂2-3g）、转向拉杆球头（注入润滑脂至溢出新油）、驱动轮轴承（通过油嘴注脂，每轮5g）；③检查紧固件：车架连接螺栓（M16，扭矩120N·m）、货叉定位销（开口销完好）、电机固定螺栓（扭矩40N·m），松动时复紧；④清理电池舱粉尘（用吸尘器吸除，避免金属粉尘堆积导致短路）。保养后进行空载试运行（各动作循环3次），确认无异响与泄漏。</w:t>
      </w:r>
    </w:p>
    <w:p w14:paraId="6A1448FD">
      <w:r>
        <w:t>月检修（每月最后一周六）进行精度校准与性能检测，由维修班执行：①货叉水平度校准，使用框式水平仪（精度0.02mm/m）放置于货叉上表面，调节车架底部微调旋钮，使水平度≤0.3mm/m；②制动性能测试，在平坦地面以5km/h速度行驶，实测制动距离≤1m，制动力矩≥20N·m；③液压系统压力检测，启动液压泵，测量油缸无杆腔压力（空载10MPa，满载16MPa），偏差超过±1MPa时调整溢流阀；④电气绝缘测试，用兆欧表测量电机绕组对地绝缘电阻（≥1MΩ），电缆屏蔽层接地电阻（≤4Ω）。检修数据记录于《月度检修报告》，超差项制定整改计划。</w:t>
      </w:r>
    </w:p>
    <w:p w14:paraId="7AA700C1">
      <w:r>
        <w:t>年大修（每年12月，停产3天）进行深度维护与部件更换，由技术部门组织：①更换关键易损件：液压油（全部更换，用量20L）、密封件（油缸、换向阀密封件）、滤芯（液压滤油器、空气滤芯）；②电机保养：拆解驱动电机，清洁定子绕组，更换轴承（型号6205ZZ），转子动平衡校正（不平衡量≤5g·mm）；③结构件检测：车架应力测试（采用应变片测量关键部位应力，≤200MPa），货叉无损检测（磁粉探伤，无裂纹）；④控制系统升级：PLC程序备份与优化，嵌入式控制器算法升级，触摸屏校准。大修后进行全性能测试（连续作业8小时，考核效率、精度、可靠性）。</w:t>
      </w:r>
    </w:p>
    <w:p w14:paraId="324423BF">
      <w:pPr>
        <w:pStyle w:val="4"/>
      </w:pPr>
      <w:r>
        <w:t>6.2 标准化操作流程与安全规范</w:t>
      </w:r>
    </w:p>
    <w:p w14:paraId="4D464422">
      <w:r>
        <w:t>标准化操作是确保电动地车安全高效作业的基础，需覆盖作业全周期，包括开机准备、作业执行及停机交接。开机准备（操作工执行）流程：①环境检查：清理作业通道内杂物（工具、托盘），确认地面无油污、积水，照明亮度≥500Lux；②设备检查：按《日常点检表》逐项确认，特别检查货叉缓冲垫完好（无裂纹）、防护栏固定牢固；③参数确认：登录AGV控制系统，选择任务类型（线圈转运/模具转运），系统自动匹配参数（载荷中心距、行驶速度），操作工复核无误后提交；④启动系统：依次打开电池总开关、控制电源开关，触摸屏显示“系统就绪”（绿色指示灯亮）。</w:t>
      </w:r>
    </w:p>
    <w:p w14:paraId="241111D5">
      <w:r>
        <w:t>作业执行分自动与手动模式，自动模式流程：①接收任务：AGV通过5G网络从MES系统接收任务单（包含起点、终点、优先级）；②路径规划：控制器自动规划最优路径，避开已占用通道；③自动行驶：AGV按“S型速度曲线”行驶（加加速度≤0.5m/s³），通过激光导航实时修正位置；④精准停靠：到达目标工位，通过RFID地标（定位精度±10mm）实现精准停靠，停靠误差≤±5mm；⑤装卸作业：货叉升降至目标高度（±1mm），完成线圈装卸后，返回待命区。手动模式仅用于调试或异常处理，需双人操作（一人操作手柄，一人监护），行驶速度≤1km/h。</w:t>
      </w:r>
    </w:p>
    <w:p w14:paraId="37C2691D">
      <w:r>
        <w:t>停机与交接（班后30分钟，操作工执行）流程：①任务完成：将AGV行驶至指定停放区，货叉降至最低位置（离地50mm），拉起驻车制动；②系统关闭：依次关闭控制电源、电池总开关，悬挂“已停机”警示牌；③设备清理：用抹布擦拭触摸屏、操作手柄，清理货叉上的粉尘与金属碎屑；④数据记录：在《设备运行记录表》填写当班数据（转运次数50次、运行时间8小时、故障0次），与下一班操作员交接，双方签字确认。若发生故障，需详细记录现象（如“14:30激光雷达故障，代码E003”），提交维修部门。</w:t>
      </w:r>
    </w:p>
    <w:p w14:paraId="3768F0DA">
      <w:r>
        <w:t>安全操作规范是预防事故的核心，需严格执行：①个人防护：操作工必须佩戴安全帽（防冲击）、护目镜（防金属粉尘）、防滑工作鞋（鞋底花纹深度≥3mm），禁止佩戴围巾、手链等易卷入物品；②载荷限制：严禁超载（额定载荷1.5-2.5t，禁止超过3t），禁止偏载（载荷中心距超过500mm），货叉插入托盘深度≥货叉长度的2/3；③行驶安全：AGV行驶时，人员需保持安全距离（≥1m），通道拐角处设置声光警示（75dB定向扬声器），优先避让行人；④紧急处理：发生碰撞时立即按下急停按钮，发生火灾时使用车载灭火器（4kg ABC干粉）扑救，同时拨打车间消防电话。违反安全规范者按《安全生产奖惩制度》处理，造成事故的追究责任。</w:t>
      </w:r>
    </w:p>
    <w:p w14:paraId="77E604C7">
      <w:pPr>
        <w:pStyle w:val="4"/>
      </w:pPr>
      <w:r>
        <w:t>6.3 维护质量验证与记录管理</w:t>
      </w:r>
    </w:p>
    <w:p w14:paraId="5FFC059A">
      <w:r>
        <w:t>维护质量验证是确保保养效果的关键环节，通过量化检测与功能测试，确认设备性能达标，同时建立可追溯的记录管理体系。机械性能验证包括：①空载运行测试，各动作（行走、升降、转向）循环10次，记录运行时间（行走100m耗时≤20s，升降3m耗时≤60s），无卡顿、异响；②负载测试，加载1.1倍额定载荷（1.65-2.75t），测试货叉沉降量（10分钟≤30mm）、起升速度（≥40mm/s），符合设计标准；③结构强度验证，加载1.5倍额定载荷，持荷10分钟后测量车架变形量（≤1mm），无永久变形。验证数据填入《维护质量验证表》，作为维护效果的评判依据。</w:t>
      </w:r>
    </w:p>
    <w:p w14:paraId="38A9274C">
      <w:r>
        <w:t>电气性能验证包括：①控制精度测试，自动模式下重复定位精度（连续5次停靠同一货位）≤±3mm；②安全功能测试，模拟急停、限位、过载等故障，系统应在0.5s内响应（停机或报警）；③电磁兼容性测试，在绕线机工作状态下（电磁场强度500V/m），AGV通讯误码率≤10⁻⁶，传感器无误报。验证不合格项需重新维护，直至达标，形成闭环管理。</w:t>
      </w:r>
    </w:p>
    <w:p w14:paraId="34BF15A6">
      <w:r>
        <w:t>记录管理体系遵循“全过程、可追溯”原则，建立纸质与电子档案。基础记录包括：《设备台账》（含型号、出厂编号、购置日期、历次大修记录）、《备件更换清单》（记录更换部件型号、序列号、更换日期、供应商）、《维护计划》（年度、月度维护项目与责任人）。运行记录包括：《日常点检表》（每班）、《设备运行记录表》（每日）、《故障处理单》（每次故障，含现象、诊断、处理、责任人）。技术文档包括：设备图纸（机械装配图、电气原理图）、操作手册、维护手册、校准证书（如激光测距仪校准证书，有效期1年）。</w:t>
      </w:r>
    </w:p>
    <w:p w14:paraId="607D8155">
      <w:r>
        <w:t>记录管理要求：①填写规范，内容真实、完整，字迹清晰，不得涂改（错误处划改并签字）；②存档期限，日常记录保存1年，维护记录保存3年，大修记录与技术文档永久保存；③电子备份，关键记录扫描成PDF文件，每月备份至服务器与云端，防止数据丢失；④分析应用，每月统计故障类型与频次，识别薄弱环节（如传感器故障占比30%），每季度召开设备管理会议，优化维护计划（如增加传感器清洁频次）。通过系统化维护与记录管理，电动地车在干变绕线车间的综合利用率可提升至95%以上，满足连续生产需求。</w:t>
      </w:r>
    </w:p>
    <w:p w14:paraId="06EE98B0">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9FFEB1C"/>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7FFE44A"/>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19</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2025-10-01T20:19:29Z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8C50238DE17B8140511CDD68759792D8_43</vt:lpwstr>
  </property>
  <property fmtid="{D5CDD505-2E9C-101B-9397-08002B2CF9AE}" pid="4" name="KSOTemplateDocerSaveRecord">
    <vt:lpwstr>eyJoZGlkIjoiNzI4YmNmYThhZjA0NTVhODllNDhjMGZiNmFkMDJjN2YiLCJ1c2VySWQiOiIxNjA5OTI0MDI0In0=</vt:lpwstr>
  </property>
</Properties>
</file>