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A8008">
      <w:pPr>
        <w:pStyle w:val="2"/>
      </w:pPr>
    </w:p>
    <w:p w14:paraId="34D22ABA">
      <w:pPr>
        <w:pStyle w:val="2"/>
      </w:pPr>
    </w:p>
    <w:p w14:paraId="40266CBE">
      <w:pPr>
        <w:pStyle w:val="2"/>
      </w:pPr>
      <w:r>
        <w:t>干变仓储组原材料立体仓库托盘技术手册</w:t>
      </w:r>
    </w:p>
    <w:p w14:paraId="681DA211">
      <w:pPr>
        <w:pStyle w:val="3"/>
      </w:pPr>
      <w:r>
        <w:t>一、概述</w:t>
      </w:r>
    </w:p>
    <w:p w14:paraId="4112BF4C">
      <w:pPr>
        <w:pStyle w:val="4"/>
      </w:pPr>
      <w:r>
        <w:t>1.1 手册目的与适用范围</w:t>
      </w:r>
    </w:p>
    <w:p w14:paraId="25A7B39F">
      <w:r>
        <w:t>本手册旨在为干变仓储组原材料立体仓库托盘的设计选型、操作使用、维护保养及故障处理提供标准化技术指导，确保托盘系统在干式变压器原材料存储过程中的安全稳定运行。手册内容涵盖托盘结构组成、功能特性、机械与控制系统原理、常见故障分析及全生命周期管理策略，适用于设备工程师、维护技术人员及相关管理人员。应用场景包括干式变压器生产所需硅钢片、铜线、绝缘材料等原材料的自动化立体仓储环节，不适用于非标准化定制托盘或特殊环境（如强腐蚀、极端温度超过-40℃~60℃范围）下的托盘使用。</w:t>
      </w:r>
    </w:p>
    <w:p w14:paraId="562AE182">
      <w:pPr>
        <w:pStyle w:val="4"/>
      </w:pPr>
      <w:r>
        <w:t>1.2 托盘在干变原材料仓储中的作用与重要性</w:t>
      </w:r>
    </w:p>
    <w:p w14:paraId="67462EDB">
      <w:r>
        <w:t>托盘作为立体仓库的核心承载单元，直接影响原材料存储效率、设备运行安全及物料保护效果。干式变压器原材料具有特性差异显著的特点：硅钢片表面绝缘涂层易破损，需避免机械碰撞；铜线需防止氧化锈蚀；绝缘材料（如环氧树脂）对温湿度敏感，需严格控制存储环境。托盘通过结构设计实现原材料的稳定承载，其防潮、防静电、防腐蚀功能可保障物料质量，而与堆垛机、AGV等设备的适配性则决定仓储系统的自动化水平。实际应用中，标准化托盘可使仓储空间利用率提升30%以上，出入库效率提高50%，同时降低原材料损耗率至0.5%以下。</w:t>
      </w:r>
    </w:p>
    <w:p w14:paraId="5F8CC0F5">
      <w:pPr>
        <w:pStyle w:val="4"/>
      </w:pPr>
      <w:r>
        <w:t>1.3 相关标准与规范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91951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59F7FC">
            <w:pPr>
              <w:jc w:val="center"/>
              <w:rPr>
                <w:b/>
              </w:rPr>
            </w:pPr>
            <w:r>
              <w:rPr>
                <w:b/>
              </w:rPr>
              <w:t>标准名称</w:t>
            </w:r>
          </w:p>
        </w:tc>
        <w:tc>
          <w:tcPr>
            <w:tcW w:w="0" w:type="auto"/>
            <w:vAlign w:val="center"/>
          </w:tcPr>
          <w:p w14:paraId="717DA65E">
            <w:pPr>
              <w:jc w:val="center"/>
              <w:rPr>
                <w:b/>
              </w:rPr>
            </w:pPr>
            <w:r>
              <w:rPr>
                <w:b/>
              </w:rPr>
              <w:t>标准编号</w:t>
            </w:r>
          </w:p>
        </w:tc>
        <w:tc>
          <w:tcPr>
            <w:tcW w:w="0" w:type="auto"/>
            <w:vAlign w:val="center"/>
          </w:tcPr>
          <w:p w14:paraId="144685FE">
            <w:pPr>
              <w:jc w:val="center"/>
              <w:rPr>
                <w:b/>
              </w:rPr>
            </w:pPr>
            <w:r>
              <w:rPr>
                <w:b/>
              </w:rPr>
              <w:t>核心技术指标</w:t>
            </w:r>
          </w:p>
        </w:tc>
      </w:tr>
      <w:tr w14:paraId="3BEF8E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93CB88">
            <w:r>
              <w:t>联运通用平托盘 主要尺寸及公差</w:t>
            </w:r>
          </w:p>
        </w:tc>
        <w:tc>
          <w:tcPr>
            <w:tcW w:w="0" w:type="auto"/>
            <w:vAlign w:val="center"/>
          </w:tcPr>
          <w:p w14:paraId="01815979">
            <w:r>
              <w:t>GB/T 2934-1996</w:t>
            </w:r>
          </w:p>
        </w:tc>
        <w:tc>
          <w:tcPr>
            <w:tcW w:w="0" w:type="auto"/>
            <w:vAlign w:val="center"/>
          </w:tcPr>
          <w:p w14:paraId="5057F9D3">
            <w:r>
              <w:t>规定800mm×1200mm、1000mm×1200mm等8种尺寸，长度/宽度公差±2mm</w:t>
            </w:r>
          </w:p>
        </w:tc>
      </w:tr>
      <w:tr w14:paraId="390FCB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DDD534">
            <w:r>
              <w:t>塑料平托盘</w:t>
            </w:r>
          </w:p>
        </w:tc>
        <w:tc>
          <w:tcPr>
            <w:tcW w:w="0" w:type="auto"/>
            <w:vAlign w:val="center"/>
          </w:tcPr>
          <w:p w14:paraId="0B2B14CF">
            <w:r>
              <w:t>GB/T 15234-2025</w:t>
            </w:r>
          </w:p>
        </w:tc>
        <w:tc>
          <w:tcPr>
            <w:tcW w:w="0" w:type="auto"/>
            <w:vAlign w:val="center"/>
          </w:tcPr>
          <w:p w14:paraId="6BF7A9DB">
            <w:r>
              <w:t>按成型工艺分类，额定载荷分5级（500kg~1500kg），抗冲击性能要求1.2m跌落无结构性损伤</w:t>
            </w:r>
          </w:p>
        </w:tc>
      </w:tr>
      <w:tr w14:paraId="470A411F">
        <w:tc>
          <w:tcPr>
            <w:tcW w:w="0" w:type="auto"/>
            <w:vAlign w:val="center"/>
          </w:tcPr>
          <w:p w14:paraId="06CE3129">
            <w:r>
              <w:t>自动化立体仓库设计规范</w:t>
            </w:r>
          </w:p>
        </w:tc>
        <w:tc>
          <w:tcPr>
            <w:tcW w:w="0" w:type="auto"/>
            <w:vAlign w:val="center"/>
          </w:tcPr>
          <w:p w14:paraId="3369BFDF">
            <w:r>
              <w:t>JB/T 9018</w:t>
            </w:r>
          </w:p>
        </w:tc>
        <w:tc>
          <w:tcPr>
            <w:tcW w:w="0" w:type="auto"/>
            <w:vAlign w:val="center"/>
          </w:tcPr>
          <w:p w14:paraId="2313D943">
            <w:r>
              <w:t>货架结构强度、堆垛机定位精度（±5mm）、输送系统稳定性要求</w:t>
            </w:r>
          </w:p>
        </w:tc>
      </w:tr>
      <w:tr w14:paraId="0FE762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AD3F09B">
            <w:r>
              <w:t>焊接式钢结构货架</w:t>
            </w:r>
          </w:p>
        </w:tc>
        <w:tc>
          <w:tcPr>
            <w:tcW w:w="0" w:type="auto"/>
            <w:vAlign w:val="center"/>
          </w:tcPr>
          <w:p w14:paraId="035ABE82">
            <w:r>
              <w:t>JB/T 5323</w:t>
            </w:r>
          </w:p>
        </w:tc>
        <w:tc>
          <w:tcPr>
            <w:tcW w:w="0" w:type="auto"/>
            <w:vAlign w:val="center"/>
          </w:tcPr>
          <w:p w14:paraId="0FA70BA7">
            <w:r>
              <w:t>货架横梁挠度限值L/200，焊接节点抗剪强度≥120MPa</w:t>
            </w:r>
          </w:p>
        </w:tc>
      </w:tr>
      <w:tr w14:paraId="44A796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AFDD44A">
            <w:r>
              <w:t>工业机械电气设备 通用技术条件</w:t>
            </w:r>
          </w:p>
        </w:tc>
        <w:tc>
          <w:tcPr>
            <w:tcW w:w="0" w:type="auto"/>
            <w:vAlign w:val="center"/>
          </w:tcPr>
          <w:p w14:paraId="1F6A338B">
            <w:r>
              <w:t>GB/T 5226.1</w:t>
            </w:r>
          </w:p>
        </w:tc>
        <w:tc>
          <w:tcPr>
            <w:tcW w:w="0" w:type="auto"/>
            <w:vAlign w:val="center"/>
          </w:tcPr>
          <w:p w14:paraId="6C59AA3E">
            <w:r>
              <w:t>控制系统安全防护等级IP54，急停响应时间≤0.5s</w:t>
            </w:r>
          </w:p>
        </w:tc>
      </w:tr>
    </w:tbl>
    <w:p w14:paraId="46442254">
      <w:pPr>
        <w:pStyle w:val="3"/>
      </w:pPr>
      <w:r>
        <w:t>二、托盘结构组成</w:t>
      </w:r>
    </w:p>
    <w:p w14:paraId="25511CEE">
      <w:pPr>
        <w:pStyle w:val="4"/>
      </w:pPr>
      <w:r>
        <w:t>2.1 材质选择与特性</w:t>
      </w:r>
    </w:p>
    <w:p w14:paraId="4B3A66D5">
      <w:r>
        <w:t>干变仓储托盘材质需平衡承重能力、环境适应性与成本效益，主流材质特性对比见表2-1。钢质托盘因综合性能优势成为首选，其中镀锌钢托盘采用Q235B钢材，表面镀锌层厚度≥8μm，动态负载≥1.5吨，静态负载≥6吨，适用于常规干燥环境；不锈钢托盘（304材质）耐酸碱腐蚀，适用于潮湿或洁净场景，但成本为镀锌钢托盘的2.5倍。塑料托盘需内部加钢管增强，动载约1吨，静载约4吨，长期承重易产生蠕变，寿命仅5-8年，低于钢托盘的10-15年。木质托盘虽成本最低，但易受潮霉变，承重能力差（静载≤3吨），不符合干式变压器原材料长期存储要求。</w:t>
      </w:r>
    </w:p>
    <w:p w14:paraId="5BDAC34E">
      <w:r>
        <w:rPr>
          <w:b/>
        </w:rPr>
        <w:t>表2-1 托盘材质特性对比</w:t>
      </w:r>
    </w:p>
    <w:p w14:paraId="2ACAB490">
      <w:r>
        <w:t>| 材质 | 动态负载 | 静态负载 | 耐腐蚀性 | 成本（元/个） | 寿命（年） | 适用场景 |</w:t>
      </w:r>
    </w:p>
    <w:p w14:paraId="47E53E8C">
      <w:r>
        <w:t>|------------|----------|----------|----------|---------------|------------|------------------------|</w:t>
      </w:r>
    </w:p>
    <w:p w14:paraId="3FBF6FBA">
      <w:r>
        <w:t>| 镀锌钢 | ≥1.5吨 | ≥6吨 | 良好 | 800-1200 | 10-15 | 常规干燥环境、重载存储 |</w:t>
      </w:r>
    </w:p>
    <w:p w14:paraId="36E9FFC5">
      <w:r>
        <w:t>| 不锈钢（304） | ≥1.5吨 | ≥6吨 | 优秀 | 2000-2500 | 15-20 | 潮湿、洁净环境 |</w:t>
      </w:r>
    </w:p>
    <w:p w14:paraId="3DC57D72">
      <w:r>
        <w:t>| 塑料（加钢管） | 1吨 | 4吨 | 良好 | 350-500 | 5-8 | 轻载、临时周转 |</w:t>
      </w:r>
    </w:p>
    <w:p w14:paraId="5BE8C0DB">
      <w:r>
        <w:t>| 木质 | 0.8吨 | 3吨 | 较差 | 150-200 | 2-3 | 非自动化、短期存储 |</w:t>
      </w:r>
    </w:p>
    <w:p w14:paraId="2063A2E3">
      <w:pPr>
        <w:pStyle w:val="4"/>
      </w:pPr>
      <w:r>
        <w:t>2.2 结构部件设计原理</w:t>
      </w:r>
    </w:p>
    <w:p w14:paraId="27A05E16">
      <w:r>
        <w:t>托盘结构由面板、支撑筋、边缘加强结构及底部框架组成，各部件设计直接影响承载能力与设备适配性。面板采用平板或网格结构：平板结构表面无缝，适用于绝缘纸等易散落物料，厚度≥4mm；网格结构通过镂空设计减轻重量（比平板结构轻15%），通风性好，适合硅钢片等金属材料存储。支撑筋为关键承重部件，田字底布局通过密集网格状加强筋将静载提升至6-8吨，堆垛时上层托盘嵌入下层网格形成咬合结构，稳定性优于川字底；川字底布局因底部三条平行支撑梁，更适配叉车四向进叉作业，叉孔宽度需与货叉尺寸匹配（通常为160mm×80mm）。边缘加强采用增厚2-3mm材料或圆角过渡设计，抗冲击能力提升40%，可减少堆垛机抓取时的碰撞损伤。底部结构需预留导向槽，与输送机辊筒配合间隙控制在5-10mm，防止输送卡顿。</w:t>
      </w:r>
    </w:p>
    <w:p w14:paraId="0D70E0C0">
      <w:pPr>
        <w:pStyle w:val="4"/>
      </w:pPr>
      <w:r>
        <w:t>2.3 尺寸规格与精度要求</w:t>
      </w:r>
    </w:p>
    <w:p w14:paraId="773DEEFB">
      <w:r>
        <w:t>托盘尺寸需同时满足国家标准与设备兼容性要求，干变仓储常用规格为1200mm×1000mm（1210型）和1100mm×1100mm（T11型），高度150-160mm。1210型为我国主推标准，适配多数堆垛机与叉车；T11型因货架间距适配性好，在高密度存储仓库中应用逐渐增加。尺寸精度要求严格：长度和宽度公差≤±2mm，对角线偏差≤3mm，高度公差±1.5mm，以确保堆垛机货叉精准插入。底部叉孔尺寸需符合GB/T 2934规定，进叉口高度≥80mm，长度≥2/3托盘深度，叉孔间距与叉车货叉间距匹配（通常为600mm或900mm）。例如，存放1600KVA干式变压器铁芯（底座尺寸1600mm×1000mm）时，需选用1200mm×1000mm托盘，通过边缘挡板限制物料偏移量≤±5mm。</w:t>
      </w:r>
    </w:p>
    <w:p w14:paraId="64DE5C66">
      <w:pPr>
        <w:pStyle w:val="3"/>
      </w:pPr>
      <w:r>
        <w:t>三、功能特性</w:t>
      </w:r>
    </w:p>
    <w:p w14:paraId="1819439F">
      <w:pPr>
        <w:pStyle w:val="4"/>
      </w:pPr>
      <w:r>
        <w:t>3.1 基本性能指标</w:t>
      </w:r>
    </w:p>
    <w:p w14:paraId="1A17E985">
      <w:r>
        <w:t>托盘基本性能指标需满足立体仓库高强度作业需求，核心参数见表3-1。承载能力分动态负载（叉车/AGV搬运）、静态负载（地面堆叠）和货架负载（立体库存储）三类，干变仓储要求动态负载≥1.5吨，静态负载≥6吨，货架负载≥2吨（考虑1.2倍安全系数）。堆叠性能方面，双面托盘可实现4-5层堆码，柱式托盘通过增设钢制立柱，在不压迫货物情况下堆码层数提升至6层，且立柱顶部可加装横梁形成框架结构，适用于不规则形状原材料。抗冲击性通过1.2m高度角跌落试验验证，钢质托盘应无裂纹、变形，塑料托盘不允许出现结构性破损。耐候性需适应-40℃~60℃温度范围，相对湿度≤70%，塑料托盘在低温环境下表面电阻变化率≤20%，钢质托盘盐雾试验防锈层剥离率≤5%（GB/T 10125-2021标准）。</w:t>
      </w:r>
    </w:p>
    <w:p w14:paraId="5073FD82">
      <w:r>
        <w:rPr>
          <w:b/>
        </w:rPr>
        <w:t>表3-1 托盘基本性能指标</w:t>
      </w:r>
    </w:p>
    <w:p w14:paraId="004B840A">
      <w:r>
        <w:t>| 性能指标 | 单位 | 钢质托盘（镀锌） | 塑料托盘（加钢管） | 干变仓储要求 |</w:t>
      </w:r>
    </w:p>
    <w:p w14:paraId="7F29F78B">
      <w:r>
        <w:t>|----------------|--------|------------------|--------------------|--------------|</w:t>
      </w:r>
    </w:p>
    <w:p w14:paraId="4E08CA92">
      <w:r>
        <w:t>| 动态负载 | 吨 | ≥1.5 | 1.0 | ≥1.5 |</w:t>
      </w:r>
    </w:p>
    <w:p w14:paraId="39372890">
      <w:r>
        <w:t>| 静态负载 | 吨 | ≥6.0 | 4.0 | ≥6.0 |</w:t>
      </w:r>
    </w:p>
    <w:p w14:paraId="6CAF5C34">
      <w:r>
        <w:t>| 货架负载 | 吨 | ≥2.0 | 1.5 | ≥2.0 |</w:t>
      </w:r>
    </w:p>
    <w:p w14:paraId="5536F2AC">
      <w:r>
        <w:t>| 堆码层数（地面） | 层 | 5-6 | 3-4 | 4-5 |</w:t>
      </w:r>
    </w:p>
    <w:p w14:paraId="03F4E396">
      <w:r>
        <w:t>| 抗冲击跌落高度 | mm | 1200 | 800 | 1200 |</w:t>
      </w:r>
    </w:p>
    <w:p w14:paraId="2CDCB0AD">
      <w:r>
        <w:t>| 耐温范围 | ℃ | -40~60 | -30~50 | -40~60 |</w:t>
      </w:r>
    </w:p>
    <w:p w14:paraId="2D139CEA">
      <w:r>
        <w:t>| 相对湿度 | % | ≤90 | ≤85 | ≤70 |</w:t>
      </w:r>
    </w:p>
    <w:p w14:paraId="4E8594A3">
      <w:pPr>
        <w:pStyle w:val="4"/>
      </w:pPr>
      <w:r>
        <w:t>3.2 特殊功能设计</w:t>
      </w:r>
    </w:p>
    <w:p w14:paraId="24263B5B">
      <w:r>
        <w:t>针对干变原材料存储需求，托盘需集成防潮、防静电、防腐蚀等特殊功能。防潮设计通过材料选择与结构优化实现：塑料托盘表面吸水率≤0.01%，能有效阻隔水汽；钢质托盘表面镀锌或喷涂防锈涂层，在盐雾环境下防锈能力达500小时以上。防静电功能通过在原材料中添加抗静电剂实现，表面电阻值控制在10⁶Ω-10¹¹Ω，可消除摩擦产生的静电积累，避免静电击穿绝缘材料。防腐蚀设计方面，不锈钢托盘适用于潮湿环境，钢制托盘可采用环氧树脂涂层（厚度≥60μm），耐酸碱性能提升3倍。防滑设计通过表面菱形网格纹路或嵌入式橡胶条实现，摩擦系数≥0.45，配合边缘50mm高挡板，可防止物料在堆垛机高速运行（120m/min）时滑动。定位导向功能通过底部RFID标签（存储托盘ID、货物批次等信息）与光电传感器协同实现，定位精度±3mm，支持与WMS系统实时数据交互。</w:t>
      </w:r>
    </w:p>
    <w:p w14:paraId="1DFE35AF">
      <w:pPr>
        <w:pStyle w:val="4"/>
      </w:pPr>
      <w:r>
        <w:t>3.3 与仓储设备的适配性</w:t>
      </w:r>
    </w:p>
    <w:p w14:paraId="1173C041">
      <w:r>
        <w:t>托盘与堆垛机、输送机、AGV等设备的适配性直接影响仓储系统效率。堆垛机适配要求托盘尺寸与货叉行程匹配，1200mm×1000mm托盘需预留5-10cm安全间隙，避免与货架立柱干涉；货叉插入深度需≥叉孔长度的2/3，否则易导致托盘边缘开裂。输送机适配方面，辊筒输送机要求托盘底部有连续支撑面，川字底托盘需保证至少3根辊筒同时接触；链条输送机需托盘底部无突出部件，边缘圆角半径≥5mm，防止链条卡滞。AGV适配需满足潜伏式叉车潜入要求，托盘底部间隙≥150mm，叉孔高度80-120mm，定位销与导向孔配合公差≤±1mm。实际应用中，通过标准化托盘尺寸（如1200mm×1000mm）与设备协同，可实现每小时200托盘以上的出入库效率，比非标准化托盘提升40%。</w:t>
      </w:r>
    </w:p>
    <w:p w14:paraId="56A9A5F1">
      <w:pPr>
        <w:pStyle w:val="3"/>
      </w:pPr>
      <w:r>
        <w:t>四、机械工作原理</w:t>
      </w:r>
    </w:p>
    <w:p w14:paraId="4BC96AD0">
      <w:pPr>
        <w:pStyle w:val="4"/>
      </w:pPr>
      <w:r>
        <w:t>4.1 作业流程</w:t>
      </w:r>
    </w:p>
    <w:p w14:paraId="6420AA8A">
      <w:r>
        <w:t>托盘在立体仓库中的作业流程包括入库、存储、出库三个环节，各环节通过设备协同实现自动化操作。入库流程：原材料经检验后放置于托盘，人工或AGV将托盘转运至入库输送线，RFID读写器自动识别托盘信息并上传至WMS系统；WMS分配目标库位，WCS调度堆垛机至接驳区，货叉伸出插入托盘叉孔（插入深度≥800mm），提升至脱离输送面100mm后，堆垛机行驶至目标巷道，升降台调整至对应高度（定位精度±5mm），货叉伸出将托盘放置于货架横梁上，完成后货叉收回并反馈信号至WMS，更新库存数据。存储阶段，托盘在货架上承受静态负载，需通过底部加强筋分散压力，防止长期形变（挠度≤1mm/m）。出库流程与入库相反，堆垛机根据WMS指令定位至目标托盘，货叉伸出托起托盘（提升速度0.5m/s²），经水平和垂直运动将托盘转运至出库输送线，由AGV送达生产车间。</w:t>
      </w:r>
    </w:p>
    <w:p w14:paraId="1700AE1C">
      <w:pPr>
        <w:pStyle w:val="4"/>
      </w:pPr>
      <w:r>
        <w:t>4.2 堆垛机货叉抓取与定位原理</w:t>
      </w:r>
    </w:p>
    <w:p w14:paraId="167BEF8F">
      <w:r>
        <w:t>堆垛机货叉通过多级嵌套结构实现伸缩动作，单伸位货叉由上、中、下三节叉体组成，双伸位则增加一节形成四段式结构。下叉体固定于堆垛机载货台，中叉体通过齿轮齿条传动（模数2-3mm）移动约自身长度的一半，上叉体从中叉体中点继续延伸，双伸位设计可覆盖第二个库位。抓取动作时，货叉伸出至托盘底部空隙，通过叉体前端导向斜面滑入叉孔，接触限位开关后停止延伸，随后收缩货叉将托盘承载于载货台上。定位系统采用“三重确认机制”：行走电机编码器确定巷道位置（精度±3mm），提升电机编码器控制垂直高度（精度±2mm），货叉伸缩编码器负责横向定位（精度±1mm），三者数据通过Profinet总线实时传输至控制系统。导向系统采用PTFE涂层滑块与精密导轨配合，摩擦系数0.02-0.05，确保货叉伸缩平稳，无卡滞现象。</w:t>
      </w:r>
    </w:p>
    <w:p w14:paraId="653C467A">
      <w:pPr>
        <w:pStyle w:val="4"/>
      </w:pPr>
      <w:r>
        <w:t>4.3 设备协同机械原理</w:t>
      </w:r>
    </w:p>
    <w:p w14:paraId="38CC2521">
      <w:r>
        <w:t>多设备协同作业依赖托盘与设备的机械联动设计，核心在于运动同步与负载平衡。输送机系统通过托辊布局与托盘底部结构匹配实现稳定输送：辊筒间距根据托盘支腿间距设定（通常为300-500mm），确保托盘在输送过程中不出现“跷跷板”效应；输送带张紧度通过气动装置调节，张力偏差≤5%，防止托盘跑偏。AGV与托盘的交互通过潜伏式设计实现，AGV潜入托盘底部后，举升机构将托盘顶起（举升高度≥100mm），通过激光导航（定位精度±10mm）行驶至目标位置，举升机构下降将托盘放置于地面或输送线。堆垛机与货架的配合需考虑层间距与托盘高度匹配，层间距通常为托盘高度+货物高度+50mm安全间隙，例如托盘高度160mm、货物高度800mm时，层间距应≥1010mm。实际应用中，通过设备间的信号交互（如“托盘到位”“货叉就绪”）实现动作协同，响应时间≤100ms，确保系统流畅运行。</w:t>
      </w:r>
    </w:p>
    <w:p w14:paraId="1AD41269">
      <w:pPr>
        <w:pStyle w:val="3"/>
      </w:pPr>
      <w:r>
        <w:t>五、控制系统原理</w:t>
      </w:r>
    </w:p>
    <w:p w14:paraId="5A6BDCC3">
      <w:pPr>
        <w:pStyle w:val="4"/>
      </w:pPr>
      <w:r>
        <w:t>5.1 自动识别技术</w:t>
      </w:r>
    </w:p>
    <w:p w14:paraId="0683635D">
      <w:r>
        <w:t>托盘自动识别技术包括条码、RFID及视觉识别，各技术特性差异决定其适用场景。条码技术通过光学扫描实现信息读取，成本极低（单个标签＜0.1元），但需人工对准扫描，识别效率低（单托盘扫描时间≥3秒），适用于低吞吐量场景。RFID技术通过无线射频信号实现非接触式识别，超高频（900MHz）RFID标签支持5米以上识别距离和每秒数百个标签的批量读取，标签安装于托盘底部中央位置，与出入库口读写器（读取率≥99.9%）协同，可实现托盘自动识别与信息上传，某案例显示其使出入库效率提升50%。视觉识别通过摄像头采集托盘图像，结合AI算法匹配特征点，无需附加标签，适用于金属托盘等不适宜粘贴标签的场景，但受光照、污渍影响较大，识别准确率约95%，需配合人工核验。实际应用中，干变仓储多采用RFID为主、条码为辅的识别方案，RFID负责自动化识别，条码用于故障时人工干预。</w:t>
      </w:r>
    </w:p>
    <w:p w14:paraId="39E6FC0D">
      <w:pPr>
        <w:pStyle w:val="4"/>
      </w:pPr>
      <w:r>
        <w:t>5.2 WMS/WCS系统控制逻辑</w:t>
      </w:r>
    </w:p>
    <w:p w14:paraId="32307F4A">
      <w:r>
        <w:t>WMS（仓库管理系统）与WCS（仓库控制系统）协同实现托盘全流程控制，形成“规划-执行-反馈”闭环。WMS作为“战略大脑”，负责库存管理与任务生成：入库时根据原材料类型（如硅钢片归为A类物料）自动分配货位，遵循“先进先出”原则；出库时根据生产计划生成拣选任务，优先级按紧急程度划分（如生产缺料任务优先级设为最高）。WCS作为“战术执行引擎”，将WMS任务拆解为设备动作指令：控制堆垛机行驶速度（0-120m/min无级调速）、货叉伸缩时序（伸出速度0.3m/s，收回速度0.4m/s）；调度输送机启停，根据托盘重量（通过重量传感器检测，精度±3kg）调整输送速度（轻载1.2m/s，重载0.8m/s）。两者通过API接口实时交互数据，WMS每100ms向WCS发送任务状态查询，WCS反馈设备运行数据（如堆垛机位置、货叉状态），数据传输延迟≤50ms，确保系统同步性。</w:t>
      </w:r>
    </w:p>
    <w:p w14:paraId="4565329E">
      <w:pPr>
        <w:pStyle w:val="4"/>
      </w:pPr>
      <w:r>
        <w:t>5.3 安全控制机制</w:t>
      </w:r>
    </w:p>
    <w:p w14:paraId="550D5BB5">
      <w:r>
        <w:t>托盘作业安全通过多层次防护机制实现，包括机械防护、电气联锁与软件监控。机械防护方面，堆垛机货叉设有限位开关，伸出超程时自动停止；托盘边缘安装防撞缓冲垫（厚度≥20mm），可吸收80%碰撞能量。电气联锁通过安全继电器实现，急停按钮触发时，堆垛机立即断电制动（制动距离≤0.5m），输送机停止运行。软件监控系统实时采集托盘状态数据：通过光电传感器检测物料偏移量，超过±5mm时触发减速；重量传感器监测超载（超过额定载荷1.3倍）时，禁止堆垛机提升并报警；RFID标签与货物信息不符时，系统自动拦截托盘并提示人工处理。安全控制节点覆盖托盘作业全流程，故障响应时间≤100ms，可有效预防设备损坏与物料事故。</w:t>
      </w:r>
    </w:p>
    <w:p w14:paraId="68DD8C9A">
      <w:pPr>
        <w:pStyle w:val="3"/>
      </w:pPr>
      <w:r>
        <w:t>六、常见故障分析与排除</w:t>
      </w:r>
    </w:p>
    <w:p w14:paraId="5FE4A689">
      <w:pPr>
        <w:pStyle w:val="4"/>
      </w:pPr>
      <w:r>
        <w:t>6.1 结构故障</w:t>
      </w:r>
    </w:p>
    <w:p w14:paraId="56B29229">
      <w:r>
        <w:t>结构故障主要表现为开裂、变形、磨损，成因与材料、操作、环境因素相关。开裂故障多发生于托盘拐角与支撑筋焊接处：材质疲劳导致的开裂（如回收HDPE塑料托盘在动载1.5吨工况下横梁根部出现3-5cm裂纹），需更换新托盘；低温脆化开裂（-10℃以下环境中塑料托盘拐角放射状裂纹），应选用添加抗冻剂的改性塑料或钢制托盘；操作不当（叉车叉齿插入深度不足2/3）导致的边缘开裂，需加强操作人员培训，确保叉齿完全插入。变形故障表现为塑料托盘局部凹陷（静载超过额定值1.3倍时，面板永久变形0.5-1.2mm）或木质托盘翘曲（湿度＞75%时含水率上升至20%以上），解决措施包括控制负载不超过额定值、改善仓储环境（湿度≤70%）、采用田字底结构提升抗变形能力。磨损故障集中在进叉口与支撑脚，金属叉车叉齿与塑料托盘叉孔长期摩擦导致接触区域厚度减少0.2-0.5mm/月，当厚度降至初始值60%时，需更换托盘或加装金属耐磨片。</w:t>
      </w:r>
    </w:p>
    <w:p w14:paraId="77746CF0">
      <w:pPr>
        <w:pStyle w:val="4"/>
      </w:pPr>
      <w:r>
        <w:t>6.2 功能故障</w:t>
      </w:r>
    </w:p>
    <w:p w14:paraId="4B162380">
      <w:r>
        <w:t>功能故障影响托盘基本使用性能，包括承载能力下降、堆叠不稳、尺寸偏差等类型。承载能力下降多因结构损伤或材料劣化：钢制托盘焊接点脱焊（承载能力下降25%），需通过磁粉探伤检测裂纹并重新焊接；塑料托盘老化（使用超过5年）导致强度下降，应定期进行静载测试（5吨载荷持压24小时，变形量超过3%即报废）。堆叠不稳源于托盘结构不匹配或货物摆放问题：单面托盘双面堆叠导致支撑不足，需改用双面托盘；货物偏心堆放（偏离中心＞15cm）引发倾斜，应规范堆码操作，确保重心居中。尺寸偏差由制造误差或使用损耗导致：木质托盘加工精度不足（长度偏差＞5mm），需更换高精度托盘；钢托盘长期碰撞导致边缘变形（偏差＞3mm），可采用液压矫正工装恢复尺寸精度。</w:t>
      </w:r>
    </w:p>
    <w:p w14:paraId="5B8898BB">
      <w:pPr>
        <w:pStyle w:val="4"/>
      </w:pPr>
      <w:r>
        <w:t>6.3 设备配合故障</w:t>
      </w:r>
    </w:p>
    <w:p w14:paraId="130B9636">
      <w:r>
        <w:t>托盘与设备配合故障会导致系统停机，常见类型包括堆垛机对接失败与输送卡阻。堆垛机对接失败多因尺寸精度或定位偏差：托盘宽度超差3mm导致货叉卡滞，需修复托盘或调整货叉导向；RFID标签读取失败（识别率＜99%），应清洁标签表面或更换损坏标签。输送卡阻源于输送机故障或托盘底部异常：输送带跑偏（横向位移＞15mm），需调整传动滚筒垂直度；托盘底部凸起（如焊接点脱焊产生1mm凸起）与清扫器碰撞，应打磨凸起部位；托辊转动不灵活（阻力矩＞0.5N·m），需更换托辊轴承。排除故障时，可通过PLC监控系统查看设备运行数据（如堆垛机定位坐标、输送机速度），快速定位故障点。</w:t>
      </w:r>
    </w:p>
    <w:p w14:paraId="136B18B6">
      <w:pPr>
        <w:pStyle w:val="4"/>
      </w:pPr>
      <w:r>
        <w:t>6.4 环境因素故障</w:t>
      </w:r>
    </w:p>
    <w:p w14:paraId="02B12989">
      <w:r>
        <w:t>环境因素对托盘性能影响显著，温湿度、化学腐蚀、紫外线照射均可能引发故障。高温环境（＞60℃）使塑料托盘软化，承载能力下降30%，应更换耐高温改性材料（如添加玻纤增强的PP材质，热变形温度≥120℃）；低温环境（＜-20℃）导致塑料托盘脆化，抗冲击性能下降50%，需选用HDPE材质或钢制托盘。潮湿环境加速金属托盘锈蚀，未镀锌钢托盘在湿度＞85%时锈蚀速率达0.2mm/年，应采用镀锌处理（锌层厚度≥8μm）或不锈钢材质。化学腐蚀（如接触变压器油）导致塑料托盘溶胀（体积膨胀率5%-8%），需改用不锈钢托盘或表面喷涂聚四氟乙烯涂层。紫外线老化使塑料托盘表面粉化，拉伸强度下降23%，应避免阳光直射或采用添加紫外线吸收剂的托盘（耐候性提升2-3倍）。</w:t>
      </w:r>
    </w:p>
    <w:p w14:paraId="4C0AB0D9">
      <w:pPr>
        <w:pStyle w:val="3"/>
      </w:pPr>
      <w:r>
        <w:t>七、维护保养技术</w:t>
      </w:r>
    </w:p>
    <w:p w14:paraId="6765687E">
      <w:pPr>
        <w:pStyle w:val="4"/>
      </w:pPr>
      <w:r>
        <w:t>7.1 日常维护规范</w:t>
      </w:r>
    </w:p>
    <w:p w14:paraId="27FC7FB4">
      <w:r>
        <w:t>日常维护需定期清洁、检查、润滑，确保托盘性能稳定。清洁方面，塑料托盘轻度污染用温水擦拭，顽固污渍采用中性清洁剂（pH值5.5-7.5）浸泡10-15分钟清洗，禁止使用钢丝球等尖锐工具；钢质托盘表面油污用柴油擦拭，锈蚀部位需除锈后重新喷漆。检查分为三级：日常检查（操作人员执行），目视检查托盘有无裂纹、变形、突出物，重点关注叉孔与边缘；周检（维护人员执行），测量托盘尺寸偏差（长度/宽度误差≤±2mm）、表面平整度（偏差≤5mm/m²）；季检（工程师执行），进行静载测试（额定载荷持压24小时，变形量≤2%）、抗冲击测试（1.2m高度角跌落无损伤）。润滑主要针对堆垛机货叉滑轨与链条，滑轨每周涂抹锂基润滑脂（NLGI 2级），链条每月润滑一次，确保摩擦系数≤0.12。维护需记录《托盘维护台账》，包括清洁时间、检查结果、更换部件等信息，存档期限≥3年。</w:t>
      </w:r>
    </w:p>
    <w:p w14:paraId="0EDF5BF4">
      <w:pPr>
        <w:pStyle w:val="4"/>
      </w:pPr>
      <w:r>
        <w:t>7.2 故障预防策略</w:t>
      </w:r>
    </w:p>
    <w:p w14:paraId="507B1437">
      <w:r>
        <w:t>预防故障需结合定期检测、预防性更换与规范操作，降低故障率。定期检测采用无损检测技术：钢制托盘每半年进行磁粉探伤，检查焊接部位裂纹；塑料托盘每年进行热老化试验（70℃烘箱放置168小时，冲击强度保留率≥80%）；RFID标签每季度测试识别距离（≥3米）。预防性更换根据使用频率与环境调整周期：日均周转＞3次的托盘，更新周期缩短20%；化学腐蚀环境下的托盘，每季度评估腐蚀程度，必要时提前更换。使用规范包括：严格执行额定载荷（标注于托盘侧面），禁止超载；堆码遵循“重不压轻、大不压小”原则，高度不超过托盘宽度的1.5倍；叉车叉取时确保货叉完全插入叉孔，提升时缓慢操作，避免冲击。通过培训操作人员识别托盘故障前兆（如异响、变形），可使故障发现及时率提升60%。</w:t>
      </w:r>
    </w:p>
    <w:p w14:paraId="6D817298">
      <w:pPr>
        <w:pStyle w:val="4"/>
      </w:pPr>
      <w:r>
        <w:t>7.3 维修技术方案</w:t>
      </w:r>
    </w:p>
    <w:p w14:paraId="659E010D">
      <w:r>
        <w:t>针对不同故障类型，需采用结构修复、功能恢复、性能提升等维修方案。结构修复：钢制托盘焊接断裂处，使用E43焊条焊接（焊接电流100-120A），焊后打磨平整；塑料托盘非结构性裂纹，采用热风焊接工艺（温度200-220℃），使用同材质焊条填充。功能恢复：RFID标签读取异常，重新粘贴屏蔽层或更换芯片模块（ID信息需同步至WMS系统）；防静电性能下降（表面电阻＞10¹¹Ω），涂抹抗静电剂（每半年一次）。性能提升：重载托盘底部增加加强筋板（厚度≥3mm），采用断续焊接（焊段长50mm，间隔100mm）避免应力集中；钢质托盘表面喷涂锌镍合金镀层（厚度8-12μm），耐盐雾性能提升至500小时以上。维修后需进行性能验证，如焊接修复的托盘需通过1.5倍额定载荷静载测试，确保修复质量。</w:t>
      </w:r>
    </w:p>
    <w:p w14:paraId="218EA3DB">
      <w:pPr>
        <w:pStyle w:val="3"/>
      </w:pPr>
      <w:r>
        <w:t>八、全生命周期管理</w:t>
      </w:r>
    </w:p>
    <w:p w14:paraId="78BA6CB7">
      <w:pPr>
        <w:pStyle w:val="4"/>
      </w:pPr>
      <w:r>
        <w:t>8.1 报废标准</w:t>
      </w:r>
    </w:p>
    <w:p w14:paraId="1B00048C">
      <w:r>
        <w:t>托盘报废需满足结构、功能或材料劣化指标，具体判定标准如下：结构报废：托盘表面裂纹深度＞3mm或长度＞50mm；变形量超过对角线长度2%（如1200mm×1000mm托盘对角线变形＞26mm）；支撑脚断裂或脱落。功能报废：动态承载能力降至额定值70%以下（如原动载1.5吨降至1.05吨以下）；RFID标签无法识别且修复无效；防静电性能失效（表面电阻＜10⁶Ω或＞10¹¹Ω）。材料劣化报废：塑料托盘严重老化（表面粉化面积＞30%，冲击强度下降＞50%）；钢制托盘锈蚀穿孔（锈蚀深度＞1mm）；木质托盘腐朽、虫蛀（受损面积＞20%）。报废检测方法包括：超声波探伤（检测钢制托盘内部裂纹）、静载试验（5吨载荷持压24小时）、表面电阻测试（使用阻抗仪测量）。报废判定需填写《托盘报废申请表》，经设备工程师审核后执行。</w:t>
      </w:r>
    </w:p>
    <w:p w14:paraId="327B654C">
      <w:pPr>
        <w:pStyle w:val="4"/>
      </w:pPr>
      <w:r>
        <w:t>8.2 更新周期管理</w:t>
      </w:r>
    </w:p>
    <w:p w14:paraId="4A379D82">
      <w:r>
        <w:t>托盘更新周期根据材质、使用频率、环境条件动态调整，基础更新周期为：塑料托盘（纯原料）4-5年，含再生料2-3年；钢制托盘8-10年，不锈钢托盘15-20年。使用频率影响：日均周转次数＞3次的托盘，更新周期缩短20%；存储腐蚀性物料的托盘，每季度检测，发现内部损伤即时报废。环境条件调整：高温（＞40℃）或高湿（＞75%）环境，塑料托盘更新周期缩短30%；沿海高盐雾环境，钢制托盘更新周期缩短25%。更新计划需纳入年度设备维护预算，采用“批次更换”策略（每次更换不超过总量的1/3），避免系统停机。更新后，旧托盘可回收利用：塑料托盘粉碎造粒（回收收益约50元/个），钢制托盘熔炼再利用（回炉价值约100元/个）。</w:t>
      </w:r>
    </w:p>
    <w:p w14:paraId="69E6B2C8">
      <w:pPr>
        <w:pStyle w:val="4"/>
      </w:pPr>
      <w:r>
        <w:t>8.3 成本控制策略</w:t>
      </w:r>
    </w:p>
    <w:p w14:paraId="50E1D89F">
      <w:r>
        <w:t>全生命周期成本控制需覆盖采购、运维、处置三个阶段。采购阶段采用“性价比优先”原则：纯原料HDPE托盘单价350元/个，寿命5年，年均成本70元；含30%再生料托盘单价280元/个，寿命2年，年均成本140元，长期使用纯原料更经济。运维阶段实施分级维修：轻微裂纹采用热熔修补（成本30元/次），严重变形更换模块化部件（如钢制托盘横梁组件120元/个），比整体更换节省60%成本。数字化管理可降低运维成本，通过RFID记录托盘使用次数、载荷历史，预测维护需求（如每万次周转进行结构探伤），使故障维修成本降低25%。处置阶段遵循环保原则：报废塑料托盘需交由有资质企业回收，避免环境污染；木质托盘需熏蒸处理（成本20元/个）后破碎，防止虫害传播。通过全生命周期成本分析，标准化钢质托盘年均成本可控制在100元以内，比非标准化托盘低40%。</w:t>
      </w:r>
    </w:p>
    <w:p w14:paraId="11FD1691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AFEC57F"/>
    <w:rsid w:val="BCB98261"/>
    <w:rsid w:val="F3EB132D"/>
    <w:rsid w:val="FDFDF633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2025-10-02T16:07:21Z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CB4F11C03886F4C3B932DE68E8858DCA_43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