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DCACC">
      <w:pPr>
        <w:pStyle w:val="2"/>
      </w:pPr>
    </w:p>
    <w:p w14:paraId="71D3A458">
      <w:pPr>
        <w:pStyle w:val="2"/>
      </w:pPr>
    </w:p>
    <w:p w14:paraId="1F285E3F">
      <w:pPr>
        <w:pStyle w:val="2"/>
      </w:pPr>
      <w:r>
        <w:t>干变仓储组5T锂电重式平衡叉车技术手册</w:t>
      </w:r>
    </w:p>
    <w:p w14:paraId="42F46AB0">
      <w:pPr>
        <w:pStyle w:val="3"/>
      </w:pPr>
      <w:r>
        <w:t>一、设备概述</w:t>
      </w:r>
    </w:p>
    <w:p w14:paraId="0F5CA2AB">
      <w:pPr>
        <w:pStyle w:val="4"/>
      </w:pPr>
      <w:r>
        <w:t>1.1 设备基本参数与用途</w:t>
      </w:r>
    </w:p>
    <w:p w14:paraId="4D747776">
      <w:r>
        <w:t>干变仓储组5T锂电重式平衡叉车（以下简称“叉车”）是针对重型仓储场景设计的电动物料搬运设备，主要用于干变仓库内5吨及以下重物的装卸、堆垛及短距离运输作业。设备型号通常采用厂家自定义编码规则，核心技术参数如下：额定起重量5000kg，载荷中心距600mm，门架标准起升高度3000mm，最大作业高度4315mm，静止高度2240mm。整车外形尺寸（长×宽×高）约5800mm×1850mm×2240mm，自重6850kg，轴距2200mm，前轮距1500mm，最小转弯半径3.5-4米，适应狭窄通道作业。动力系统采用80V磷酸铁锂电池组，容量根据配置不同分为500Ah-800Ah，支持1.5-2小时快速充电，满载行驶速度12-15km/h，满载爬坡度20%，持续作业时间可达6-8小时（标准工况）。该设备适用于室内外通用仓储环境，尤其适合对环保要求高、作业强度大的干变设备生产车间及成品仓库，可匹配1200mm×1000mm标准托盘，实现3-4层堆垛作业。</w:t>
      </w:r>
    </w:p>
    <w:p w14:paraId="25678D01">
      <w:pPr>
        <w:pStyle w:val="4"/>
      </w:pPr>
      <w:r>
        <w:t>1.2 整体结构组成与工作原理</w:t>
      </w:r>
    </w:p>
    <w:p w14:paraId="7DE6F3BF">
      <w:r>
        <w:t>叉车整体由四大系统协同构成：动力系统、底盘系统、工作系统及电气控制系统。动力系统为整车提供能量，主要包括锂电池组、驱动电机及BMS电池管理系统，通过电缆与电气控制系统连接，将电能转化为机械能；底盘系统承载整车重量并实现行驶功能，包含传动、转向、制动及行驶子系统，负责动力传递、方向控制及停车制动；工作系统完成物料装卸作业，由门架、货叉、液压系统组成，通过液压动力实现货叉升降与门架倾斜；电气控制系统作为“神经中枢”，通过控制器、传感器及执行元件实现各系统的协同控制。</w:t>
      </w:r>
    </w:p>
    <w:p w14:paraId="40B8FDDD">
      <w:r>
        <w:t>工作时，锂电池组输出的直流电经控制器逆变为三相交流电驱动电机运转，电机通过变速箱将动力传递至驱动桥，带动前轮转动实现行驶。同时，电机驱动液压泵工作，产生液压能推动液压缸动作，控制门架升降与货叉倾斜。电气控制系统实时监测电池状态、电机温度、液压压力等参数，通过CAN总线实现VCU（整车控制器）、MCU（电机控制器）与BMS的信息交互，当检测到异常工况时自动触发保护机制。平衡重设计是该叉车的核心特征，后部铸铁平衡重（重量约1200kg）与货叉载荷形成力矩平衡，确保作业过程中的纵向稳定性，配合门架后倾角度（10°-12°）防止货物滑落。</w:t>
      </w:r>
    </w:p>
    <w:p w14:paraId="7D404A15">
      <w:pPr>
        <w:pStyle w:val="3"/>
      </w:pPr>
      <w:r>
        <w:t>二、动力系统</w:t>
      </w:r>
    </w:p>
    <w:p w14:paraId="0C21B30C">
      <w:pPr>
        <w:pStyle w:val="4"/>
      </w:pPr>
      <w:r>
        <w:t>2.1 锂电池组结构与技术参数</w:t>
      </w:r>
    </w:p>
    <w:p w14:paraId="5A6C4C78">
      <w:r>
        <w:t>锂电池组采用磷酸铁锂（LiFePO₄）电芯，通过串联方式组成80V电压平台，典型配置为25节单体电池（每节3.2V），总能量40kWh-64kWh。电芯采用模块化设计，每个模块包含4-6节电芯，通过铜排并联连接，外壳采用高强度金属材质，具备IP67防尘防水等级。电池组内置BMS（电池管理系统）控制板、电压采集线束、温度传感器（每8-16个电芯配置1个监测点）及主继电器，外部设有充放电接口、通讯接口（RS485）及紧急断电开关。</w:t>
      </w:r>
    </w:p>
    <w:p w14:paraId="3AB29757">
      <w:r>
        <w:t>关键技术参数方面，电池组额定容量500Ah-800Ah，充放电效率90%以上，标准放电倍率2C，最大持续放电电流1000A，瞬间脉冲放电（10秒）可达2000A。循环寿命≥2000次（容量保持率≥80%），质保期5年或1万小时。温度适应范围：充电0℃-45℃，放电-20℃-60℃，贮存-25℃-60℃。电池组一致性控制要求严格，静态开路电压差值≤0.05V，浮充24h后端电压差≤0.20V，容量最大值与最小值偏差不超过平均值±1%。为确保安全，电池组通过针刺、挤压、过充、短路等多项测试验证，高温环境（130℃）下30分钟无爆炸、不起火，满足GB/T 31485-2015《电动汽车用动力蓄电池安全要求》标准。</w:t>
      </w:r>
    </w:p>
    <w:p w14:paraId="4E49031C">
      <w:pPr>
        <w:pStyle w:val="4"/>
      </w:pPr>
      <w:r>
        <w:t>2.2 驱动电机与传动系统</w:t>
      </w:r>
    </w:p>
    <w:p w14:paraId="2976146A">
      <w:r>
        <w:t>驱动系统采用三相交流异步电机，额定功率根据厂家配置不同约15-18kW，峰值功率25-30kW，额定转速3000rpm，最高转速4500rpm。电机定子绕组采用F级绝缘，防护等级IP54，冷却方式为强制风冷，确保在连续作业工况下温度不超过125℃。电机通过法兰与变速箱直接连接，省去传统离合器结构，减少动力传递损耗，传动效率提升至92%以上。</w:t>
      </w:r>
    </w:p>
    <w:p w14:paraId="197AF700">
      <w:r>
        <w:t>变速箱为38大速比行星齿轮结构，输入轴与电机输出轴通过花键连接，输出轴连接驱动桥主减速器。该设计实现无级调速，通过MOSFET（金属-氧化物半导体场效应晶体管）电控模块调节电机供电频率，改变输出转速，省去机械换挡机构。行驶速度控制范围0-15km/h（满载），0-18km/h（空载），较传统机械传动系统能量损失降低约15%。制动能量回收功能是系统的核心特点，当松开加速器踏板或踩下制动踏板时，电机切换为发电机模式，通过逆变器将机械能转化为电能回充至电池组，回收效率约10-15%，可延长续航时间。驱动桥为整体式铸造结构，主减速器传动比5.833，差速器采用对称锥齿轮式设计，确保转弯时左右车轮差速运转。</w:t>
      </w:r>
    </w:p>
    <w:p w14:paraId="4FE98DF2">
      <w:pPr>
        <w:pStyle w:val="4"/>
      </w:pPr>
      <w:r>
        <w:t>2.3 BMS电池管理系统</w:t>
      </w:r>
    </w:p>
    <w:p w14:paraId="347410D9">
      <w:r>
        <w:t>BMS采用集中式硬件架构，核心控制器选用STM32系列微处理器，集成电压采集、电流检测、温度监测及继电器驱动功能。电压采集模块采用德州仪器BQ76系列AFE芯片，可同时监测25节单体电池电压，精度±2mV，采样频率10Hz；电流传感器为闭环霍尔式，量程-500A至+500A，精度0.5%；温度采集通过NTC热敏电阻实现，分布于电池组不同区域，监测范围-40℃-125℃。硬件电路分为高压区（电池主回路）和低压区（控制电路），通过光电耦合器实现电气隔离，确保安全性。</w:t>
      </w:r>
    </w:p>
    <w:p w14:paraId="5F4EC70B">
      <w:r>
        <w:t>软件算法采用分层架构，基础层负责数据采集与底层驱动，应用层包含核心功能模块。SOC（荷电状态）估算采用安时积分法与开路电压法融合算法：通过累计充放电电流计算容量变化（SOC(t) = SOC(0) + ∫(I_in - I_out)dt / C_nom），每30分钟结合静置开路电压（OCV）进行校准，误差控制在±5%以内。SOH（健康状态）评估通过容量衰减率（实际容量/标称容量×100%）和内阻变化率（当前内阻/初始内阻×100%）双指标判定，当容量衰减至80%以下或内阻增至初始值2倍时触发预警。均衡管理采用被动均衡方案，均衡电流100mA-500mA，在充电末期启动，通过电阻放电将单体电压差控制在50mV以内。</w:t>
      </w:r>
    </w:p>
    <w:p w14:paraId="12CBE504">
      <w:r>
        <w:t>保护功能涵盖充放电全流程：过充电保护（单体电压≥3.65V时切断充电回路），过放电保护（单体电压≤2.5V时切断放电回路），过流保护（持续放电电流超过1000A或短路电流超过5000A时动作），过温保护（电池温度≥60℃或≤-20℃时限制充放电）。保护动作分为三级：1级故障（如单体电压差&gt;50mV）仅报警提示；2级故障（如温度≥55℃）限制充放电功率；3级故障（如过压3级）立即切断主继电器，强制停机。</w:t>
      </w:r>
    </w:p>
    <w:p w14:paraId="313517F2">
      <w:pPr>
        <w:pStyle w:val="4"/>
      </w:pPr>
      <w:r>
        <w:t>2.4 充放电控制流程</w:t>
      </w:r>
    </w:p>
    <w:p w14:paraId="1EC34246">
      <w:r>
        <w:t>上电过程由钥匙开关触发：钥匙旋至“ON”档后，DC-DC转换器将电池组高压电转换为12V低压电，为BMS供电；BMS完成自检（检测继电器状态、传感器信号），若无故障则闭合自锁继电器实现供电自锁；随后控制预充继电器闭合，通过预充电阻（约10Ω）为电机控制器、液压泵控制器等容性负载预充电，当预充电压达到电池组总压的95%（约76V）时，断开预充继电器，闭合主放电继电器，完成上电。若预充失败（如3秒内未达到目标电压），BMS会断开放电继电器并报警。</w:t>
      </w:r>
    </w:p>
    <w:p w14:paraId="60E8B0B8">
      <w:r>
        <w:t>下电过程通过钥匙开关或紧急断电实现：钥匙旋至“OFF”档后，BMS检测到信号，先切断电机控制器使能信号，待电机停转后断开放电继电器，最后断开自锁继电器，完成下电。紧急情况下，按下驾驶室内的红色紧急断电按钮，可直接切断主继电器，停止所有高压输出。</w:t>
      </w:r>
    </w:p>
    <w:p w14:paraId="0274D596">
      <w:r>
        <w:t>充电流程需在叉车静止状态下进行：将充电机插头插入电池组充电接口，充电机完成自检后与BMS建立通讯（CAN总线）；BMS检测充电接口锁扣状态（确保连接可靠），断开放电继电器，闭合充电继电器；充电机根据BMS发送的电池状态信息（SOC、温度、单体电压）调整充电参数，先恒流充电（电流50A-100A）至单体电压3.55V，再恒压充电至电流降至0.05C，最后进入浮充阶段（电压3.35-3.40V）。充电过程中，若检测到单体过压、温度异常等故障，BMS会发送指令使充电机停止充电。充电完成后，充电机先切断输出，BMS断开发电继电器，提示用户拔下插头。</w:t>
      </w:r>
    </w:p>
    <w:p w14:paraId="2B916D3D">
      <w:pPr>
        <w:pStyle w:val="3"/>
      </w:pPr>
      <w:r>
        <w:t>二、底盘系统</w:t>
      </w:r>
    </w:p>
    <w:p w14:paraId="246B9D3A">
      <w:pPr>
        <w:pStyle w:val="4"/>
      </w:pPr>
      <w:r>
        <w:t>3.1 传动系统结构与原理</w:t>
      </w:r>
    </w:p>
    <w:p w14:paraId="2E3DD10E">
      <w:r>
        <w:t>传动系统采用电传动方式，动力传递路径为：驱动电机→变速箱→主减速器→差速器→半轴→驱动轮。电机输出轴通过花键与变速箱输入轴连接，变速箱为单级定轴齿轮传动，速比38，将电机高转速低扭矩转化为低转速高扭矩。主减速器为圆锥齿轮结构，主动锥齿轮与变速箱输出轴刚性连接，从动锥齿轮与差速器壳螺栓固定，传动比5.833，进一步放大扭矩后传递至差速器。</w:t>
      </w:r>
    </w:p>
    <w:p w14:paraId="2A4F3CEB">
      <w:r>
        <w:t>差速器为对称锥齿轮式结构，由差速器壳、4个行星齿轮、行星齿轮轴及左右半轴齿轮组成。直线行驶时，行星齿轮仅随差速器壳公转，左右半轴齿轮转速相等（n₁=n₂=n₀）；转弯时，内侧车轮阻力增大，行星齿轮绕行星轴自转，实现两侧车轮差速（n₁+n₂=2n₀），确保转向平稳。为防止单侧车轮打滑导致动力损失，部分车型可选装摩擦片式防滑差速器，通过摩擦片间的附加摩擦力矩分配扭矩。</w:t>
      </w:r>
    </w:p>
    <w:p w14:paraId="0B805F44">
      <w:r>
        <w:t>半轴采用全浮式结构，两端通过花键分别与半轴齿轮和轮毂连接，仅传递扭矩而不承受弯矩。半轴材料为40Cr合金钢，经调质处理（硬度HB240-280），杆部直径45-50mm，许用剪应力≤60MPa。根据强度计算，当传递最大扭矩1030N·m时，半轴杆部剪切应力τ=16T/(πd³)≈55MPa，满足安全要求。轮毂通过圆锥滚子轴承支撑在驱动桥壳上，轴承预紧度通过调整螺母控制，轴向间隙控制在0.1-0.3mm。</w:t>
      </w:r>
    </w:p>
    <w:p w14:paraId="76944476">
      <w:pPr>
        <w:pStyle w:val="4"/>
      </w:pPr>
      <w:r>
        <w:t>3.2 转向系统组成与操作原理</w:t>
      </w:r>
    </w:p>
    <w:p w14:paraId="211A9822">
      <w:r>
        <w:t>转向系统为全液压动力转向，主要由转向盘、转向柱、全液压转向器、转向油缸、转向连杆及液压泵组成。转向盘通过花键与转向柱连接，转向柱下端安装转角传感器，将转向角度信号传递至整车控制器，实现转向限速功能（转弯时自动降低行驶速度）。全液压转向器为摆线转阀式结构，输入轴与转向柱通过万向节连接，输出口通过高压油管与转向油缸相连，根据转向盘转动方向和角度控制液压油流向及流量。</w:t>
      </w:r>
    </w:p>
    <w:p w14:paraId="5A0DB97A">
      <w:r>
        <w:t>转向油缸为双作用单活塞杆式，缸径63-80mm，活塞杆直径40-50mm，行程200-250mm，安装于车架与门架之间，左右各一个，通过活塞杆伸缩带动门架偏转。液压泵为齿轮泵，由驱动电机带动，额定工作压力10-12MPa，流量15-20L/min，为转向系统提供动力。系统具备优先转向功能，通过优先阀确保转向油路优先获得液压油，即使在工作装置动作时也能保证转向响应速度，操纵力较机械转向降低30%以上。</w:t>
      </w:r>
    </w:p>
    <w:p w14:paraId="40596ECD">
      <w:r>
        <w:t>转向角度通过限位块限制，前轮最大转向角±80°，对应门架前倾3°-6°、后倾10°-12°。转向传动机构由转向节臂、横拉杆、梯形臂组成，横拉杆长度可通过调节螺母调整，确保前轮前束值在1-3mm范围内。转向系统工作过程：转动转向盘→转向器阀芯偏转→液压油进入转向油缸一腔→活塞杆伸出/缩回→带动转向节臂转动→前轮偏转实现转向。转向阻力通过液压油压力补偿，车速越高转向助力越小，防止高速转向过轻导致操作不稳定。</w:t>
      </w:r>
    </w:p>
    <w:p w14:paraId="14B9DD1B">
      <w:pPr>
        <w:pStyle w:val="4"/>
      </w:pPr>
      <w:r>
        <w:t>3.3 制动系统类型与工作特性</w:t>
      </w:r>
    </w:p>
    <w:p w14:paraId="6891F59E">
      <w:r>
        <w:t>制动系统包含行车制动、驻车制动及辅助制动（能量回收）三种形式。行车制动为液压式，由制动踏板、制动总泵、制动分泵、制动鼓及制动片组成。制动总泵为双腔串联式，确保一回路失效时另一回路仍能工作，储液罐内液压油为DOT3制动液，液位需保持在MAX与MIN刻度之间。制动分泵为轮缸式，安装于驱动轮和转向轮轮毂内，制动片为无石棉摩擦材料，厚度≥10mm，磨损至5mm时需更换。制动踏板空行程40mm，踏板与底板间隙&gt;20mm，踩下踏板后，制动总泵建立压力（6-8MPa），推动制动片与制动鼓接触产生摩擦力，实现减速。</w:t>
      </w:r>
    </w:p>
    <w:p w14:paraId="016611B7">
      <w:r>
        <w:t>驻车制动为机械拉索式，由驻车手柄、拉索、制动蹄及调整机构组成。驻车手柄位于驾驶座椅右侧，拉索一端连接手柄，另一端连接后轮制动蹄，手柄拉到底时，制动蹄与制动鼓抱紧，可在15%坡道（空载）实现可靠驻车。驻车制动效能通过调整拉索长度实现，要求手柄拉动6-8齿时达到规定制动力，松开手柄后制动蹄应完全回位，无拖滞现象。</w:t>
      </w:r>
    </w:p>
    <w:p w14:paraId="58BFCA62">
      <w:r>
        <w:t>辅助制动即能量回收制动，当松开加速器踏板或轻踩制动踏板时，整车控制器检测到减速信号，控制驱动电机切换为发电机模式，通过电机反拖产生制动力矩，同时将机械能转化为电能回充至电池组。能量回收强度与制动踏板行程相关，踏板行程0-1/3时主要依靠能量回收制动，1/3-2/3时机械制动与能量回收协同工作，2/3以上时以机械制动为主。该功能可减少制动片磨损量30%以上，延长续航时间10-15%。</w:t>
      </w:r>
    </w:p>
    <w:p w14:paraId="2B4730C9">
      <w:pPr>
        <w:pStyle w:val="4"/>
      </w:pPr>
      <w:r>
        <w:t>3.4 行驶系统承载设计</w:t>
      </w:r>
    </w:p>
    <w:p w14:paraId="7E77D06A">
      <w:r>
        <w:t>行驶系统由车架、车桥、车轮及悬架组成。车架为箱式焊接结构，材料为Q345B高强度钢，截面尺寸200mm×150mm，壁厚8mm，通过有限元分析优化设计，承载能力≥8T，弯曲刚度≥5×10⁵N·m²。车架前部安装门架及工作装置，中部布置电池组，后部为平衡重安装区域，平衡重采用HT300铸铁材质，重量1200kg，通过螺栓与车架刚性连接。</w:t>
      </w:r>
    </w:p>
    <w:p w14:paraId="5B74F1D8">
      <w:r>
        <w:t>车桥分为驱动桥和转向桥：驱动桥为整体式铸造桥壳，内置主减速器、差速器及半轴，桥壳材料为球墨铸铁（QT500-7），最大承载能力6T；转向桥为冲压焊接结构，两端安装转向节及轮毂，通过 kingpin 与车架连接，实现转向功能。前后车轮规格不同：前轮为驱动轮，采用充气轮胎（8.25-15-16PR），胎面花纹为块状，适应多种地面；后轮为转向轮，采用小直径轮胎（6.50-10-10PR），转向灵活。轮胎气压需按标准控制：前轮800kPa，后轮600kPa，胎压不足会导致接地面积增大，行驶阻力增加。</w:t>
      </w:r>
    </w:p>
    <w:p w14:paraId="440BA824">
      <w:r>
        <w:t>悬架系统为非独立式，前后均采用钢板弹簧结构：前悬架为单片弹簧（厚度12mm，宽度75mm），后悬架为多片弹簧（3-5片，厚度10mm），两端通过吊耳与车架连接，中部与车桥接触。钢板弹簧具有缓冲和导向作用，吸收路面冲击，减少车身振动。行驶系统接地比压0.08MPa，在混凝土、沥青等硬化路面可稳定行驶，在碎石路面需降低行驶速度（≤5km/h），避免轮胎损伤。</w:t>
      </w:r>
    </w:p>
    <w:p w14:paraId="620B0D2E">
      <w:pPr>
        <w:pStyle w:val="3"/>
      </w:pPr>
      <w:r>
        <w:t>四、工作系统</w:t>
      </w:r>
    </w:p>
    <w:p w14:paraId="365CBD2C">
      <w:pPr>
        <w:pStyle w:val="4"/>
      </w:pPr>
      <w:r>
        <w:t>4.1 门架与货叉结构设计</w:t>
      </w:r>
    </w:p>
    <w:p w14:paraId="3A7F1958">
      <w:r>
        <w:t>门架为多段式伸缩结构，由外门架、内门架及货叉架组成，材料均为20MnSi高强度合金钢板，厚度8-12mm，焊接后经时效处理消除应力。外门架下端通过铰链与车架连接，中部与倾斜油缸活塞杆铰接，可绕铰链点前后倾斜；内门架通过滚轮嵌在外门架导轨内，可沿外门架上下移动；货叉架通过滚轮安装在内门架上，与起升链条连接，实现货叉升降。门架两侧安装起升油缸，缸体底部与外门架铰接，活塞杆头部与内门架顶部连接，通过油缸伸缩带动内门架升降。</w:t>
      </w:r>
    </w:p>
    <w:p w14:paraId="3AD22ED5">
      <w:r>
        <w:t>门架技术参数：标准起升高度3000mm，对应内门架行程3000mm，货叉行程6000mm（通过滑轮组增速，起升速度为内门架速度的2倍）；前倾角度3°-6°（便于叉取货物），后倾角度10°-12°（行驶时防止货物滑落）；门架最大前倾/后倾时间3-5秒，由倾斜油缸流量控制。门架立柱内侧安装耐磨条（聚四氟乙烯材质），厚度5mm，磨损至2mm时需更换，确保内门架升降顺畅无卡顿。</w:t>
      </w:r>
    </w:p>
    <w:p w14:paraId="4A2C5FF9">
      <w:r>
        <w:t>货叉为L型结构，分为水平段（承载货物）和垂直段（与货叉架连接），材料为40Cr合金钢，经整体锻造后淬火处理（硬度HRC45-50），水平段上表面焊接防滑花纹。标准货叉长度1200mm-1500mm，宽度150mm，厚度50mm，垂直段高度160mm，两货叉间距可通过货叉架上的调节孔调整，范围400mm-1200mm，适配不同规格托盘。货叉与货叉架通过挂钩和定位销固定，定位销直径16mm，需确保完全插入孔内并锁止，防止货叉脱落。根据GB/T 5182标准，货叉需通过1.5倍额定载荷的静载试验和1.1倍额定载荷的动载试验，永久变形量≤0.1%。</w:t>
      </w:r>
    </w:p>
    <w:p w14:paraId="654AE55F">
      <w:pPr>
        <w:pStyle w:val="4"/>
      </w:pPr>
      <w:r>
        <w:t>4.2 液压系统组成与工作原理</w:t>
      </w:r>
    </w:p>
    <w:p w14:paraId="68B9CE60">
      <w:r>
        <w:t>液压系统是工作装置的动力源，由动力元件、执行元件、控制元件及辅助元件组成。动力元件为齿轮泵，安装于驱动电机输出端，由电机通过皮带轮驱动，额定工作压力16-20MPa，排量40-60L/min，吸油口安装粗过滤器（过滤精度80μm），出油口安装精过滤器（过滤精度10μm），确保液压油清洁度NAS 8级以内。执行元件包括起升油缸（1个）和倾斜油缸（2个），起升油缸为双作用单活塞杆式，缸径80-100mm，活塞杆直径≥50mm，行程3000mm；倾斜油缸为双作用单活塞杆式，缸径63-80mm，行程250mm，对称布置于门架两侧。</w:t>
      </w:r>
    </w:p>
    <w:p w14:paraId="367B22E7">
      <w:r>
        <w:t>控制元件集成于多路换向阀，该阀为整体式结构，包含起升、倾斜两个工作联，以及溢流阀、液控止回阀、节流阀等辅助阀。多路换向阀通过操作手柄控制阀芯移动，改变液压油流向：手柄扳至“起升”位时，液压油经起升联进入起升油缸无杆腔，活塞杆伸出，货叉上升；扳至“下降”位时，液压油进入有杆腔，无杆腔油液经节流阀回油箱，货叉下降；扳至“前倾”或“后倾”位时，液压油进入倾斜油缸相应腔室，实现门架倾斜。溢流阀设定系统最高压力18MPa，防止过载；液控止回阀安装于起升油缸无杆腔油路，防止货叉自由下落；节流阀控制下降速度，确保平稳性。</w:t>
      </w:r>
    </w:p>
    <w:p w14:paraId="019D94DA">
      <w:r>
        <w:t>辅助元件包括液压油箱、油管、压力表及液位计。油箱容积80-100L，采用钢板焊接，内部设有隔板（防止油液扰动）和吸回油滤网，顶部安装空气滤清器（兼加油口），侧面设液位计（显示油位）和温度传感器（监测油温，超过60℃时报警）。油管分高压油管（额定压力31.5MPa）和回油管（额定压力1MPa），高压油管为钢丝编织胶管，回油管为橡胶软管，接头为卡套式或扩口式，确保密封可靠。压力表安装于多路换向阀出油口，量程0-25MPa，用于监测系统工作压力。</w:t>
      </w:r>
    </w:p>
    <w:p w14:paraId="56BB6970">
      <w:r>
        <w:t>液压系统工作流程：电机驱动液压泵旋转，从油箱吸油并加压；压力油经精过滤器进入多路换向阀；操作手柄控制阀芯位置，压力油进入对应油缸；油缸活塞杆伸缩，带动门架或货叉动作；回油经多路换向阀回油箱，完成循环。空载时系统压力约3-5MPa，满载起升时压力达16-18MPa，压力由载荷大小自动调节。</w:t>
      </w:r>
    </w:p>
    <w:p w14:paraId="74A09CE7">
      <w:pPr>
        <w:pStyle w:val="4"/>
      </w:pPr>
      <w:r>
        <w:t>4.3 液压缸性能参数与动作控制</w:t>
      </w:r>
    </w:p>
    <w:p w14:paraId="4A701911">
      <w:r>
        <w:t>起升油缸是实现货叉升降的核心执行元件，其性能直接影响工作效率。缸筒采用20#无缝钢管，内径80-100mm，内表面镀铬（厚度0.05mm）并抛光（Ra≤0.4μm），确保活塞杆密封良好。活塞杆材料45#钢，表面淬火后镀铬，硬度HRC50-55，耐磨损。活塞上安装双向密封件（聚氨酯U形圈）和导向环（聚四氟乙烯），密封件耐油温度-20℃-80℃，工作压力16-20MPa。油缸底部设有缓冲装置，通过节流孔消耗下降末端的动能，避免冲击。</w:t>
      </w:r>
    </w:p>
    <w:p w14:paraId="4A0EFD85">
      <w:r>
        <w:t>起升速度控制通过液压泵排量和多路阀开口度协同实现。空载时，液压泵排量最大，多路阀阀芯全开，起升速度270mm/s（16.2m/min）；满载时，系统压力升高，液压泵排量自动调节，起升速度240mm/s（14.4m/min）。下降速度由下降调速阀控制，该阀为节流阀与单向阀并联结构，下降时液压油经节流阀回油箱，通过调整节流口开度控制流量，使满载下降速度稳定在200-250mm/s。调速阀具备压力补偿功能，当负载变化时（如货物重量不同），通过补偿阀芯自动调节节流口压差，维持流量恒定，确保下降速度均匀。</w:t>
      </w:r>
    </w:p>
    <w:p w14:paraId="19D015CB">
      <w:r>
        <w:t>倾斜油缸控制门架前后倾斜，缸径63-80mm，活塞杆直径36-45mm，工作压力10-12MPa。前倾/后倾角度通过行程限位块控制，前倾3°-6°对应活塞杆缩回行程，后倾10°-12°对应活塞杆伸出行程。倾斜速度由多路阀倾斜联的开口度决定，前倾速度约3°/s，后倾速度约2°/s，速度适中以保证货物稳定。倾斜油缸设有双向液压锁，在任意位置切断油路时，油缸活塞可锁定不动，防止门架自行倾斜。</w:t>
      </w:r>
    </w:p>
    <w:p w14:paraId="00138236">
      <w:r>
        <w:t>液压缸常见动作故障包括：起升缓慢（液压油不足、泵磨损、阀卡滞）、下降超速（调速阀失效、密封件损坏）、倾斜无力（油缸内漏、倾斜联溢流阀故障）。日常检查需关注油缸外泄漏（活塞杆表面有油膜）、异响（活塞与缸筒摩擦）及动作卡顿（导向环磨损），发现问题及时处理，避免故障扩大。</w:t>
      </w:r>
    </w:p>
    <w:p w14:paraId="06B8760C">
      <w:pPr>
        <w:pStyle w:val="3"/>
      </w:pPr>
      <w:r>
        <w:t>五、电气控制系统</w:t>
      </w:r>
    </w:p>
    <w:p w14:paraId="44E96B63">
      <w:pPr>
        <w:pStyle w:val="4"/>
      </w:pPr>
      <w:r>
        <w:t>5.1 控制系统架构与硬件配置</w:t>
      </w:r>
    </w:p>
    <w:p w14:paraId="20DE3770">
      <w:r>
        <w:t>电气控制系统采用分层架构，分为感知层、控制层及执行层。感知层包括各类传感器：温度传感器（NTC热敏电阻，测量范围-40℃-125℃）、电流传感器（闭环霍尔式，量程-500A-+500A）、位置传感器（门架限位开关、加速踏板位置传感器）、压力传感器（液压系统压力变送器，0-30MPa）及角度传感器（转向角传感器，0-360°）。这些传感器将物理信号转换为电信号（0-5V或4-20mA），通过线束传输至控制层。</w:t>
      </w:r>
    </w:p>
    <w:p w14:paraId="4759B78A">
      <w:r>
        <w:t>控制层是系统核心，由VCU（整车控制器）、MCU（电机控制器）、BMS（电池管理系统）及液压控制器组成。VCU采用32位微处理器（如STM32F4系列），主频168MHz，集成CAN、LIN通讯接口，负责整车逻辑控制（如行驶、转向、制动协同）；MCU为三相交流电机控制器，采用IGBT功率模块（6单元，电压等级1200V），控制驱动电机转速与扭矩；BMS监测电池状态，实现充放电保护；液压控制器控制液压泵电机转速，调节液压系统流量。各控制器通过CAN总线（通讯速率500kbps）互联，传输实时数据与控制指令，总线采用双绞线差分信号，抗干扰能力强。</w:t>
      </w:r>
    </w:p>
    <w:p w14:paraId="5EBF33B3">
      <w:r>
        <w:t>执行层包括驱动电机、液压泵电机、转向电机、继电器及指示灯等。驱动电机为三相异步电机，通过MCU控制实现无级调速；液压泵电机为永磁同步电机，功率5.5kW，由液压控制器调节转速；转向电机为直流伺服电机，功率1.1kW，控制转向助力大小；继电器包括主正继电器、主负继电器、预充继电器等，均为高压直流继电器（额定电压100V，额定电流500A），触点镀银以提高导电性；指示灯安装于仪表盘，显示电池电量、故障状态、工作模式等信息。</w:t>
      </w:r>
    </w:p>
    <w:p w14:paraId="4ABBFB2F">
      <w:r>
        <w:t>硬件防护设计严格：控制器外壳采用铝合金压铸，防护等级IP65；高压线束采用屏蔽线，外套波纹管，固定于车架内侧；低压线束采用颜色编码（如红色为正极，黑色为负极，黄色为信号），端子采用防水型，确保在潮湿环境下可靠工作。系统还设有绝缘监测装置，实时监测高压系统对车架的绝缘电阻，当电阻&lt;500Ω/V时触发报警，防止漏电事故。</w:t>
      </w:r>
    </w:p>
    <w:p w14:paraId="1047EA8F">
      <w:pPr>
        <w:pStyle w:val="4"/>
      </w:pPr>
      <w:r>
        <w:t>5.2 控制逻辑与信号交互</w:t>
      </w:r>
    </w:p>
    <w:p w14:paraId="5A007950">
      <w:r>
        <w:t>控制系统的核心是多系统协同工作，通过信号交互实现精准控制。以行驶控制为例：驾驶员踩下加速踏板，踏板位置传感器输出0.5-4.5V电压信号（对应踏板行程0-100%），VCU接收信号后，结合当前电池SOC、电机温度等参数，计算目标扭矩，通过CAN总线发送至MCU；MCU根据目标扭矩和电机转速（由编码器反馈），采用矢量控制算法调节IGBT模块输出的三相交流电频率与电压，驱动电机运转；同时，VCU将车速信号（由电机编码器计算得出）发送至仪表盘显示，并根据转向角传感器信号（转弯时）控制电机降速，实现转向限速（转弯时速度≤5km/h）。</w:t>
      </w:r>
    </w:p>
    <w:p w14:paraId="32DCB186">
      <w:r>
        <w:t>工作装置控制逻辑：操作起升手柄，手柄内的电位器输出电压信号（0.5-4.5V），液压控制器接收后，调节液压泵电机转速（0-3000rpm），改变液压泵排量；同时，压力传感器监测系统压力，当压力超过18MPa时，液压控制器降低电机转速，防止过载；门架升降过程中，限位开关（安装于门架顶部和底部）监测位置，当货叉达到最高或最低位置时，触发开关动作，液压控制器切断泵电机电源，停止动作。</w:t>
      </w:r>
    </w:p>
    <w:p w14:paraId="2BD22FC4">
      <w:r>
        <w:t>能量管理逻辑由VCU与BMS协同实现：正常行驶时，VCU根据加速器踏板开度控制电机输出功率；制动时，VCU检测制动踏板信号，发送指令至MCU，使电机切换为发电机模式，回收能量；当BMS检测到电池SOC≥95%或温度&gt;55℃时，发送指令至VCU，禁止能量回收，避免电池过充或过热。此外，系统还具备能量优化功能，如轻载时自动降低液压泵转速，减少无用功耗；长下坡时通过电机反拖制动，减少机械制动使用。</w:t>
      </w:r>
    </w:p>
    <w:p w14:paraId="19CF49D3">
      <w:r>
        <w:t>信号交互采用标准化CAN报文格式，每个报文包含11位标识符（ID）、8字节数据及校验位。例如，BMS发送的电池状态报文（ID=0x180）包含SOC（1字节，0-100%）、总电压（2字节，单位0.1V）、总电流（2字节，单位0.1A）、最高单体电压（1字节，单位0.01V）、最高温度（1字节，单位℃）等信息；VCU发送的控制指令报文（ID=0x200）包含目标扭矩（2字节，单位0.1N·m）、使能信号（1位）、故障复位信号（1位）等。报文发送周期10ms-100ms，确保实时性。</w:t>
      </w:r>
    </w:p>
    <w:p w14:paraId="77F5F107">
      <w:pPr>
        <w:pStyle w:val="4"/>
      </w:pPr>
      <w:r>
        <w:t>5.3 安全保护系统设计</w:t>
      </w:r>
    </w:p>
    <w:p w14:paraId="69089793">
      <w:r>
        <w:t>安全保护系统构建多层防护机制，覆盖电气、机械、液压等各系统。电气安全保护包括：高压互锁（HVIL），在充电接口、高压线束连接器内设置互锁回路，当任意连接器断开时，BMS立即切断高压输出；漏电保护，通过绝缘监测装置检测高压系统与车架之间的绝缘电阻，当电阻&lt;500Ω/V时，0.1秒内切断主继电器；过压/欠压保护，电池组总电压&gt;88V或&lt;64V时，限制充放电；过流保护，主回路电流&gt;1000A时，MCU切断电机输出。</w:t>
      </w:r>
    </w:p>
    <w:p w14:paraId="234764B7">
      <w:r>
        <w:t>机械安全保护包括：门架安全挡块，安装于内门架顶部，防止内门架过度伸出；货叉防脱落装置，货叉挂钩处安装弹簧销，确保货叉与货叉架可靠连接；平衡重固定螺栓，采用8.8级高强度螺栓，扭矩35-40N·m，防止平衡重脱落；座椅安全开关，驾驶员离开座椅时，切断电机和液压系统电源，防止误操作。</w:t>
      </w:r>
    </w:p>
    <w:p w14:paraId="050E925D">
      <w:r>
        <w:t>液压安全保护包括：溢流阀，设定系统最高压力18MPa，防止过载；液控止回阀，起升油缸油路中安装，防止货叉因油管破裂而坠落；吸油过滤器堵塞报警，当过滤器压差&gt;0.5MPa时，仪表盘报警提示更换滤芯；液压油温度保护，油温&gt;60℃时，限制工作装置动作速度，避免油液劣化。</w:t>
      </w:r>
    </w:p>
    <w:p w14:paraId="4E8F25A0">
      <w:r>
        <w:t>操作安全保护包括：零位保护，启动电机时，加速器踏板必须处于零位（电压0.5V），否则无法启动；方向开关互锁，前进/后退方向开关未回中位时，无法切换行驶速度；紧急断电，驾驶室内设红色紧急断电按钮，按下后切断所有高压和低压电源；声光报警，故障时蜂鸣器鸣叫，仪表盘故障灯闪烁，提示驾驶员注意。</w:t>
      </w:r>
    </w:p>
    <w:p w14:paraId="60D8526F">
      <w:r>
        <w:t>这些保护机制相互独立又协同工作，形成立体防护网络，确保设备在异常工况下能够及时切断危险能源，保护人员和设备安全。例如，当检测到高压漏电时，紧急断电系统会立即切断主继电器，同时液压系统停止工作，门架锁定在当前位置，防止货物坠落。</w:t>
      </w:r>
    </w:p>
    <w:p w14:paraId="2AE0CDC0">
      <w:pPr>
        <w:pStyle w:val="3"/>
      </w:pPr>
      <w:r>
        <w:t>六、故障诊断与排除</w:t>
      </w:r>
    </w:p>
    <w:p w14:paraId="6F19417E">
      <w:pPr>
        <w:pStyle w:val="4"/>
      </w:pPr>
      <w:r>
        <w:t>6.1 故障代码体系与等级划分</w:t>
      </w:r>
    </w:p>
    <w:p w14:paraId="49D8F626">
      <w:r>
        <w:t>叉车故障代码采用十六进制编码，由5位字符组成，前两位表示系统类别（如“P1”代表动力系统，“P2”代表底盘系统，“P3”代表电气系统），后三位表示具体故障。例如，P1001表示动力系统电池故障，P2002表示底盘系统制动故障。故障代码通过仪表盘液晶显示屏显示，驾驶员可通过长按仪表盘按钮进入故障查询模式，查看历史故障记录（最多存储50条）。</w:t>
      </w:r>
    </w:p>
    <w:p w14:paraId="26A77067">
      <w:r>
        <w:t>故障等级根据严重程度分为三级：1级故障（轻微故障），不影响基本功能，仅通过仪表盘报警提示，如“P1010电池单体电压差过大”（单体电压差&gt;50mV但≤100mV）；2级故障（中度故障），限制部分功能，如“P3005电机过温”（温度&gt;80℃且≤100℃）时，电机输出功率降至额定值的50%；3级故障（严重故障），立即停止所有危险功能，如“P1020电池过压”（单体电压&gt;3.65V）时，BMS切断高压输出，叉车无法行驶和工作。</w:t>
      </w:r>
    </w:p>
    <w:p w14:paraId="2A6B5A75">
      <w:r>
        <w:t>故障处理优先级遵循“安全第一”原则：3级故障必须立即停机处理，禁止继续使用；2级故障需在完成当前作业后立即排查，避免故障恶化；1级故障可在日常维护时处理，但需密切关注故障是否频繁出现。处理流程为：记录故障代码→查阅故障手册定位原因→采用专用诊断仪读取详细数据→实施维修→清除故障码→测试验证。</w:t>
      </w:r>
    </w:p>
    <w:p w14:paraId="525E7B82">
      <w:pPr>
        <w:pStyle w:val="4"/>
      </w:pPr>
      <w:r>
        <w:t>6.2 动力系统常见故障及对策</w:t>
      </w:r>
    </w:p>
    <w:p w14:paraId="176551D6">
      <w:r>
        <w:t>动力系统故障主要集中在电池组、驱动电机及BMS。电池组常见故障：单体电压不均衡（故障代码P1010），表现为部分电芯电压明显高于或低于平均值（差值&gt;50mV），成因包括电芯老化不一致、BMS均衡功能失效，对策为使用专用均衡仪对电池组进行均衡充电（持续24-48小时），若均衡后仍无效则需更换故障电芯；电池无法充电（故障代码P1015），表现为充电机连接后无反应，成因包括充电接口接触不良、BMS充电继电器故障、充电机与BMS通讯中断，对策为检查充电插头是否插紧、测量充电继电器线圈电压（正常12V）、使用CAN总线分析仪检测通讯报文。</w:t>
      </w:r>
    </w:p>
    <w:p w14:paraId="2E88E885">
      <w:r>
        <w:t>驱动电机故障：电机异响（无故障代码），表现为运行时发出异常噪音，成因包括轴承磨损（间隙&gt;0.3mm）、转子动平衡破坏、定子绕组松动，对策为拆解电机更换轴承（型号6312）、重新做动平衡（不平衡量≤5g·mm）、紧固绕组端部；电机不转（故障代码P1030），表现为踩下加速踏板后电机无响应，成因包括MCU无输出、电机三相绕组断路或短路、编码器故障，对策为测量MCU输出电压（正常0-380V）、用万用表检测绕组电阻（三相电阻平衡，差值≤5%）、检查编码器信号（A/B相脉冲正常）。</w:t>
      </w:r>
    </w:p>
    <w:p w14:paraId="7E894CE1">
      <w:r>
        <w:t>BMS故障：SOC显示不准（故障代码P1040），表现为SOC跳变或与实际续航不符，成因包括安时积分误差累计、OCV校准失败、电流传感器漂移，对策为将电池组充满电后静置2小时进行OCV学习、校准电流传感器（使用标准电阻箱）；BMS通讯故障（故障代码P1045），表现为仪表盘不显示电池信息，成因包括CAN总线断线、终端电阻异常（标准120Ω）、BMS通讯芯片损坏，对策为检查CAN总线线束通断、测量终端电阻值、更换BMS通讯模块。</w:t>
      </w:r>
    </w:p>
    <w:p w14:paraId="794FF637">
      <w:pPr>
        <w:pStyle w:val="4"/>
      </w:pPr>
      <w:r>
        <w:t>6.3 底盘与工作系统故障处理</w:t>
      </w:r>
    </w:p>
    <w:p w14:paraId="690D69D1">
      <w:r>
        <w:t>底盘系统常见故障：传动异响（无故障代码），表现为行驶时驱动桥发出“咔咔”声，成因包括主减速器齿轮磨损（齿面接触斑&lt;70%）、差速器行星齿轮间隙过大（&gt;0.5mm）、半轴花键磨损，对策为拆解驱动桥更换齿轮油（型号GL-5 85W-90）、调整差速器间隙、更换半轴（40Cr材质）；转向沉重（故障代码P2010），表现为转向盘转动阻力增大，成因包括转向液压油不足、转向器阀芯卡滞、转向油缸内漏，对策为补充液压油（型号L-HM46）至液位计刻度、拆解转向器清洗阀芯、更换油缸密封件（聚氨酯U形圈）。</w:t>
      </w:r>
    </w:p>
    <w:p w14:paraId="33D24487">
      <w:r>
        <w:t>制动系统故障：制动跑偏（无故障代码），表现为制动时叉车向一侧偏斜，成因包括左右制动片磨损不均（厚度差&gt;2mm）、制动分泵活塞卡滞、前轮定位参数异常，对策为更换制动片（左右轮同时更换）、拆解分泵清洗活塞、调整前轮前束（1-3mm）；驻车制动失效（故障代码P2020），表现为驻车手柄拉起后叉车仍能移动，成因包括驻车拉索松弛、制动蹄磨损（厚度&lt;5mm）、调整机构失效，对策为调整拉索长度（手柄行程6-8齿）、更换制动蹄、修复调整机构。</w:t>
      </w:r>
    </w:p>
    <w:p w14:paraId="30EB7BEE">
      <w:r>
        <w:t>工作系统故障：货叉起升缓慢（无故障代码），表现为满载起升速度&lt;0.2m/s，成因包括液压泵磨损（容积效率&lt;85%）、多路阀内泄漏（阀芯与阀孔间隙&gt;0.05mm）、液压油粘度太高（温度&lt;10℃），对策为更换液压泵（型号CBGJ2080）、研磨阀芯或更换多路阀、加热液压油至正常工作温度（40℃-50℃）；货叉自动下降（故障代码P3010），表现为货叉静置时缓慢下降（10分钟下降量&gt;50mm），成因包括液控止回阀密封不良、起升油缸内漏、油管接头松动，对策为拆解液控止回阀研磨锥阀、更换油缸活塞密封件、紧固管接头（扭矩25-30N·m）。</w:t>
      </w:r>
    </w:p>
    <w:p w14:paraId="70E9F335">
      <w:pPr>
        <w:pStyle w:val="4"/>
      </w:pPr>
      <w:r>
        <w:t>6.4 电气系统故障排查流程</w:t>
      </w:r>
    </w:p>
    <w:p w14:paraId="3B9E8856">
      <w:r>
        <w:t>电气系统故障排查遵循“从简单到复杂，从外部到内部”的原则，步骤如下：首先检查电源，测量低压蓄电池电压（12V±0.5V），确保控制器供电正常；其次检查线束连接，查看连接器是否松动、端子是否氧化（氧化时用细砂纸打磨）；然后使用诊断仪读取故障代码和实时数据，定位故障范围；最后拆解部件进行检测，更换故障元件。</w:t>
      </w:r>
    </w:p>
    <w:p w14:paraId="169E9F37">
      <w:r>
        <w:t>传感器故障排查：温度传感器故障（故障代码P3020），表现为温度显示异常（恒为-40℃或125℃），检测方法为拔下传感器插头，测量电阻值（25℃时NTC电阻约10kΩ），若电阻无穷大或为0，则传感器损坏，需更换（型号MF58）；电流传感器故障（故障代码P3025），表现为电流显示偏差&gt;10%，检测方法为通入标准电流（如100A），测量传感器输出电压（标准4-20mA对应0-500A），偏差超限时更换传感器（型号CSNS1510）。</w:t>
      </w:r>
    </w:p>
    <w:p w14:paraId="34DF20B6">
      <w:r>
        <w:t>控制器故障排查：VCU故障（故障代码P3030），表现为整车无响应，检测方法为测量VCU供电电压（12V）、CAN总线电压（CAN_H 2.5V+0.5V，CAN_L 2.5V-0.5V），供电正常但无通讯时，更换VCU；MCU故障（故障代码P3035），表现为电机不转，检测方法为测量MCU输入电压（80V）、驱动信号（IGBT栅极电压15V），输入正常但无输出时，更换MCU功率模块（型号FS450R12KE3）。</w:t>
      </w:r>
    </w:p>
    <w:p w14:paraId="4E1E1F83">
      <w:r>
        <w:t>通讯故障排查：CAN总线故障（故障代码P3040），表现为控制器之间无通讯，检测方法为测量总线终端电阻（120Ω）、用示波器观察波形（标准CAN波形为差分信号，幅值2V-3V），电阻异常时检查终端电阻是否脱落，波形畸变时检查线束是否接地或短路。</w:t>
      </w:r>
    </w:p>
    <w:p w14:paraId="78068265">
      <w:pPr>
        <w:pStyle w:val="3"/>
      </w:pPr>
      <w:r>
        <w:t>七、维护保养</w:t>
      </w:r>
    </w:p>
    <w:p w14:paraId="786D0CEE">
      <w:pPr>
        <w:pStyle w:val="4"/>
      </w:pPr>
      <w:r>
        <w:t>7.1 日常检查项目与标准</w:t>
      </w:r>
    </w:p>
    <w:p w14:paraId="3CF7BE7F">
      <w:r>
        <w:t>日常检查分为日检、周检和月检，形成三级保养体系。日检由驾驶员在每班作业前进行，项目包括：电池组（SOC≥20%，电压320-350V，无漏液、鼓包）；液压系统（油位在液位计MAX-MIN之间，无泄漏，油温≤50℃）；制动系统（制动踏板空行程40mm，驻车手柄行程6-8齿，制动片厚度≥10mm）；轮胎（气压前轮800kPa，后轮600kPa，胎面无裂纹、鼓包，花纹深度≥3mm）；灯光（前照灯、转向灯、制动灯正常点亮）。检查发现异常立即处理，禁止带故障作业。</w:t>
      </w:r>
    </w:p>
    <w:p w14:paraId="22D2AA41">
      <w:r>
        <w:t>周检由维修人员进行，项目包括：电机（运行无异响，温度≤70℃，轴承无松动）；变速箱（油位在油尺刻度之间，油质清亮无杂质）；门架（滚轮转动灵活，耐磨条厚度≥3mm，链条张紧度20-30mm（下垂量））；液压油（污染度≤NAS 8级，通过油样检测或便携式颗粒计数器测量）；电气线路（连接器无松动，线束固定可靠，无破损）。周检需记录数据，与历史数据对比，分析趋势变化。</w:t>
      </w:r>
    </w:p>
    <w:p w14:paraId="01E81D35">
      <w:r>
        <w:t>月检为深度检查，项目包括：电池组（单体电压差≤50mV，内阻≤5mΩ，BMS通讯正常）；驱动桥（齿轮油无乳化、异味，放油螺栓无渗漏）；转向系统（转向角±80°，前束1-3mm，横拉杆无变形）；液压泵（工作压力16-18MPa，流量40-60L/min，无泄漏）；控制器（各传感器信号正常，CAN总线通讯无错误帧）。月检需使用专用工具（如万用表、压力表、扭矩扳手），确保数据准确。</w:t>
      </w:r>
    </w:p>
    <w:p w14:paraId="22905A88">
      <w:pPr>
        <w:pStyle w:val="4"/>
      </w:pPr>
      <w:r>
        <w:t>7.2 定期维护工艺与周期</w:t>
      </w:r>
    </w:p>
    <w:p w14:paraId="0C382034">
      <w:r>
        <w:t>定期维护按周期分为季度维护、半年维护和年度维护。季度维护（运行250小时或3个月）：更换液压油过滤器（滤芯精度10μm），放出油箱底部沉积物；检查电池组连接螺栓扭矩（25N·m），清洁极柱氧化物；润滑门架滚轮、链条（涂抹锂基润滑脂，型号ZL-3）；调整制动踏板行程和驻车制动间隙。</w:t>
      </w:r>
    </w:p>
    <w:p w14:paraId="4CB0FAB7">
      <w:r>
        <w:t>半年维护（运行500小时或6个月）：更换液压油（型号L-HM46，用量80-100L），清洗油箱内部；检查电机轴承间隙（≤0.1mm），补充润滑脂（型号2号锂基脂）；检测货叉变形量（水平段挠度≤1.5mm/m），必要时校直；校准BMS SOC（满电静置后执行OCV学习）。</w:t>
      </w:r>
    </w:p>
    <w:p w14:paraId="775FD0C7">
      <w:r>
        <w:t>年度维护（运行1000小时或1年）：更换变速箱齿轮油（型号GL-5 85W-90，用量6-8L）；解体检查液压泵、多路阀，测量零件磨损量（如齿轮泵齿轮端面间隙≤0.05mm）；检测驱动桥主减速器齿轮啮合间隙（0.15-0.25mm）；全面校准传感器（温度、电流、压力传感器）；进行整车性能测试（起升速度、行驶速度、制动距离等），确保符合出厂标准。</w:t>
      </w:r>
    </w:p>
    <w:p w14:paraId="3C276210">
      <w:r>
        <w:t>锂电池专项维护：每月进行一次均衡充电，确保单体电压一致；长期存放（超过1个月）时，电池SOC保持50%-70%，每3个月补充充电一次；避免在-20℃以下或55℃以上环境长时间作业，防止电池衰减加速；充电时确保环境通风良好，充电器风扇正常工作，无覆盖物。</w:t>
      </w:r>
    </w:p>
    <w:p w14:paraId="3B8DE7FF">
      <w:pPr>
        <w:pStyle w:val="4"/>
      </w:pPr>
      <w:r>
        <w:t>7.3 安全操作与注意事项</w:t>
      </w:r>
    </w:p>
    <w:p w14:paraId="032D7A7C">
      <w:r>
        <w:t>充电安全：充电必须在指定区域进行，该区域需通风良好、远离火源、配备灭火器（ABC干粉或二氧化碳型）；充电前检查充电接口是否清洁、无损坏，插头插座对准后缓慢插入，确保锁扣到位；充电过程中禁止拔插插头或操作叉车，若发现电池冒烟、鼓包，立即按下紧急断电按钮并使用灭火器灭火；充电完成后，先断开充电机电源，再拔下插头，清洁接口后盖上防尘盖。</w:t>
      </w:r>
    </w:p>
    <w:p w14:paraId="518D89F0">
      <w:r>
        <w:t>维修安全：进行高压系统维修时，必须由持电工证人员操作，佩戴绝缘手套（耐压等级≥1000V）、绝缘鞋，使用绝缘工具；维修前断开紧急断电按钮，拔下钥匙，等待5分钟（电容放电），用验电器确认无电后挂“禁止合闸”警示牌；禁止带电插拔高压连接器，禁止在电池组上方放置金属物体；焊接作业时，需断开电池组总开关，防止电流通过车身形成回路损坏控制器。</w:t>
      </w:r>
    </w:p>
    <w:p w14:paraId="6772AF0E">
      <w:r>
        <w:t>作业安全：严格遵守额定载荷5000kg，禁止超载；货叉载荷中心距600mm，货物重心需在中心距以内，超出时需减小载荷（如起升高度2000mm时，载荷降至4000kg）；门架后倾时禁止载人，货叉升起后下方禁止站人；行驶时注意观察路况，空载速度≤15km/h，满载≤10km/h，转弯≤5km/h，下坡禁止空档滑行；作业结束后，将叉车停放在平坦地面，货叉降至地面，拉起驻车制动，关闭电源。</w:t>
      </w:r>
    </w:p>
    <w:p w14:paraId="0B28FB71">
      <w:r>
        <w:t>违规操作风险：超载作业可能导致门架变形、液压系统爆裂，甚至整车倾覆；电池过放（SOC&lt;10%）会永久损坏电芯，降低循环寿命；制动系统未定期维护可能导致制动失效，引发碰撞事故；非专业人员维修高压系统可能造成触电伤亡。所有操作人员必须经过培训，熟悉设备性能和安全规程，严禁违章操作。</w:t>
      </w:r>
    </w:p>
    <w:p w14:paraId="7339B726">
      <w:pPr>
        <w:pStyle w:val="3"/>
      </w:pPr>
      <w:r>
        <w:t>八、附录</w:t>
      </w:r>
    </w:p>
    <w:p w14:paraId="3D9DF275">
      <w:pPr>
        <w:pStyle w:val="4"/>
      </w:pPr>
      <w:r>
        <w:t>8.1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731497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C60E86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130909FE">
            <w:pPr>
              <w:jc w:val="center"/>
              <w:rPr>
                <w:b/>
              </w:rPr>
            </w:pPr>
            <w:r>
              <w:rPr>
                <w:b/>
              </w:rPr>
              <w:t>具体参数</w:t>
            </w:r>
          </w:p>
        </w:tc>
      </w:tr>
      <w:tr w14:paraId="48C67E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C38ED1">
            <w:r>
              <w:t>基本参数</w:t>
            </w:r>
          </w:p>
        </w:tc>
        <w:tc>
          <w:tcPr>
            <w:tcW w:w="0" w:type="auto"/>
            <w:vAlign w:val="center"/>
          </w:tcPr>
          <w:p w14:paraId="3E701E5B">
            <w:r>
              <w:t>额定起重量5000kg，载荷中心距600mm，门架起升高度3000mm，最小转弯半径3.5-4m</w:t>
            </w:r>
          </w:p>
        </w:tc>
      </w:tr>
      <w:tr w14:paraId="76AA14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7851F8">
            <w:r>
              <w:t>动力系统</w:t>
            </w:r>
          </w:p>
        </w:tc>
        <w:tc>
          <w:tcPr>
            <w:tcW w:w="0" w:type="auto"/>
            <w:vAlign w:val="center"/>
          </w:tcPr>
          <w:p w14:paraId="023B2439">
            <w:r>
              <w:t>电池组80V/500-800Ah磷酸铁锂，驱动电机15-18kW，充放电效率≥90%</w:t>
            </w:r>
          </w:p>
        </w:tc>
      </w:tr>
      <w:tr w14:paraId="2A6BAF7C">
        <w:tc>
          <w:tcPr>
            <w:tcW w:w="0" w:type="auto"/>
            <w:vAlign w:val="center"/>
          </w:tcPr>
          <w:p w14:paraId="016066A8">
            <w:r>
              <w:t>底盘系统</w:t>
            </w:r>
          </w:p>
        </w:tc>
        <w:tc>
          <w:tcPr>
            <w:tcW w:w="0" w:type="auto"/>
            <w:vAlign w:val="center"/>
          </w:tcPr>
          <w:p w14:paraId="3F73B63A">
            <w:r>
              <w:t>轴距2200mm，轮距1500mm，轮胎规格前轮8.25-15，后轮6.50-10</w:t>
            </w:r>
          </w:p>
        </w:tc>
      </w:tr>
      <w:tr w14:paraId="7EB9E7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3E90EA">
            <w:r>
              <w:t>工作系统</w:t>
            </w:r>
          </w:p>
        </w:tc>
        <w:tc>
          <w:tcPr>
            <w:tcW w:w="0" w:type="auto"/>
            <w:vAlign w:val="center"/>
          </w:tcPr>
          <w:p w14:paraId="748068E4">
            <w:r>
              <w:t>起升速度0.2-0.3m/s，倾斜角度前倾3°-6°/后倾10°-12°，货叉长度1200-1500mm</w:t>
            </w:r>
          </w:p>
        </w:tc>
      </w:tr>
      <w:tr w14:paraId="0CC40A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7EB95F">
            <w:r>
              <w:t>电气系统</w:t>
            </w:r>
          </w:p>
        </w:tc>
        <w:tc>
          <w:tcPr>
            <w:tcW w:w="0" w:type="auto"/>
            <w:vAlign w:val="center"/>
          </w:tcPr>
          <w:p w14:paraId="26BC01B9">
            <w:r>
              <w:t>控制器CAN总线500kbps，传感器精度温度±1℃、电流±0.5%、压力±1%</w:t>
            </w:r>
          </w:p>
        </w:tc>
      </w:tr>
      <w:tr w14:paraId="67A7FF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BC2455">
            <w:r>
              <w:t>性能参数</w:t>
            </w:r>
          </w:p>
        </w:tc>
        <w:tc>
          <w:tcPr>
            <w:tcW w:w="0" w:type="auto"/>
            <w:vAlign w:val="center"/>
          </w:tcPr>
          <w:p w14:paraId="451514AA">
            <w:r>
              <w:t>行驶速度满载12km/h/空载15km/h，爬坡度20%，续航时间6-8小时（标准工况）</w:t>
            </w:r>
          </w:p>
        </w:tc>
      </w:tr>
    </w:tbl>
    <w:p w14:paraId="6DAD18A9">
      <w:pPr>
        <w:pStyle w:val="4"/>
      </w:pPr>
      <w:r>
        <w:t>8.2 常用图纸与原理图</w:t>
      </w:r>
    </w:p>
    <w:p w14:paraId="4D0BEE3C">
      <w:r>
        <w:t>设备常用图纸包括：动力系统框图（展示电池组、电机、控制器连接关系）、液压系统原理图（标注液压泵、多路阀、油缸及管路走向）、电气控制框图（分层展示感知层、控制层、执行层）、底盘结构图（传动、转向、制动系统爆炸图）。这些图纸可联系设备制造商获取电子版或纸质版，查阅时需注意图纸版本与设备型号匹配（如GE系列与合力K2系列结构存在差异）。</w:t>
      </w:r>
    </w:p>
    <w:p w14:paraId="15A45D0E">
      <w:pPr>
        <w:pStyle w:val="4"/>
      </w:pPr>
      <w:r>
        <w:t>8.3 术语解释与参考文献</w:t>
      </w:r>
    </w:p>
    <w:p w14:paraId="029D3A30">
      <w:r>
        <w:t>术语解释：</w:t>
      </w:r>
    </w:p>
    <w:p w14:paraId="3B4A520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SOC（荷电状态）：电池剩余电量占额定容量的百分比；</w:t>
      </w:r>
    </w:p>
    <w:p w14:paraId="615C624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SOH（健康状态）：电池当前容量与标称容量的比值，反映电池老化程度；</w:t>
      </w:r>
    </w:p>
    <w:p w14:paraId="599A1C2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BMS（电池管理系统）：监控电池状态、控制充放电、实现安全保护的电子系统；</w:t>
      </w:r>
    </w:p>
    <w:p w14:paraId="51AB53B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VCU（整车控制器）：负责整车动力、底盘、工作系统协同控制的核心控制器；</w:t>
      </w:r>
    </w:p>
    <w:p w14:paraId="7AF10D9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CAN总线：控制器局域网，一种支持分布式实时控制的串行通讯协议。</w:t>
      </w:r>
    </w:p>
    <w:p w14:paraId="0C9BE9ED">
      <w:r>
        <w:t>参考文献：</w:t>
      </w:r>
    </w:p>
    <w:p w14:paraId="5003411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GB/T 10827.1-2014《机动工业车辆 安全要求和验证 第1部分：自行式工业车辆（除无人驾驶车辆、伸缩臂式叉车和载运车）》</w:t>
      </w:r>
    </w:p>
    <w:p w14:paraId="17642D0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GB/T 5182-2008《叉车货叉 技术要求和试验方法》</w:t>
      </w:r>
    </w:p>
    <w:p w14:paraId="24435D5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《合力G系列1-3.5T锂电池平衡重式叉车使用维护说明》</w:t>
      </w:r>
    </w:p>
    <w:p w14:paraId="2CFC906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《干变仓储组5T锂电叉车维修手册》（设备制造商提供）</w:t>
      </w:r>
    </w:p>
    <w:p w14:paraId="473D7CB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《电动叉车电池管理系统技术规范》（Q/320281KBA001-2020）</w:t>
      </w:r>
    </w:p>
    <w:p w14:paraId="4F7DB4BB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D1BBF5D8"/>
    <w:multiLevelType w:val="singleLevel"/>
    <w:tmpl w:val="D1BBF5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6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7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CE8270"/>
    <w:multiLevelType w:val="singleLevel"/>
    <w:tmpl w:val="FFCE82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2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3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9"/>
  </w:num>
  <w:num w:numId="5">
    <w:abstractNumId w:val="5"/>
  </w:num>
  <w:num w:numId="6">
    <w:abstractNumId w:val="12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2"/>
  </w:num>
  <w:num w:numId="12">
    <w:abstractNumId w:val="0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2F4F6D"/>
    <w:rsid w:val="7FF6C12C"/>
    <w:rsid w:val="BCB98261"/>
    <w:rsid w:val="E69F4216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2025-10-02T12:22:42Z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1065A747E94F2B4312FEDD68718BB569_43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