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B612C4">
      <w:pPr>
        <w:pStyle w:val="2"/>
        <w:jc w:val="left"/>
        <w:rPr>
          <w:rFonts w:hint="eastAsia" w:eastAsia="微软雅黑"/>
          <w:b w:val="0"/>
          <w:bCs w:val="0"/>
          <w:lang w:eastAsia="zh"/>
          <w:woUserID w:val="1"/>
        </w:rPr>
      </w:pPr>
      <w:bookmarkStart w:id="2" w:name="_GoBack"/>
      <w:bookmarkEnd w:id="2"/>
      <w:bookmarkStart w:id="0" w:name="李子柒的商业价值与未来展望"/>
      <w:bookmarkStart w:id="1" w:name="李子柒的未来展望"/>
      <w:r>
        <w:rPr>
          <w:rFonts w:hint="eastAsia"/>
          <w:b w:val="0"/>
          <w:bCs w:val="0"/>
          <w:lang w:eastAsia="zh"/>
          <w:woUserID w:val="1"/>
        </w:rPr>
        <w:t>作为系统工程师，希望了解武汉JP智能科技公司干变浇注车间的功能、系统结构及主要设备</w:t>
      </w:r>
    </w:p>
    <w:p w14:paraId="63013BA7">
      <w:pPr>
        <w:pStyle w:val="2"/>
      </w:pPr>
    </w:p>
    <w:p w14:paraId="6D30A89F">
      <w:pPr>
        <w:pStyle w:val="2"/>
      </w:pPr>
      <w:r>
        <w:t>武汉</w:t>
      </w:r>
      <w:r>
        <w:rPr>
          <w:rFonts w:hint="eastAsia"/>
          <w:lang w:eastAsia="zh"/>
        </w:rPr>
        <w:t>JP</w:t>
      </w:r>
      <w:r>
        <w:t>智能科技公司干式浇注车间技术分析报告</w:t>
      </w:r>
    </w:p>
    <w:p w14:paraId="79578C7E">
      <w:pPr>
        <w:pStyle w:val="3"/>
      </w:pPr>
      <w:r>
        <w:t>一、公司背景与车间定位</w:t>
      </w:r>
    </w:p>
    <w:p w14:paraId="0B2413CA">
      <w:pPr>
        <w:pStyle w:val="4"/>
      </w:pPr>
      <w:r>
        <w:t>1.1 武汉</w:t>
      </w:r>
      <w:r>
        <w:rPr>
          <w:rFonts w:hint="eastAsia"/>
          <w:lang w:eastAsia="zh"/>
        </w:rPr>
        <w:t>JP</w:t>
      </w:r>
      <w:r>
        <w:t>智能科技公司概况</w:t>
      </w:r>
    </w:p>
    <w:p w14:paraId="520F855E">
      <w:r>
        <w:t>武汉</w:t>
      </w:r>
      <w:r>
        <w:rPr>
          <w:rFonts w:hint="eastAsia"/>
          <w:lang w:eastAsia="zh"/>
        </w:rPr>
        <w:t>JP</w:t>
      </w:r>
      <w:r>
        <w:t>智能科技有限公司成立于2016年12月，注册资本10,000万元，注册地位于武汉市江夏区，是海南</w:t>
      </w:r>
      <w:r>
        <w:rPr>
          <w:rFonts w:hint="eastAsia"/>
          <w:lang w:eastAsia="zh"/>
        </w:rPr>
        <w:t>JP</w:t>
      </w:r>
      <w:r>
        <w:t>智能科技股份有限公司的全资子公司。作为母公司核心生产基地，公司专注于输配电及控制设备、工业自动控制系统装置的研发制造，核心产品涵盖干式变压器、电抗器、中低压成套设备等，广泛应用于新能源、高端装备、节能环保等领域。</w:t>
      </w:r>
    </w:p>
    <w:p w14:paraId="4BB167CD">
      <w:r>
        <w:t>依托</w:t>
      </w:r>
      <w:r>
        <w:rPr>
          <w:rFonts w:hint="eastAsia"/>
          <w:lang w:eastAsia="zh"/>
        </w:rPr>
        <w:t>JP</w:t>
      </w:r>
      <w:r>
        <w:t>科技在干式变压器领域的技术积累，公司在行业内占据重要地位。母公司2025年第一季度财报显示，营业收入达13.43亿元，净利润1.07亿元，干式变压器市场份额位居行业前列，连续多年获评“国家级制造业单项冠军示范企业”。武汉</w:t>
      </w:r>
      <w:r>
        <w:rPr>
          <w:rFonts w:hint="eastAsia"/>
          <w:lang w:eastAsia="zh"/>
        </w:rPr>
        <w:t>JP</w:t>
      </w:r>
      <w:r>
        <w:t>智能作为其华中战略支点，承担高端干式变压器的规模化生产任务，研发的2.4MW固态变压器相比传统方案可减少供电设备占地面积40%，进一步巩固了企业在高端输配电设备领域的技术优势。</w:t>
      </w:r>
    </w:p>
    <w:p w14:paraId="1E94A916">
      <w:r>
        <w:t>公司建有绿色智能产业园，通过5G网络、物联网平台实现生产全流程智慧管理，形成“绿色能源制造绿色装备”的产业模式。园区内布局数字化生产线、研发中心及配套设施，生产车间空气净化等级达ISO 14644-1 Class 8标准，噪声控制≤65dB，为高精度制造提供环境保障。</w:t>
      </w:r>
    </w:p>
    <w:p w14:paraId="6131B2CA">
      <w:pPr>
        <w:pStyle w:val="4"/>
      </w:pPr>
      <w:r>
        <w:t>1.2 绿色智能产业园整体规划</w:t>
      </w:r>
    </w:p>
    <w:p w14:paraId="11E13078">
      <w:r>
        <w:t>武汉</w:t>
      </w:r>
      <w:r>
        <w:rPr>
          <w:rFonts w:hint="eastAsia"/>
          <w:lang w:eastAsia="zh"/>
        </w:rPr>
        <w:t>JP</w:t>
      </w:r>
      <w:r>
        <w:t>智能绿色智能产业园位于江夏经济开发区大桥现代产业园，占地270亩，建筑面积27万平方米，总投资超10亿元，是</w:t>
      </w:r>
      <w:r>
        <w:rPr>
          <w:rFonts w:hint="eastAsia"/>
          <w:lang w:eastAsia="zh"/>
        </w:rPr>
        <w:t>JP</w:t>
      </w:r>
      <w:r>
        <w:t>科技践行“零碳园区”理念的标杆项目。园区布局三大数字化工厂：高端特种干式变压器制造工厂、储能系列产品制造工厂、海上风力发电变压器制造工厂，全部达产后预计年产值超40亿元。</w:t>
      </w:r>
    </w:p>
    <w:p w14:paraId="6CD01C36">
      <w:r>
        <w:t>能源系统采用“光伏发电-储能-智慧调度”一体化架构。配套建设的10MW光伏发电站年发电量约1200万kWh，满足园区30%以上生产用电需求；2MWh储能系统平抑光伏出力波动，响应时间≤50ms；智慧能源管理平台实时采集各车间能耗数据（采样频率15分钟/次），通过AI算法优化调度策略，使能源利用效率提升15%以上。</w:t>
      </w:r>
    </w:p>
    <w:p w14:paraId="6E4FAECB">
      <w:r>
        <w:t>基础设施方面，园区部署5G独立组网（SA），网络覆盖密度达每万平方米5个基站，数据传输延迟控制在20ms以内，支持设备远程监控与AGV集群调度。生产区域与生活配套分区明确，员工公寓、餐厅等设施满足1500人日常需求，整体绿化率达35%，实现生产与生态的协同发展。</w:t>
      </w:r>
    </w:p>
    <w:p w14:paraId="1C367B80">
      <w:r>
        <w:t>地理位置上，园区毗邻黄龙山路地铁站，距武汉天河机场40公里，物流便捷；同时靠近母公司武汉分公司研发中心，形成“研发-测试-生产”产业集群，产品从设计到量产周期缩短25%。</w:t>
      </w:r>
    </w:p>
    <w:p w14:paraId="2215748A">
      <w:pPr>
        <w:pStyle w:val="4"/>
      </w:pPr>
      <w:r>
        <w:t>1.3 干式浇注车间功能定位</w:t>
      </w:r>
    </w:p>
    <w:p w14:paraId="2E31B1E5">
      <w:r>
        <w:t>干式浇注车间是高端特种干式变压器制造工厂的核心单元，承担线圈绝缘包封的关键工艺，直接影响产品绝缘性能、散热效率与机械强度。车间以“无人指示自动化生产”为目标，通过数字孪生、工业互联网等技术，实现环氧树脂真空浇注、固化全流程的智能化管控，是公司“两大仿真三大自动化”（研发设计仿真、生产工艺仿真，产线自动化、物流自动化、信息流自动化）智能制造体系的典型应用场景。</w:t>
      </w:r>
    </w:p>
    <w:p w14:paraId="7D1F9FC3">
      <w:r>
        <w:t>在生产协同中，车间承接铁芯车间转运的半成品线圈，完成绝缘浇注后转运至总装车间，通过MES系统与上下游工序联动，确保生产节拍同步（工序衔接时间≤30分钟）。其生产能力直接决定公司高端干式变压器产能，目前可满足年产能10,000台以上特种变压器的浇注需求，产品覆盖新能源电站、轨道交通、数据中心等高端领域。</w:t>
      </w:r>
    </w:p>
    <w:p w14:paraId="57ED7711">
      <w:r>
        <w:t>车间技术水平代表行业标杆，先后支撑园区获评“武汉市智能制造示范项目”“湖北省5G全链接示范工厂”。2025年，车间生产过程数据作为“数据资产”在福建大数据交易中心挂牌，成为国内变压器行业首个实现数据要素市场化配置的生产单元，标志着其数字化转型进入“数据驱动价值创造”阶段。</w:t>
      </w:r>
    </w:p>
    <w:p w14:paraId="3D2E49A0">
      <w:pPr>
        <w:pStyle w:val="3"/>
      </w:pPr>
      <w:r>
        <w:t>二、车间系统架构组成</w:t>
      </w:r>
    </w:p>
    <w:p w14:paraId="2F723F38">
      <w:pPr>
        <w:pStyle w:val="4"/>
      </w:pPr>
      <w:r>
        <w:t>2.1 生产流程架构</w:t>
      </w:r>
    </w:p>
    <w:p w14:paraId="2096C95C">
      <w:r>
        <w:t>干式浇注车间围绕线圈绝缘包封构建全自动化生产流程，核心工序包括线圈预处理、树脂混配、真空浇注、固化成型、冷却脱模五大环节，各工序通过智能物流系统无缝衔接，整体自动化率达95%。</w:t>
      </w:r>
    </w:p>
    <w:p w14:paraId="02BE3990">
      <w:r>
        <w:rPr>
          <w:b/>
        </w:rPr>
        <w:t>线圈预处理工序</w:t>
      </w:r>
      <w:r>
        <w:t>：经铁芯车间压装的线圈通过AGV转运至预处理工位，采用热风循环预热至80±5℃，去除表面水分（含水率≤0.1%）及杂质，预热时间根据线圈规格动态调整（1-2小时）。设备配备红外温度传感器，实时监控线圈温度场分布，偏差超过±3℃时自动报警。</w:t>
      </w:r>
    </w:p>
    <w:p w14:paraId="5B8AC7E1">
      <w:r>
        <w:rPr>
          <w:b/>
        </w:rPr>
        <w:t>树脂混配工序</w:t>
      </w:r>
      <w:r>
        <w:t>：环氧树脂与固化剂按预设配比（典型比例100:30-50）在真空混料罐内混合，采用双行星搅拌系统（搅拌转速50-150rpm可调）确保混合均匀度≥98%。混料过程中同步抽真空（真空度≤50Pa）脱气，脱气时间30-60分钟，通过激光粒度仪在线监测气泡含量（控制在≤0.1个/mm³）。</w:t>
      </w:r>
    </w:p>
    <w:p w14:paraId="36775FC1">
      <w:r>
        <w:rPr>
          <w:b/>
        </w:rPr>
        <w:t>真空浇注工序</w:t>
      </w:r>
      <w:r>
        <w:t>：预处理后的线圈与模具合模后送入真空浇注罐，罐内先抽真空至300Pa，随后通过计量泵将混合料以0.5-1.5L/min的速度注入模具型腔。浇注压力采用阶梯控制（初始0.1MPa，保压0.3MPa），确保树脂充分渗透线圈缝隙。过程中通过压力传感器（精度±0.01bar）与液位传感器实时监控，异常时自动切换备用浇注通道。</w:t>
      </w:r>
    </w:p>
    <w:p w14:paraId="225E82BD">
      <w:r>
        <w:rPr>
          <w:b/>
        </w:rPr>
        <w:t>固化成型工序</w:t>
      </w:r>
      <w:r>
        <w:t>：浇注完成的线圈转运至固化炉，采用三段式升温曲线：室温至80℃（升温速率2℃/min）、80℃保温1小时、80℃至150℃（升温速率1℃/min）、150℃保温4小时。炉内温度均匀性控制在±2℃，通过热风循环（风速1.5m/s）与红外加热管协同实现精准控温。</w:t>
      </w:r>
    </w:p>
    <w:p w14:paraId="4FC87D3B">
      <w:r>
        <w:rPr>
          <w:b/>
        </w:rPr>
        <w:t>冷却脱模工序</w:t>
      </w:r>
      <w:r>
        <w:t>：固化后的线圈自然冷却至60℃以下，由机器人自动脱模（定位精度±0.5mm），经视觉检测（分辨率0.01mm）确认表面质量后，通过conveyor系统输送至下一工序。</w:t>
      </w:r>
    </w:p>
    <w:p w14:paraId="6151EB23">
      <w:r>
        <w:t>各工序通过MES系统实现节拍控制，例如当固化炉完成一批次处理时，系统自动调度AGV转运下一批次待固化线圈，设备利用率提升至85%以上。</w:t>
      </w:r>
    </w:p>
    <w:p w14:paraId="267F6935">
      <w:pPr>
        <w:pStyle w:val="4"/>
      </w:pPr>
      <w:r>
        <w:t>2.2 物流系统架构</w:t>
      </w:r>
    </w:p>
    <w:p w14:paraId="7F7355F0">
      <w:r>
        <w:t>车间物流系统采用“立体仓库+AGV集群+智能调度”模式，构建覆盖原材料、在制品、成品的全流程自动化流转网络，物流周转效率较传统模式提升50%。</w:t>
      </w:r>
    </w:p>
    <w:p w14:paraId="3A1D1306">
      <w:r>
        <w:rPr>
          <w:b/>
        </w:rPr>
        <w:t>仓储系统</w:t>
      </w:r>
      <w:r>
        <w:t>：配置防爆型立体仓库（防火等级Class II Division 1）存储环氧树脂、固化剂等危险品，仓库高12米，设500个货位（每个货位尺寸1.2m×1.2m×1.5m，承重1.5吨）。堆垛机运行速度80m/min，升降速度20m/min，定位精度±3mm，支持24小时无人化存取，出入库效率达150次/小时。</w:t>
      </w:r>
    </w:p>
    <w:p w14:paraId="2ECE5807">
      <w:r>
        <w:rPr>
          <w:b/>
        </w:rPr>
        <w:t>AGV转运系统</w:t>
      </w:r>
      <w:r>
        <w:t>：配备8台潜伏式AGV（负载能力2吨），采用激光SLAM导航（定位精度±10mm），支持动态路径规划与多车协同。AGV通过5G网络与WCS系统通信，响应时间＜100ms，可实现“原材料库-混配工位-浇注工位-固化炉-成品缓存区”的闭环转运。系统具备自动充电功能（续航8小时，充电1小时恢复80%电量），保障连续生产。</w:t>
      </w:r>
    </w:p>
    <w:p w14:paraId="6D36CA33">
      <w:r>
        <w:rPr>
          <w:b/>
        </w:rPr>
        <w:t>物料识别与追溯</w:t>
      </w:r>
      <w:r>
        <w:t>：关键物料（线圈、模具、树脂桶）绑定RFID标签（存储容量≥1KB，读写距离0.5-3m），记录物料规格、批次、流转记录等信息。在各工序转接点部署RFID读卡器，数据实时上传至WMS系统，实现“一物一码”全生命周期追溯，追溯精度达单个线圈。</w:t>
      </w:r>
    </w:p>
    <w:p w14:paraId="077B3D37">
      <w:r>
        <w:rPr>
          <w:b/>
        </w:rPr>
        <w:t>调度优化算法</w:t>
      </w:r>
      <w:r>
        <w:t>：采用改进A*算法进行路径规划，考虑设备占用、交通规则等约束，路径规划时间＜1秒。当AGV数量超过4台时，系统自动启用分区调度策略，通过时间窗分配法避免拥堵，设备冲突率降低至0.1%以下。</w:t>
      </w:r>
    </w:p>
    <w:p w14:paraId="12AC22A5">
      <w:r>
        <w:t>物流系统与MES实时交互，根据生产计划自动生成物料需求清单，当原材料库存低于安全阈值（如环氧树脂剩余量＜5桶）时，自动触发采购申请，确保生产连续性。</w:t>
      </w:r>
    </w:p>
    <w:p w14:paraId="6AF4DFB5">
      <w:pPr>
        <w:pStyle w:val="4"/>
      </w:pPr>
      <w:r>
        <w:t>2.3 信息流系统架构</w:t>
      </w:r>
    </w:p>
    <w:p w14:paraId="53FECDC2">
      <w:r>
        <w:t>车间信息流系统构建“感知-传输-分析-应用”四层架构，通过工业互联网平台实现全要素数据的集成与价值挖掘，为智能化生产提供决策支撑。</w:t>
      </w:r>
    </w:p>
    <w:p w14:paraId="09A8FE28">
      <w:r>
        <w:rPr>
          <w:b/>
        </w:rPr>
        <w:t>数据采集层</w:t>
      </w:r>
      <w:r>
        <w:t>：部署1200余个传感器覆盖生产全流程：温度传感器（PT100，精度±0.1℃）监测固化炉、浇注罐温度；压力传感器（量程0-1MPa，精度0.1%FS）采集浇注压力、模具合模力；振动传感器（采样频率1kHz）监控混料罐搅拌轴状态；RFID读卡器（读取速率10次/秒）记录物料流转；视觉传感器（分辨率2000万像素）检测线圈表面缺陷。数据经边缘网关预处理（滤波、压缩），传输带宽控制在100Mbps以内。</w:t>
      </w:r>
    </w:p>
    <w:p w14:paraId="4D8BB449">
      <w:r>
        <w:rPr>
          <w:b/>
        </w:rPr>
        <w:t>数据传输层</w:t>
      </w:r>
      <w:r>
        <w:t>：采用“工业以太网+5G”双网络架构。设备层通过Profinet协议（传输速率1Gbps，周期1ms）连接PLC与分布式I/O；移动设备（AGV、手持终端）通过5G SA组网（上下行速率500Mbps/1Gbps）接入；各系统间采用OPC UA协议进行标准化数据交互，确保信息一致性（数据同步延迟＜1秒）。核心网络采用环形冗余设计，单点故障时切换时间＜50ms，保障通信可靠性。</w:t>
      </w:r>
    </w:p>
    <w:p w14:paraId="69DFA778">
      <w:r>
        <w:rPr>
          <w:b/>
        </w:rPr>
        <w:t>数据存储与分析层</w:t>
      </w:r>
      <w:r>
        <w:t>：构建分布式数据中台，采用Hadoop集群（容量100TB）存储历史数据（保留周期≥3年），通过Spark Streaming进行实时计算（处理延迟＜500ms）。部署机器学习平台（TensorFlow框架），开发质量预测模型（XGBoost算法，准确率92%）、设备健康评估模型（LSTM神经网络，剩余寿命预测误差＜10%）及能源优化模型（遗传算法，能耗降低12%）。</w:t>
      </w:r>
    </w:p>
    <w:p w14:paraId="192BAC0C">
      <w:r>
        <w:rPr>
          <w:b/>
        </w:rPr>
        <w:t>应用层</w:t>
      </w:r>
      <w:r>
        <w:t>：集成四大核心系统：MES系统负责生产计划分解（工单响应时间＜5分钟）、工艺参数下发（控制精度±1%）及生产过程监控；WMS系统管理库存（准确率99.9%）与出入库调度；SCADA系统实现设备状态实时监控（三级画面设计）与报警管理（响应时间＜30秒）；数字孪生平台构建虚拟车间，支持生产瓶颈仿真（如AGV拥堵点预测）与工艺参数优化（仿真精度±2%）。</w:t>
      </w:r>
    </w:p>
    <w:p w14:paraId="0BB40E08">
      <w:r>
        <w:t>系统具备开放接口，可与公司ERP、PLM系统无缝对接，实现从产品设计到生产交付的全流程数据贯通。</w:t>
      </w:r>
    </w:p>
    <w:p w14:paraId="382DE09B">
      <w:pPr>
        <w:pStyle w:val="4"/>
      </w:pPr>
      <w:r>
        <w:t>2.4 自动化控制系统架构</w:t>
      </w:r>
    </w:p>
    <w:p w14:paraId="3DEEC1F5">
      <w:r>
        <w:t>车间自动化控制系统采用“分布式控制+集中监控”架构，实现对生产设备的高精度、高可靠控制，控制层级分为设备层、控制层、监控层三级。</w:t>
      </w:r>
    </w:p>
    <w:p w14:paraId="682271C4">
      <w:r>
        <w:rPr>
          <w:b/>
        </w:rPr>
        <w:t>设备层</w:t>
      </w:r>
      <w:r>
        <w:t>：包括真空浇注罐、固化炉、混料系统等生产设备，以及传感器、执行器等底层元件。关键设备采用西门子S7-1500系列PLC（支持Profinet IRT，周期≤1ms），配置冗余CPU与电源模块（MTBF≥100,000小时）。伺服系统选用西门子V90系列（额定转速3000rpm，扭矩5-20N·m），通过绝对值编码器（分辨率17位）实现定位精度±0.01mm。</w:t>
      </w:r>
    </w:p>
    <w:p w14:paraId="3597275C">
      <w:r>
        <w:rPr>
          <w:b/>
        </w:rPr>
        <w:t>控制层</w:t>
      </w:r>
      <w:r>
        <w:t>：采用PLC+DCS混合控制模式。逻辑控制（如设备启停、安全联锁）由PLC完成，模拟量控制（如温度、压力调节）由DCS系统（西门子PCS 7）负责，控制算法采用PID+前馈补偿，调节精度达±0.5%。控制网络采用冗余工业以太网，数据传输速率1Gbps，支持时间敏感网络（TSN），确保控制指令的确定性传输。</w:t>
      </w:r>
    </w:p>
    <w:p w14:paraId="71634594">
      <w:r>
        <w:rPr>
          <w:b/>
        </w:rPr>
        <w:t>监控层</w:t>
      </w:r>
      <w:r>
        <w:t>：部署西门子WinCC SCADA系统，提供三级监控画面：车间总览画面显示关键KPI（如产量、合格率、设备OEE）；工序监控画面展示各工位实时参数（如浇注压力曲线、固化温度曲线）；设备详情画面提供单台设备的电流、温度、振动等数据及历史趋势（时间跨度1小时-30天可调）。</w:t>
      </w:r>
    </w:p>
    <w:p w14:paraId="1995446F">
      <w:r>
        <w:rPr>
          <w:b/>
        </w:rPr>
        <w:t>安全控制系统</w:t>
      </w:r>
      <w:r>
        <w:t>：独立设置安全PLC（西门子S7-1500F），实现急停回路（响应时间＜10ms）、安全门联锁、双手启动等功能。危险区域（如浇注工位）配置安全光幕（Sick C4000系列，分辨率14mm）与安全地毯（检测精度±5mm），人员进入时设备立即停机。系统通过SIL 2安全认证，平均失效概率≤10⁻⁷/h。</w:t>
      </w:r>
    </w:p>
    <w:p w14:paraId="593FC5D9">
      <w:r>
        <w:t>控制系统支持远程诊断，维护人员可通过Web客户端访问PLC内置服务器，查看程序逻辑、I/O状态与故障代码，故障排查时间缩短至30分钟以内。</w:t>
      </w:r>
    </w:p>
    <w:p w14:paraId="6E7098ED">
      <w:pPr>
        <w:pStyle w:val="3"/>
      </w:pPr>
      <w:r>
        <w:t>三、主要生产设备配置</w:t>
      </w:r>
    </w:p>
    <w:p w14:paraId="335D9B2C">
      <w:pPr>
        <w:pStyle w:val="4"/>
      </w:pPr>
      <w:r>
        <w:t>3.1 核心生产设备：真空浇注设备</w:t>
      </w:r>
    </w:p>
    <w:p w14:paraId="6815D43A">
      <w:r>
        <w:t>真空浇注设备是车间的关键设备，采用二次混料+真空加压工艺，实现环氧树脂对线圈的高精度包封，主要技术参数如下：</w:t>
      </w:r>
    </w:p>
    <w:p w14:paraId="0FD02EE2">
      <w:r>
        <w:rPr>
          <w:b/>
        </w:rPr>
        <w:t>设备组成</w:t>
      </w:r>
      <w:r>
        <w:t>：由真空浇注罐（容积5m³）、双行星混料机（有效容积200L）、计量浇注系统（流量范围0.1-2L/min）及模具定位平台组成。罐体采用304不锈钢材质，内壁抛光精度Ra0.8μm，确保混合料流动顺畅。</w:t>
      </w:r>
    </w:p>
    <w:p w14:paraId="507CB106">
      <w:r>
        <w:rPr>
          <w:b/>
        </w:rPr>
        <w:t>真空系统</w:t>
      </w:r>
      <w:r>
        <w:t>：配置罗茨-旋片复合真空泵组，极限真空度达50Pa，抽气速率200m³/h。真空度控制采用PID调节，从大气压降至300Pa耗时＜5分钟，压力稳定性±5Pa/小时。罐门采用充气密封（密封压力0.6MPa），泄漏率＜0.1Pa·m³/s。</w:t>
      </w:r>
    </w:p>
    <w:p w14:paraId="3A70399F">
      <w:r>
        <w:rPr>
          <w:b/>
        </w:rPr>
        <w:t>温控系统</w:t>
      </w:r>
      <w:r>
        <w:t>：罐体内壁敷设加热管（功率15kW），温度控制范围室温-200℃，调节精度±1℃。采用红外测温仪（响应时间100ms）实时监测物料温度，与加热系统形成闭环控制，避免局部过热导致树脂固化异常。</w:t>
      </w:r>
    </w:p>
    <w:p w14:paraId="6AFA63D0">
      <w:r>
        <w:rPr>
          <w:b/>
        </w:rPr>
        <w:t>浇注系统</w:t>
      </w:r>
      <w:r>
        <w:t>：计量泵采用伺服驱动（控制精度±0.5%），可实现流量的无级调节。浇注头配备动态混合器（混合元件数量16个），确保树脂与固化剂在输送过程中均匀混合。系统支持多模具同时浇注（最多4个），通过分流阀实现流量独立控制。</w:t>
      </w:r>
    </w:p>
    <w:p w14:paraId="6F399029">
      <w:r>
        <w:rPr>
          <w:b/>
        </w:rPr>
        <w:t>自动化控制</w:t>
      </w:r>
      <w:r>
        <w:t>：配备西门子S7-1516F PLC与TP1700触摸屏，支持工艺参数存储（可保存100组配方）与自动调用。设备集成PROFINET接口，可与MES系统实时交互生产数据（如浇注量、真空度曲线），支持远程监控与程序升级。</w:t>
      </w:r>
    </w:p>
    <w:p w14:paraId="0305C364">
      <w:r>
        <w:t>与传统设备相比，该系统通过数字化控制使浇注合格率从85%提升至99.5%，单批次生产时间缩短20%。</w:t>
      </w:r>
    </w:p>
    <w:p w14:paraId="52CEA413">
      <w:pPr>
        <w:pStyle w:val="4"/>
      </w:pPr>
      <w:r>
        <w:t>3.2 核心生产设备：固化设备</w:t>
      </w:r>
    </w:p>
    <w:p w14:paraId="130512C9">
      <w:r>
        <w:t>固化设备采用热风循环固化炉，为浇注后的线圈提供精确的温度环境，促进树脂交联反应，确保绝缘层性能稳定。</w:t>
      </w:r>
    </w:p>
    <w:p w14:paraId="4746265A">
      <w:r>
        <w:rPr>
          <w:b/>
        </w:rPr>
        <w:t>结构特点</w:t>
      </w:r>
      <w:r>
        <w:t>：炉体采用双层岩棉保温结构（厚度200mm），保温性能≤2℃/h（常温下）。内部尺寸6m×3m×2.5m，可容纳4个标准线圈（或2个大型线圈）同时固化。加热元件为不锈钢红外加热管（总功率60kW），分布于炉顶与两侧，实现三维立体加热。</w:t>
      </w:r>
    </w:p>
    <w:p w14:paraId="566FD42E">
      <w:r>
        <w:rPr>
          <w:b/>
        </w:rPr>
        <w:t>温度控制系统</w:t>
      </w:r>
      <w:r>
        <w:t>：采用分区温控技术，将炉腔分为3个独立控温区，每个区域配置Pt100传感器（精度A级）与PID控制器。温度控制范围50-200℃，均匀性误差≤±2℃（空载），升温速率0.5-5℃/min可调。系统支持自定义固化曲线（最多10段），可存储200组工艺配方。</w:t>
      </w:r>
    </w:p>
    <w:p w14:paraId="4EFDCDF4">
      <w:r>
        <w:rPr>
          <w:b/>
        </w:rPr>
        <w:t>循环系统</w:t>
      </w:r>
      <w:r>
        <w:t>：配备2台离心式循环风机（风量20,000m³/h），采用上送下回气流组织，风速1-3m/s可调。风路设计避免死角，确保炉内气流扰动系数＜5%，保证线圈各部位受热均匀。</w:t>
      </w:r>
    </w:p>
    <w:p w14:paraId="329FFAF2">
      <w:r>
        <w:rPr>
          <w:b/>
        </w:rPr>
        <w:t>输送系统</w:t>
      </w:r>
      <w:r>
        <w:t>：炉体进出料端配置辊道输送机（承重5吨），与AGV对接实现线圈自动进出。输送速度0.5-2m/min可调，定位精度±5mm，与炉门开关、温度控制联锁，确保操作安全。</w:t>
      </w:r>
    </w:p>
    <w:p w14:paraId="2AD94C6E">
      <w:r>
        <w:rPr>
          <w:b/>
        </w:rPr>
        <w:t>环保系统</w:t>
      </w:r>
      <w:r>
        <w:t>：固化过程中产生的有机废气（VOCs浓度＜500mg/m³）通过活性炭吸附装置处理（吸附效率＞95%），排放浓度符合GB 37822-2019标准。废气处理系统与固化炉联动，当活性炭饱和时自动报警并切换备用吸附塔。</w:t>
      </w:r>
    </w:p>
    <w:p w14:paraId="5D3D7962">
      <w:r>
        <w:t>设备运行数据（如温度曲线、运行时间）通过OPC UA协议上传至SCADA系统，支持远程监控与故障诊断，平均无故障运行时间达8000小时以上。</w:t>
      </w:r>
    </w:p>
    <w:p w14:paraId="1A89534F">
      <w:pPr>
        <w:pStyle w:val="4"/>
      </w:pPr>
      <w:r>
        <w:t>3.3 辅助生产设备</w:t>
      </w:r>
    </w:p>
    <w:p w14:paraId="308692A2">
      <w:r>
        <w:t>车间配置系列辅助设备，与核心设备协同实现生产全流程自动化，主要包括：</w:t>
      </w:r>
    </w:p>
    <w:p w14:paraId="3CAFA651">
      <w:r>
        <w:rPr>
          <w:b/>
        </w:rPr>
        <w:t>树脂预处理设备</w:t>
      </w:r>
      <w:r>
        <w:t>：</w:t>
      </w:r>
    </w:p>
    <w:p w14:paraId="416513CB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脱水装置</w:t>
      </w:r>
      <w:r>
        <w:t>：真空耙式干燥机（有效容积500L），加热温度80-120℃，真空度≤100Pa，处理后树脂含水率≤0.05%。</w:t>
      </w:r>
    </w:p>
    <w:p w14:paraId="4E209DF2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过滤系统</w:t>
      </w:r>
      <w:r>
        <w:t>：袋式过滤器（精度1μm）与磁性过滤器（磁场强度12,000Gs）串联，去除树脂中机械杂质与铁屑，过滤效率≥99.9%。</w:t>
      </w:r>
    </w:p>
    <w:p w14:paraId="5278F3AD">
      <w:r>
        <w:rPr>
          <w:b/>
        </w:rPr>
        <w:t>模具系统</w:t>
      </w:r>
      <w:r>
        <w:t>：</w:t>
      </w:r>
    </w:p>
    <w:p w14:paraId="3E39DCCB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标准模具</w:t>
      </w:r>
      <w:r>
        <w:t>：采用铝合金材质（导热系数160W/(m·K)），表面经硬质阳极氧化处理（硬度HV500），使用寿命≥500次循环。</w:t>
      </w:r>
    </w:p>
    <w:p w14:paraId="7AFB4A9B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快速换模装置</w:t>
      </w:r>
      <w:r>
        <w:t>：配备模具定位销（定位精度±0.05mm）与液压夹紧机构（夹紧力5-50kN可调），换模时间＜30分钟。</w:t>
      </w:r>
    </w:p>
    <w:p w14:paraId="4D38C90B">
      <w:r>
        <w:rPr>
          <w:b/>
        </w:rPr>
        <w:t>在线检测设备</w:t>
      </w:r>
      <w:r>
        <w:t>：</w:t>
      </w:r>
    </w:p>
    <w:p w14:paraId="65ADA0FE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介损检测仪</w:t>
      </w:r>
      <w:r>
        <w:t>：自动测量线圈绝缘层介损因数（tanδ），测试电压1-10kV，精度±0.0001，可在线筛选不合格品。</w:t>
      </w:r>
    </w:p>
    <w:p w14:paraId="73E11B06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三维扫描仪</w:t>
      </w:r>
      <w:r>
        <w:t>：激光扫描（点云密度100点/mm²）检测线圈外形尺寸，精度±0.05mm，生成三维模型与设计图纸比对。</w:t>
      </w:r>
    </w:p>
    <w:p w14:paraId="31CB6299">
      <w:r>
        <w:rPr>
          <w:b/>
        </w:rPr>
        <w:t>废气处理设备</w:t>
      </w:r>
      <w:r>
        <w:t>：</w:t>
      </w:r>
    </w:p>
    <w:p w14:paraId="4C074411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催化燃烧装置</w:t>
      </w:r>
      <w:r>
        <w:t>：处理能力10,000m³/h，采用贵金属催化剂（起燃温度250℃），VOCs去除率＞98%，余热回收效率60%。</w:t>
      </w:r>
    </w:p>
    <w:p w14:paraId="429A24F0">
      <w:r>
        <w:rPr>
          <w:b/>
        </w:rPr>
        <w:t>辅助工装</w:t>
      </w:r>
      <w:r>
        <w:t>：</w:t>
      </w:r>
    </w:p>
    <w:p w14:paraId="1C1E39BC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翻转台</w:t>
      </w:r>
      <w:r>
        <w:t>：负载能力5吨，翻转角度0-90°可调，翻转速度10°/s，定位精度±1°，用于线圈预处理与脱模工序。</w:t>
      </w:r>
    </w:p>
    <w:p w14:paraId="32D8ACAA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电动行车</w:t>
      </w:r>
      <w:r>
        <w:t>：跨度16.5米，起重量10吨，运行速度20m/min，配备无线遥控器（控制距离50米）与过载保护装置。</w:t>
      </w:r>
    </w:p>
    <w:p w14:paraId="5903E953">
      <w:r>
        <w:t>这些辅助设备通过MES系统统一调度，与核心设备形成联动，例如当介损检测仪发现不合格品时，系统自动调度AGV将其转运至返修区，避免流入下道工序。</w:t>
      </w:r>
    </w:p>
    <w:p w14:paraId="237A25FB">
      <w:pPr>
        <w:pStyle w:val="4"/>
      </w:pPr>
      <w:r>
        <w:t>3.4 智能物流设备系统</w:t>
      </w:r>
    </w:p>
    <w:p w14:paraId="1DAAB582">
      <w:r>
        <w:t>车间智能物流设备系统构建“立体存储-自动转运-精准配送”的一体化解决方案，支持生产物料的高效流转，主要设备配置如下：</w:t>
      </w:r>
    </w:p>
    <w:p w14:paraId="655EE8F7">
      <w:r>
        <w:rPr>
          <w:b/>
        </w:rPr>
        <w:t>立体仓库系统</w:t>
      </w:r>
      <w:r>
        <w:t>：</w:t>
      </w:r>
    </w:p>
    <w:p w14:paraId="4CC72715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货架</w:t>
      </w:r>
      <w:r>
        <w:t>：采用横梁式结构，材质Q235B，表面环氧树脂喷涂，共500个货位（尺寸1200×1200×1500mm），最大承重1500kg/货位。</w:t>
      </w:r>
    </w:p>
    <w:p w14:paraId="01B07BBB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堆垛机</w:t>
      </w:r>
      <w:r>
        <w:t>：双立柱结构，运行速度80m/min（水平）、20m/min（垂直），货叉伸缩速度15m/min，定位方式为激光+编码器（精度±3mm）。配备双货叉设计，支持一次取放两个货位物料，作业效率提升40%。</w:t>
      </w:r>
    </w:p>
    <w:p w14:paraId="693430B3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出入库站台</w:t>
      </w:r>
      <w:r>
        <w:t>：4个进出货口，配置链式输送机（速度1m/s）与RFID读卡器，实现物料自动识别与交接。</w:t>
      </w:r>
    </w:p>
    <w:p w14:paraId="18735E4B">
      <w:r>
        <w:rPr>
          <w:b/>
        </w:rPr>
        <w:t>AGV系统</w:t>
      </w:r>
      <w:r>
        <w:t>：</w:t>
      </w:r>
    </w:p>
    <w:p w14:paraId="240DC04A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车型</w:t>
      </w:r>
      <w:r>
        <w:t>：潜伏式AGV，尺寸2200×1200×450mm，自重1500kg，负载能力2000kg，续航时间8小时（支持在线充电，充电1小时续航6小时）。</w:t>
      </w:r>
    </w:p>
    <w:p w14:paraId="11F3A7C8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导航方式</w:t>
      </w:r>
      <w:r>
        <w:t>：激光SLAM导航，定位精度±10mm，重复定位精度±5mm，最大运行速度1.2m/s，最小转弯半径1.5m。</w:t>
      </w:r>
    </w:p>
    <w:p w14:paraId="71AD780A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调度系统</w:t>
      </w:r>
      <w:r>
        <w:t>：支持8台AGV同时调度，采用动态路径规划算法，避障响应时间＜50ms，任务完成率≥99.9%。</w:t>
      </w:r>
    </w:p>
    <w:p w14:paraId="228D339F">
      <w:r>
        <w:rPr>
          <w:b/>
        </w:rPr>
        <w:t>Conveyor输送系统</w:t>
      </w:r>
      <w:r>
        <w:t>：</w:t>
      </w:r>
    </w:p>
    <w:p w14:paraId="6CDFC5DF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类型</w:t>
      </w:r>
      <w:r>
        <w:t>：皮带式conveyor（用于线圈输送）与滚筒式conveyor（用于模具输送），输送速度0.5-2m/min可调。</w:t>
      </w:r>
    </w:p>
    <w:p w14:paraId="23910D94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控制方式</w:t>
      </w:r>
      <w:r>
        <w:t>：PLC控制，通过光电传感器（检测距离0-2m）与编码器实现物料定位与速度同步，与AGV、固化炉等设备联动。</w:t>
      </w:r>
    </w:p>
    <w:p w14:paraId="18A45BA6">
      <w:r>
        <w:rPr>
          <w:b/>
        </w:rPr>
        <w:t>调度管理系统</w:t>
      </w:r>
      <w:r>
        <w:t>：</w:t>
      </w:r>
    </w:p>
    <w:p w14:paraId="6424443C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WCS系统</w:t>
      </w:r>
      <w:r>
        <w:t>：接收WMS的出入库指令，将其分解为设备动作指令（如堆垛机取货、AGV路径规划），支持设备状态监控与故障报警。</w:t>
      </w:r>
    </w:p>
    <w:p w14:paraId="7815E2E3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冲突避免</w:t>
      </w:r>
      <w:r>
        <w:t>：采用时间窗算法分配AGV路径，避免交通拥堵；当多台AGV竞争同一资源时，通过优先级机制（紧急订单＞常规订单）动态调整。</w:t>
      </w:r>
    </w:p>
    <w:p w14:paraId="36C793E9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数据接口</w:t>
      </w:r>
      <w:r>
        <w:t>：提供OPC UA接口与MES、WMS系统集成，实现生产计划与物流调度的协同优化。</w:t>
      </w:r>
    </w:p>
    <w:p w14:paraId="481E8EFD">
      <w:r>
        <w:t>该物流系统使车间原材料库存周转天数从30天降至15天，在制品库存减少40%，物流人力成本降低70%。</w:t>
      </w:r>
    </w:p>
    <w:p w14:paraId="53D3722B">
      <w:pPr>
        <w:pStyle w:val="3"/>
      </w:pPr>
      <w:r>
        <w:t>四、数字化与智能化技术特色</w:t>
      </w:r>
    </w:p>
    <w:p w14:paraId="0B7BD5E8">
      <w:pPr>
        <w:pStyle w:val="4"/>
      </w:pPr>
      <w:r>
        <w:t>4.1 “两大仿真”技术应用</w:t>
      </w:r>
    </w:p>
    <w:p w14:paraId="03B7CED8">
      <w:r>
        <w:t>车间采用“研发设计仿真+生产工艺仿真”双平台驱动模式，通过虚拟优化减少物理试错，研发周期缩短40%，生产成本降低25%。</w:t>
      </w:r>
    </w:p>
    <w:p w14:paraId="0782FC02">
      <w:r>
        <w:rPr>
          <w:b/>
        </w:rPr>
        <w:t>研发设计仿真平台</w:t>
      </w:r>
      <w:r>
        <w:t>：</w:t>
      </w:r>
    </w:p>
    <w:p w14:paraId="0E3F9C48">
      <w:r>
        <w:t>基于SolidWorks与ANSYS构建三维数字化模型，集成电磁、热、结构多物理场仿真功能。在新产品设计阶段，通过电磁仿真分析不同浇注工艺对线圈绝缘性能的影响，例如仿真不同树脂厚度（3-8mm）下的局部放电量（仿真精度±2pC），优化绝缘结构设计；通过热仿真预测线圈运行时的温度分布（温差≤5℃），指导固化工艺参数设置；通过结构仿真验证线圈在短路工况下的机械强度（抗短路力≥100N/cm²），确保产品可靠性。</w:t>
      </w:r>
    </w:p>
    <w:p w14:paraId="3B365751">
      <w:r>
        <w:t>平台支持参数化建模，当客户提出新规格需求时，可快速调整模型参数（如线圈直径、匝数）并自动生成仿真报告，方案响应时间从72小时缩短至24小时。例如某新能源项目要求变压器高度降低10%，通过仿真优化模具结构与浇注路径，在满足绝缘性能的前提下实现设计目标，避免传统模式下的多次样机试制。</w:t>
      </w:r>
    </w:p>
    <w:p w14:paraId="249270C4">
      <w:r>
        <w:rPr>
          <w:b/>
        </w:rPr>
        <w:t>生产工艺仿真平台</w:t>
      </w:r>
      <w:r>
        <w:t>：</w:t>
      </w:r>
    </w:p>
    <w:p w14:paraId="11CCA9C4">
      <w:r>
        <w:t>基于数字孪生技术构建车间虚拟映射，实时同步物理车间的设备状态、物料位置、工艺参数等数据（数据更新频率100ms）。平台支持生产过程预演，在新产品投产前，通过仿真验证生产节拍（如浇注工序能否满足每小时2台的产能需求）、物流路径合理性（AGV是否存在拥堵点）及资源配置优化（固化炉负载均衡）。</w:t>
      </w:r>
    </w:p>
    <w:p w14:paraId="0304AE66">
      <w:r>
        <w:t>在生产过程中，平台通过对比虚拟与实际生产数据，动态调整工艺参数。例如当仿真发现某批次线圈固化温度低于设定值时，自动分析原因（如加热管功率衰减）并给出调整建议（提高设定温度2℃）；通过浇注流动仿真预测气泡产生风险，提前调整真空度参数（从300Pa降至200Pa）。</w:t>
      </w:r>
    </w:p>
    <w:p w14:paraId="0B59CA11">
      <w:r>
        <w:t>平台还支持远程监控与协同，技术专家可通过Web客户端访问虚拟车间，查看实时生产数据并进行工艺指导，解决异地技术支持难题。</w:t>
      </w:r>
    </w:p>
    <w:p w14:paraId="637BA424">
      <w:pPr>
        <w:pStyle w:val="4"/>
      </w:pPr>
      <w:r>
        <w:t>4.2 “三大自动化”集成架构</w:t>
      </w:r>
    </w:p>
    <w:p w14:paraId="355A263A">
      <w:r>
        <w:t>车间构建“产线自动化、物流自动化、信息流自动化”三位一体集成架构，实现生产全流程的少人化、智能化运行，人均劳动生产率提升67%。</w:t>
      </w:r>
    </w:p>
    <w:p w14:paraId="5DEEC6DE">
      <w:r>
        <w:rPr>
          <w:b/>
        </w:rPr>
        <w:t>产线自动化</w:t>
      </w:r>
      <w:r>
        <w:t>：</w:t>
      </w:r>
    </w:p>
    <w:p w14:paraId="64F5FBD1">
      <w:r>
        <w:t>核心设备实现高度自动化，例如真空浇注设备可自动完成混料、脱气、浇注全过程，仅需1名操作员监控；固化炉采用自动进出料与温度曲线自适应控制，无需人工干预。关键工艺参数通过PLC与伺服系统闭环控制，如树脂混配比例控制精度±0.5%，浇注压力控制精度±0.05bar，确保产品一致性（标准差≤1%）。</w:t>
      </w:r>
    </w:p>
    <w:p w14:paraId="06EDA819">
      <w:r>
        <w:t>产线配备机器视觉系统，在浇注后对线圈表面进行100%检测（检测速度10m/min），识别划痕（≥0.1mm）、气泡（≥0.5mm）等缺陷，检测准确率达99.5%，替代传统人工抽检（漏检率10%）。</w:t>
      </w:r>
    </w:p>
    <w:p w14:paraId="16784637">
      <w:r>
        <w:rPr>
          <w:b/>
        </w:rPr>
        <w:t>物流自动化</w:t>
      </w:r>
      <w:r>
        <w:t>：</w:t>
      </w:r>
    </w:p>
    <w:p w14:paraId="5C52D88C">
      <w:r>
        <w:t>通过立体仓库、AGV、conveyor等设备的协同，实现物料从入库到出库的全程无人化流转。例如当MES下达生产订单后，WMS自动生成物料需求清单，WCS调度堆垛机从立体仓库取出树脂、固化剂，由AGV转运至混配工位；浇注完成的线圈由AGV自动转运至固化炉，固化后再转运至下一工序，全程无需人工搬运。</w:t>
      </w:r>
    </w:p>
    <w:p w14:paraId="1C5B669A">
      <w:r>
        <w:t>物流系统具备柔性化能力，支持多品种小批量生产的快速切换。当生产计划变更时，调度系统在5分钟内重新规划AGV路径与设备任务，适应订单变化需求。</w:t>
      </w:r>
    </w:p>
    <w:p w14:paraId="39BDA5CA">
      <w:r>
        <w:rPr>
          <w:b/>
        </w:rPr>
        <w:t>信息流自动化</w:t>
      </w:r>
      <w:r>
        <w:t>：</w:t>
      </w:r>
    </w:p>
    <w:p w14:paraId="13CA5976">
      <w:r>
        <w:t>通过工业互联网平台实现各系统数据的实时共享与业务协同。MES系统接收ERP订单后，自动分解为工序任务并下发至设备；SCADA系统实时采集设备运行数据（如浇注压力、固化温度），通过边缘计算进行实时分析，异常时自动触发报警；WMS系统根据生产进度动态调整库存策略，确保物料供应及时且无积压。</w:t>
      </w:r>
    </w:p>
    <w:p w14:paraId="7C813B7A">
      <w:r>
        <w:t>信息流系统采用标准化数据交互（OPC UA协议），打破“信息孤岛”，例如当真空浇注设备出现故障时，系统自动将影响的生产订单信息推送至MES，调整后续工序计划，减少等待时间。</w:t>
      </w:r>
    </w:p>
    <w:p w14:paraId="79F62260">
      <w:r>
        <w:t>三大自动化系统通过数字孪生平台实现深度集成，构建“物理世界-虚拟空间”的双向映射，支持生产全流程的可视化监控与智能化决策。</w:t>
      </w:r>
    </w:p>
    <w:p w14:paraId="2C24D94C">
      <w:pPr>
        <w:pStyle w:val="4"/>
      </w:pPr>
      <w:r>
        <w:t>4.3 数据采集与分析应用</w:t>
      </w:r>
    </w:p>
    <w:p w14:paraId="5F9B1CF4">
      <w:r>
        <w:t>车间构建全要素数据采集与分析体系，通过数据驱动生产优化，关键质量指标提升15%，设备故障率降低30%。</w:t>
      </w:r>
    </w:p>
    <w:p w14:paraId="37D31DB5">
      <w:r>
        <w:rPr>
          <w:b/>
        </w:rPr>
        <w:t>全要素数据采集</w:t>
      </w:r>
      <w:r>
        <w:t>：</w:t>
      </w:r>
    </w:p>
    <w:p w14:paraId="10E1E528">
      <w:r>
        <w:t>部署1200余个传感器覆盖生产、物流、环境等各环节：</w:t>
      </w:r>
    </w:p>
    <w:p w14:paraId="318186A6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生产设备</w:t>
      </w:r>
      <w:r>
        <w:t>：电流、电压、温度、振动、压力等传感器，采样频率1kHz（关键参数）至1Hz（一般参数）；</w:t>
      </w:r>
    </w:p>
    <w:p w14:paraId="663D9B23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物流设备</w:t>
      </w:r>
      <w:r>
        <w:t>：AGV位置（GPS+编码器）、堆垛机运行状态、物料RFID信息，采样频率10Hz；</w:t>
      </w:r>
    </w:p>
    <w:p w14:paraId="2E26A206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环境参数</w:t>
      </w:r>
      <w:r>
        <w:t>：车间温湿度（25±2℃，50±5%RH）、洁净度（ISO 8级）、VOCs浓度，采样频率1Hz；</w:t>
      </w:r>
    </w:p>
    <w:p w14:paraId="7793309A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质量检测</w:t>
      </w:r>
      <w:r>
        <w:t>：介损、局部放电、尺寸精度等检测数据，实时上传至质量数据库。</w:t>
      </w:r>
    </w:p>
    <w:p w14:paraId="144DC82F">
      <w:r>
        <w:t>数据通过边缘网关进行预处理（滤波、数据压缩、特征提取），例如对振动信号进行傅里叶变换提取特征频率，判断设备健康状态；对温度曲线进行趋势分析，预测固化效果。</w:t>
      </w:r>
    </w:p>
    <w:p w14:paraId="5B70C4BD">
      <w:r>
        <w:rPr>
          <w:b/>
        </w:rPr>
        <w:t>数据分析平台</w:t>
      </w:r>
      <w:r>
        <w:t>：</w:t>
      </w:r>
    </w:p>
    <w:p w14:paraId="0E51D718">
      <w:r>
        <w:t>基于华为FusionPlant工业互联网平台构建数据中台，集成大数据分析与AI算法库，提供以下核心应用：</w:t>
      </w:r>
    </w:p>
    <w:p w14:paraId="02C91FDD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rPr>
          <w:b/>
        </w:rPr>
        <w:t>质量预测</w:t>
      </w:r>
      <w:r>
        <w:t>：采用XGBoost算法，通过分析混料温度、浇注压力、固化时间等参数与绝缘介损的关系，预测产品质量（准确率92%），当预测不合格时自动调整工艺参数；</w:t>
      </w:r>
    </w:p>
    <w:p w14:paraId="11573DF4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rPr>
          <w:b/>
        </w:rPr>
        <w:t>设备健康管理</w:t>
      </w:r>
      <w:r>
        <w:t>：基于LSTM神经网络，通过振动、温度数据预测关键设备（如真空浇注罐）的剩余寿命（预测误差＜10%），提前安排维护，避免突发故障；</w:t>
      </w:r>
    </w:p>
    <w:p w14:paraId="36988088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rPr>
          <w:b/>
        </w:rPr>
        <w:t>工艺参数优化</w:t>
      </w:r>
      <w:r>
        <w:t>：采用强化学习算法，以降低铁芯损耗为目标，自动优化固化温度曲线（如将保温时间从4小时调整为3.5小时），能耗降低8%；</w:t>
      </w:r>
    </w:p>
    <w:p w14:paraId="1946F323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rPr>
          <w:b/>
        </w:rPr>
        <w:t>能源优化调度</w:t>
      </w:r>
      <w:r>
        <w:t>：结合园区光伏发电出力预测，动态调整高能耗设备（如固化炉）的运行时间，绿电消纳比例提升至40%。</w:t>
      </w:r>
    </w:p>
    <w:p w14:paraId="119DD531">
      <w:r>
        <w:rPr>
          <w:b/>
        </w:rPr>
        <w:t>数据可视化与应用</w:t>
      </w:r>
      <w:r>
        <w:t>：</w:t>
      </w:r>
    </w:p>
    <w:p w14:paraId="63E1018F">
      <w:r>
        <w:t>通过Power BI构建生产监控大屏，实时展示关键指标（产量、合格率、设备OEE）；开发移动端APP，管理人员可随时查看生产数据与异常报警，远程审批工艺变更；提供开放数据接口，客户可查询订单生产进度与质量检测报告，提升透明度与信任度。</w:t>
      </w:r>
    </w:p>
    <w:p w14:paraId="380F4883">
      <w:r>
        <w:t>2025年4月，车间生产工艺数据作为“数据资产”在福建大数据交易中心挂牌，成为国内变压器行业首个数据资产化案例，开创制造业数据要素市场化配置新模式。</w:t>
      </w:r>
    </w:p>
    <w:p w14:paraId="4DC39F0E">
      <w:pPr>
        <w:pStyle w:val="4"/>
      </w:pPr>
      <w:r>
        <w:t>4.4 绿色制造与能源管理</w:t>
      </w:r>
    </w:p>
    <w:p w14:paraId="184A9295">
      <w:r>
        <w:t>车间将绿色制造理念融入生产全流程，通过能源优化、资源循环利用、环保减排等措施，实现“绿色生产”与“产品绿色”的协同，单位产品能耗较行业平均水平降低15%。</w:t>
      </w:r>
    </w:p>
    <w:p w14:paraId="7D48B113">
      <w:r>
        <w:rPr>
          <w:b/>
        </w:rPr>
        <w:t>能源优化系统</w:t>
      </w:r>
      <w:r>
        <w:t>：</w:t>
      </w:r>
    </w:p>
    <w:p w14:paraId="68B92881">
      <w:r>
        <w:t>接入园区“光伏发电-储能-智慧能源管理”系统，实现能源的高效利用：</w:t>
      </w:r>
    </w:p>
    <w:p w14:paraId="7B7749ED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rPr>
          <w:b/>
        </w:rPr>
        <w:t>光伏消纳</w:t>
      </w:r>
      <w:r>
        <w:t>：根据光伏发电出力预测（准确率90%）动态调整生产计划，例如在白天光伏出力高峰时段（10:00-14:00）安排固化等高能耗工序，夜间安排低能耗的预处理工序；</w:t>
      </w:r>
    </w:p>
    <w:p w14:paraId="5507DAB4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rPr>
          <w:b/>
        </w:rPr>
        <w:t>储能协同</w:t>
      </w:r>
      <w:r>
        <w:t>：当电网负荷高峰时，启用储能系统供电（放电深度80%），避免用电峰值罚款；当光伏出力骤降时，储能系统快速响应（＜50ms）填补供电缺口；</w:t>
      </w:r>
    </w:p>
    <w:p w14:paraId="2401BE46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rPr>
          <w:b/>
        </w:rPr>
        <w:t>设备节能</w:t>
      </w:r>
      <w:r>
        <w:t>：对真空浇注罐、固化炉等设备进行变频改造，电机空载能耗降低30%；采用余热回收装置，将固化炉废气余热用于加热树脂，年节约天然气10万m³。</w:t>
      </w:r>
    </w:p>
    <w:p w14:paraId="5790EA27">
      <w:r>
        <w:rPr>
          <w:b/>
        </w:rPr>
        <w:t>资源循环利用</w:t>
      </w:r>
      <w:r>
        <w:t>：</w:t>
      </w:r>
    </w:p>
    <w:p w14:paraId="7C77164B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rPr>
          <w:b/>
        </w:rPr>
        <w:t>树脂回收</w:t>
      </w:r>
      <w:r>
        <w:t>：浇注过程中的余料经处理后重新利用，回收率达30%，年减少危废处理量50吨；</w:t>
      </w:r>
    </w:p>
    <w:p w14:paraId="3E71D6B6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rPr>
          <w:b/>
        </w:rPr>
        <w:t>模具优化</w:t>
      </w:r>
      <w:r>
        <w:t>：采用模块化设计，通过更换局部组件适应不同规格产品，模具利用率提升50%；</w:t>
      </w:r>
    </w:p>
    <w:p w14:paraId="1344187C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rPr>
          <w:b/>
        </w:rPr>
        <w:t>水资源循环</w:t>
      </w:r>
      <w:r>
        <w:t>：车间冷却水系统采用闭式循环（补充水量＜1%），生活污水经处理后用于绿化灌溉，中水回用率达80%。</w:t>
      </w:r>
    </w:p>
    <w:p w14:paraId="66D06662">
      <w:r>
        <w:rPr>
          <w:b/>
        </w:rPr>
        <w:t>环保减排措施</w:t>
      </w:r>
      <w:r>
        <w:t>：</w:t>
      </w:r>
    </w:p>
    <w:p w14:paraId="4D9D357F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废气治理</w:t>
      </w:r>
      <w:r>
        <w:t>：采用“活性炭吸附+催化燃烧”二级处理工艺，VOCs排放浓度控制在20mg/m³以下（国家标准120mg/m³），年减排VOCs 100吨；</w:t>
      </w:r>
    </w:p>
    <w:p w14:paraId="6EC50BB4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噪声控制</w:t>
      </w:r>
      <w:r>
        <w:t>：设备加装隔音罩（降噪量25dB），车间边界噪声≤55dB（昼间），符合GB 12348-2008标准；</w:t>
      </w:r>
    </w:p>
    <w:p w14:paraId="702E2118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固废处理</w:t>
      </w:r>
      <w:r>
        <w:t>：危险废物（废树脂、废活性炭）交由有资质单位处置，一般工业固废（废包装材料）回收利用，固废处置合规率100%。</w:t>
      </w:r>
    </w:p>
    <w:p w14:paraId="434E0FC4">
      <w:r>
        <w:rPr>
          <w:b/>
        </w:rPr>
        <w:t>碳排放管理</w:t>
      </w:r>
      <w:r>
        <w:t>：</w:t>
      </w:r>
    </w:p>
    <w:p w14:paraId="59AF499B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碳足迹追踪</w:t>
      </w:r>
      <w:r>
        <w:t>：根据ISO 14064标准，计算产品全生命周期碳排放（原材料、生产、运输），单位产品碳排放强度≤5kg CO₂e/kg；</w:t>
      </w:r>
    </w:p>
    <w:p w14:paraId="378EE413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碳中和措施</w:t>
      </w:r>
      <w:r>
        <w:t>：每年采购园区光伏发电产生的绿电证书（约100万kWh），抵消30%的外购火电碳排放；通过工艺优化（如采用低损耗硅钢片）降低生产过程碳排放。</w:t>
      </w:r>
    </w:p>
    <w:p w14:paraId="664A7173">
      <w:r>
        <w:t>这些绿色制造措施使车间获评“武汉市绿色工厂”，成为变压器行业绿色生产的标杆。</w:t>
      </w:r>
    </w:p>
    <w:p w14:paraId="6E0182A1">
      <w:pPr>
        <w:pStyle w:val="3"/>
      </w:pPr>
      <w:r>
        <w:t>五、工程应用价值与技术挑战</w:t>
      </w:r>
    </w:p>
    <w:p w14:paraId="15353054">
      <w:pPr>
        <w:pStyle w:val="4"/>
      </w:pPr>
      <w:r>
        <w:t>5.1 生产效率与质量提升效果</w:t>
      </w:r>
    </w:p>
    <w:p w14:paraId="4B06CC0C">
      <w:r>
        <w:t>车间通过数字化、智能化改造，生产效率与产品质量实现显著提升，核心指标达到行业领先水平。</w:t>
      </w:r>
    </w:p>
    <w:p w14:paraId="7AA8B019">
      <w:r>
        <w:rPr>
          <w:b/>
        </w:rPr>
        <w:t>生产效率提升</w:t>
      </w:r>
      <w:r>
        <w:t>：</w:t>
      </w:r>
    </w:p>
    <w:p w14:paraId="43AE9A36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rPr>
          <w:b/>
        </w:rPr>
        <w:t>人均劳动生产率</w:t>
      </w:r>
      <w:r>
        <w:t>：改造前人均月产变压器15台，改造后提升至25台，增幅67%；</w:t>
      </w:r>
    </w:p>
    <w:p w14:paraId="44F27945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rPr>
          <w:b/>
        </w:rPr>
        <w:t>设备利用率（OEE）</w:t>
      </w:r>
      <w:r>
        <w:t>：从改造前的65%提升至85%，其中真空浇注设备OEE达90%，高于行业平均水平（70%）；</w:t>
      </w:r>
    </w:p>
    <w:p w14:paraId="61CAB6B3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rPr>
          <w:b/>
        </w:rPr>
        <w:t>生产周期</w:t>
      </w:r>
      <w:r>
        <w:t>：标准型号干式变压器生产周期从72小时缩短至48小时，订单交付及时率从90%提升至98%；</w:t>
      </w:r>
    </w:p>
    <w:p w14:paraId="76CE5BDE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rPr>
          <w:b/>
        </w:rPr>
        <w:t>在制品库存</w:t>
      </w:r>
      <w:r>
        <w:t>：通过精益生产与智能调度，在制品库存周转天数从15天降至8天，库存成本降低40%。</w:t>
      </w:r>
    </w:p>
    <w:p w14:paraId="3294384E">
      <w:r>
        <w:rPr>
          <w:b/>
        </w:rPr>
        <w:t>产品质量改善</w:t>
      </w:r>
      <w:r>
        <w:t>：</w:t>
      </w:r>
    </w:p>
    <w:p w14:paraId="1FF0A5C1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rPr>
          <w:b/>
        </w:rPr>
        <w:t>一次合格率</w:t>
      </w:r>
      <w:r>
        <w:t>：线圈浇注工序一次合格率从85%提升至99.5%，质量损失成本降低80%；</w:t>
      </w:r>
    </w:p>
    <w:p w14:paraId="7F75EFE9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rPr>
          <w:b/>
        </w:rPr>
        <w:t>关键性能指标</w:t>
      </w:r>
      <w:r>
        <w:t>：局部放电量≤5pC（1.73倍额定电压下），优于国家标准（≤10pC）；铁芯损耗降低5%（相比行业平均水平）；</w:t>
      </w:r>
    </w:p>
    <w:p w14:paraId="32C04251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rPr>
          <w:b/>
        </w:rPr>
        <w:t>可靠性提升</w:t>
      </w:r>
      <w:r>
        <w:t>：产品平均无故障运行时间（MTBF）达100,000小时，较传统工艺提升50%；</w:t>
      </w:r>
    </w:p>
    <w:p w14:paraId="37770559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rPr>
          <w:b/>
        </w:rPr>
        <w:t>客户投诉率</w:t>
      </w:r>
      <w:r>
        <w:t>：产品质量投诉率从改造前的2%降至0.1%以下，客户满意度提升至98分（满分100分）。</w:t>
      </w:r>
    </w:p>
    <w:p w14:paraId="6272A740">
      <w:r>
        <w:rPr>
          <w:b/>
        </w:rPr>
        <w:t>成本降低</w:t>
      </w:r>
      <w:r>
        <w:t>：</w:t>
      </w:r>
    </w:p>
    <w:p w14:paraId="18ADE28C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rPr>
          <w:b/>
        </w:rPr>
        <w:t>能耗成本</w:t>
      </w:r>
      <w:r>
        <w:t>：单位产品能耗从0.5kW·h/kg降至0.425kW·h/kg，年节约电费100万元；</w:t>
      </w:r>
    </w:p>
    <w:p w14:paraId="6FBF7959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rPr>
          <w:b/>
        </w:rPr>
        <w:t>人工成本</w:t>
      </w:r>
      <w:r>
        <w:t>：车间员工总数减少30%，人均工资提升20%，人力总成本降低15%；</w:t>
      </w:r>
    </w:p>
    <w:p w14:paraId="2697A3AF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rPr>
          <w:b/>
        </w:rPr>
        <w:t>材料成本</w:t>
      </w:r>
      <w:r>
        <w:t>：通过优化浇注工艺，树脂利用率从80%提升至95%，年节约材料成本200万元。</w:t>
      </w:r>
    </w:p>
    <w:p w14:paraId="694725C0">
      <w:r>
        <w:t>这些成效的取得，主要得益于智能化设备的应用（如AGV减少人工搬运）、数字化系统的协同（如MES优化生产计划）及数据分析的驱动（如质量预测减少不合格品）。</w:t>
      </w:r>
    </w:p>
    <w:p w14:paraId="1573BDC3">
      <w:pPr>
        <w:pStyle w:val="4"/>
      </w:pPr>
      <w:r>
        <w:t>5.2 技术创新点与行业示范意义</w:t>
      </w:r>
    </w:p>
    <w:p w14:paraId="2D49CEAD">
      <w:r>
        <w:t>车间的数字化转型实践形成多项技术创新，不仅提升企业竞争力，还为变压器行业智能化升级提供可复制的经验，具有重要示范意义。</w:t>
      </w:r>
    </w:p>
    <w:p w14:paraId="12EC4DB1">
      <w:r>
        <w:rPr>
          <w:b/>
        </w:rPr>
        <w:t>核心技术创新点</w:t>
      </w:r>
      <w:r>
        <w:t>：</w:t>
      </w:r>
    </w:p>
    <w:p w14:paraId="5A260554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rPr>
          <w:b/>
        </w:rPr>
        <w:t>数据资产化实践</w:t>
      </w:r>
      <w:r>
        <w:t>：2025年4月，车间生产工艺数据在福建大数据交易中心挂牌，成为国内变压器行业首个数据资产化案例。通过数据清洗、脱敏、确权，将生产过程中的工艺参数、质量检测数据等转化为可交易的数据资产，开创制造业数据要素市场化配置新模式。</w:t>
      </w:r>
    </w:p>
    <w:p w14:paraId="689CB898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rPr>
          <w:b/>
        </w:rPr>
        <w:t>5G+数字孪生协同</w:t>
      </w:r>
      <w:r>
        <w:t>：采用5G SA网络实现物理车间与数字孪生模型的实时交互（数据同步延迟＜100ms），通过虚拟调试提前发现生产瓶颈，设备投产调试周期缩短60%。该技术入选“湖北省人工智能赋能制造业转型升级应用案例”。</w:t>
      </w:r>
    </w:p>
    <w:p w14:paraId="6C45A075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rPr>
          <w:b/>
        </w:rPr>
        <w:t>绿色制造与智能制造融合</w:t>
      </w:r>
      <w:r>
        <w:t>：构建“光伏-储能-生产调度”协同优化系统，通过AI算法动态调整生产计划，实现绿电消纳比例提升至40%，单位产品碳排放强度降低20%，为“双碳”目标下的制造业转型提供解决方案。</w:t>
      </w:r>
    </w:p>
    <w:p w14:paraId="6EEDB75F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rPr>
          <w:b/>
        </w:rPr>
        <w:t>工艺参数自优化系统</w:t>
      </w:r>
      <w:r>
        <w:t>：基于强化学习算法，实现浇注压力、固化温度等关键参数的自动优化。例如当更换硅钢片批次时，系统可在3个生产周期内将铁芯损耗调整至最优值（误差＜1%），减少人工经验依赖。</w:t>
      </w:r>
    </w:p>
    <w:p w14:paraId="564A5C60">
      <w:r>
        <w:rPr>
          <w:b/>
        </w:rPr>
        <w:t>行业示范意义</w:t>
      </w:r>
      <w:r>
        <w:t>：</w:t>
      </w:r>
    </w:p>
    <w:p w14:paraId="1509C777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rPr>
          <w:b/>
        </w:rPr>
        <w:t>标准输出</w:t>
      </w:r>
      <w:r>
        <w:t>：车间的数字化集成架构（OPC UA协议应用、数据采集规范）被纳入《湖北省智能制造标准体系建设指南》，为行业提供技术参考；</w:t>
      </w:r>
    </w:p>
    <w:p w14:paraId="0EFAE57B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rPr>
          <w:b/>
        </w:rPr>
        <w:t>模式推广</w:t>
      </w:r>
      <w:r>
        <w:t>：“研发设计仿真+生产工艺仿真”双平台驱动模式，被工信部列为“工业互联网平台创新应用案例”，在变压器行业推广应用；</w:t>
      </w:r>
    </w:p>
    <w:p w14:paraId="35D934B3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rPr>
          <w:b/>
        </w:rPr>
        <w:t>人才培养</w:t>
      </w:r>
      <w:r>
        <w:t>：与华中科技大学、武汉理工大学共建“智能制造实训基地”，培养“工艺+IT+管理”复合型人才，年输出专业人才100人以上；</w:t>
      </w:r>
    </w:p>
    <w:p w14:paraId="011E69EC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rPr>
          <w:b/>
        </w:rPr>
        <w:t>产业链协同</w:t>
      </w:r>
      <w:r>
        <w:t>：通过开放数据接口，与上游硅钢片供应商共享工艺数据，优化原材料性能，实现产业链协同创新，缩短新产品研发周期。</w:t>
      </w:r>
    </w:p>
    <w:p w14:paraId="15ADBBAF">
      <w:r>
        <w:t>车间先后获评“武汉市智能制造示范项目”“湖北省5G全链接示范工厂”“国家级绿色工厂”，其创新实践证明传统制造企业通过数字化转型可实现“老树发新芽”，在高端市场竞争中占据优势地位。</w:t>
      </w:r>
    </w:p>
    <w:p w14:paraId="056B37D7">
      <w:pPr>
        <w:pStyle w:val="4"/>
      </w:pPr>
      <w:r>
        <w:t>5.3 存在的技术瓶颈与改进方向</w:t>
      </w:r>
    </w:p>
    <w:p w14:paraId="3869DD83">
      <w:r>
        <w:t>尽管车间智能化改造成效显著，但在系统集成、数据应用、设备柔性等方面仍存在技术瓶颈，需通过持续改进提升智能化水平。</w:t>
      </w:r>
    </w:p>
    <w:p w14:paraId="113FCE53">
      <w:r>
        <w:rPr>
          <w:b/>
        </w:rPr>
        <w:t>主要技术瓶颈</w:t>
      </w:r>
      <w:r>
        <w:t>：</w:t>
      </w:r>
    </w:p>
    <w:p w14:paraId="499D11F9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rPr>
          <w:b/>
        </w:rPr>
        <w:t>系统集成标准化不足</w:t>
      </w:r>
      <w:r>
        <w:t>：MES、WMS、SCADA等系统间采用定制化接口，新增设备接入需开发专用驱动（周期约2周），维护成本高。例如引入新品牌AGV时，需修改WCS系统接口程序，影响系统稳定性。</w:t>
      </w:r>
    </w:p>
    <w:p w14:paraId="032A2E8C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rPr>
          <w:b/>
        </w:rPr>
        <w:t>数据应用深度有限</w:t>
      </w:r>
      <w:r>
        <w:t>：目前数据应用以描述性分析（如生产报表）、诊断性分析（如故障排查）为主，预测性分析（如质量预测）、处方性分析（如工艺参数优化）应用范围较窄，仅覆盖30%的关键工序。</w:t>
      </w:r>
    </w:p>
    <w:p w14:paraId="505BE437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rPr>
          <w:b/>
        </w:rPr>
        <w:t>设备柔性化不足</w:t>
      </w:r>
      <w:r>
        <w:t>：AGV依赖固定导航标识，车间布局调整时需重新铺设反光板（耗时1-2天）；快速换模装置换型时间仍需30分钟，难以满足小批量多品种订单的快速切换需求。</w:t>
      </w:r>
    </w:p>
    <w:p w14:paraId="461CF188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rPr>
          <w:b/>
        </w:rPr>
        <w:t>数字孪生实时性待提升</w:t>
      </w:r>
      <w:r>
        <w:t>：物理车间与虚拟车间的数据同步延迟约100ms，复杂场景下（如8台AGV同时调度）仿真精度下降至±5%，影响虚拟调试效果。</w:t>
      </w:r>
    </w:p>
    <w:p w14:paraId="321148BA">
      <w:r>
        <w:rPr>
          <w:b/>
        </w:rPr>
        <w:t>改进方向建议</w:t>
      </w:r>
      <w:r>
        <w:t>：</w:t>
      </w:r>
    </w:p>
    <w:p w14:paraId="7B380BA0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rPr>
          <w:b/>
        </w:rPr>
        <w:t>推进系统标准化集成</w:t>
      </w:r>
      <w:r>
        <w:t>：</w:t>
      </w:r>
    </w:p>
    <w:p w14:paraId="6A2CCC10">
      <w:pPr>
        <w:spacing w:before="0" w:beforeAutospacing="1" w:after="0" w:afterAutospacing="1"/>
        <w:ind w:left="720"/>
      </w:pPr>
      <w:r>
        <w:t>采用OPC UA协议统一系统接口，部署工业互联网平台作为中间件，实现设备即插即用（新设备接入周期缩短至2天）。开发标准化数据模型，覆盖生产、物流、质量等全要素，减少定制化开发。</w:t>
      </w:r>
    </w:p>
    <w:p w14:paraId="52B81B8D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rPr>
          <w:b/>
        </w:rPr>
        <w:t>深化数据应用</w:t>
      </w:r>
      <w:r>
        <w:t>：</w:t>
      </w:r>
    </w:p>
    <w:p w14:paraId="4C21AEE0">
      <w:pPr>
        <w:spacing w:before="0" w:beforeAutospacing="1" w:after="0" w:afterAutospacing="1"/>
        <w:ind w:left="720"/>
      </w:pPr>
      <w:r>
        <w:t>引入深度学习算法（如生成对抗网络）提升质量预测精度；开发工艺参数自优化系统，实现全工序参数的自动调整；构建知识图谱，沉淀工艺专家经验，支持智能决策。</w:t>
      </w:r>
    </w:p>
    <w:p w14:paraId="5C02C6F8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rPr>
          <w:b/>
        </w:rPr>
        <w:t>提升设备柔性</w:t>
      </w:r>
      <w:r>
        <w:t>：</w:t>
      </w:r>
    </w:p>
    <w:p w14:paraId="03D4AA31">
      <w:pPr>
        <w:spacing w:before="0" w:beforeAutospacing="1" w:after="0" w:afterAutospacing="1"/>
        <w:ind w:left="720"/>
      </w:pPr>
      <w:r>
        <w:t>试点AGV视觉导航（基于摄像头与AI算法），摆脱对物理标识的依赖；开发模块化模具系统，换模时间缩短至15分钟以内；采用可重构生产线，适应多品种产品混线生产。</w:t>
      </w:r>
    </w:p>
    <w:p w14:paraId="578D443E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rPr>
          <w:b/>
        </w:rPr>
        <w:t>优化数字孪生平台</w:t>
      </w:r>
      <w:r>
        <w:t>：</w:t>
      </w:r>
    </w:p>
    <w:p w14:paraId="6461DC1B">
      <w:pPr>
        <w:spacing w:before="0" w:beforeAutospacing="1" w:after="0" w:afterAutospacing="1"/>
        <w:ind w:left="720"/>
      </w:pPr>
      <w:r>
        <w:t>升级边缘计算节点（算力提升至10TOPS），数据预处理延迟控制在50ms以内；采用轻量化三维建模技术，提升复杂场景下的仿真效率；构建“虚实互馈”机制，通过虚拟优化指导物理生产。</w:t>
      </w:r>
    </w:p>
    <w:p w14:paraId="26D911B5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rPr>
          <w:b/>
        </w:rPr>
        <w:t>加强网络安全防护</w:t>
      </w:r>
      <w:r>
        <w:t>：</w:t>
      </w:r>
    </w:p>
    <w:p w14:paraId="16EC107D">
      <w:pPr>
        <w:spacing w:before="0" w:beforeAutospacing="1" w:after="0" w:afterAutospacing="1"/>
        <w:ind w:left="720"/>
      </w:pPr>
      <w:r>
        <w:t>部署工业防火墙与入侵检测系统，建立数据分级分类机制（如工艺参数列为敏感数据）；实施网络分区隔离，控制层与信息层物理隔离，防止病毒攻击与数据泄露。</w:t>
      </w:r>
    </w:p>
    <w:p w14:paraId="308BA254">
      <w:r>
        <w:t>通过上述改进，预计未来2-3年内，车间可实现从“数字化工厂”向“智能工厂”的跨越，进一步提升生产柔性与市场响应能力。</w:t>
      </w:r>
    </w:p>
    <w:p w14:paraId="40537567">
      <w:pPr>
        <w:pStyle w:val="3"/>
      </w:pPr>
      <w:r>
        <w:t>六、未来展望与发展建议</w:t>
      </w:r>
    </w:p>
    <w:p w14:paraId="15207CAC">
      <w:pPr>
        <w:pStyle w:val="4"/>
      </w:pPr>
      <w:r>
        <w:t>6.1 智能化升级路径规划</w:t>
      </w:r>
    </w:p>
    <w:p w14:paraId="58A59097">
      <w:r>
        <w:t>基于当前技术基础，车间未来3-5年智能化升级可分为三个阶段，逐步实现“黑灯工厂”目标，成为行业智能制造标杆。</w:t>
      </w:r>
    </w:p>
    <w:p w14:paraId="43565859">
      <w:r>
        <w:rPr>
          <w:b/>
        </w:rPr>
        <w:t>第一阶段（1-2年）：深化数字孪生应用</w:t>
      </w:r>
    </w:p>
    <w:p w14:paraId="32DE1D3B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rPr>
          <w:b/>
        </w:rPr>
        <w:t>建设全要素数字孪生模型</w:t>
      </w:r>
      <w:r>
        <w:t>：将人员、环境、能源等要素纳入数字孪生系统，实现车间全要素的虚拟映射。开发虚拟调试功能，在新产品投产前通过仿真验证生产节拍、物流路径合理性，减少物理调试时间60%。</w:t>
      </w:r>
    </w:p>
    <w:p w14:paraId="156AA381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rPr>
          <w:b/>
        </w:rPr>
        <w:t>推广AI质检应用</w:t>
      </w:r>
      <w:r>
        <w:t>：在现有视觉检测基础上，引入深度学习算法（如YOLOv8）实现线圈表面缺陷的自动分类与原因诊断，检测准确率提升至99.9%，替代100%人工复检。</w:t>
      </w:r>
    </w:p>
    <w:p w14:paraId="1252EAB6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rPr>
          <w:b/>
        </w:rPr>
        <w:t>试点远程运维</w:t>
      </w:r>
      <w:r>
        <w:t>：通过数字孪生模型与AR技术实现设备远程诊断，技术专家可在办公室指导现场维护，故障处理时间缩短50%。</w:t>
      </w:r>
    </w:p>
    <w:p w14:paraId="303D1E88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rPr>
          <w:b/>
        </w:rPr>
        <w:t>建设数字线程</w:t>
      </w:r>
      <w:r>
        <w:t>：打通从产品设计到服务的全生命周期数据链，实现设计参数、生产数据、运维记录的贯通，支持产品追溯与持续改进。</w:t>
      </w:r>
    </w:p>
    <w:p w14:paraId="79AC2ECB">
      <w:r>
        <w:rPr>
          <w:b/>
        </w:rPr>
        <w:t>第二阶段（2-3年）：推进AI深度应用</w:t>
      </w:r>
    </w:p>
    <w:p w14:paraId="0B32EEA0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rPr>
          <w:b/>
        </w:rPr>
        <w:t>工艺参数自优化</w:t>
      </w:r>
      <w:r>
        <w:t>：基于强化学习算法，实现浇注压力、固化温度等参数的全自动优化，目标使铁芯损耗再降低3%，树脂利用率提升至98%。</w:t>
      </w:r>
    </w:p>
    <w:p w14:paraId="22463AE8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rPr>
          <w:b/>
        </w:rPr>
        <w:t>质量全检自动化</w:t>
      </w:r>
      <w:r>
        <w:t>：部署在线介损、局部放电、温升等检测设备，实现产品质量100%在线检测，检测时间缩短50%。</w:t>
      </w:r>
    </w:p>
    <w:p w14:paraId="407D5F1F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rPr>
          <w:b/>
        </w:rPr>
        <w:t>无人化物流</w:t>
      </w:r>
      <w:r>
        <w:t>：AGV全面采用自然导航（视觉+激光融合），支持动态路径规划；引入AMR（自主移动机器人）替代人工进行物料盘点与异常处理。</w:t>
      </w:r>
    </w:p>
    <w:p w14:paraId="13B03241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rPr>
          <w:b/>
        </w:rPr>
        <w:t>能源智慧调度</w:t>
      </w:r>
      <w:r>
        <w:t>：结合园区微电网与储能系统，实现生产计划与能源供应的协同优化，绿电消纳比例提升至50%，单位产品碳排放强度降至4kg CO₂e/kg以下。</w:t>
      </w:r>
    </w:p>
    <w:p w14:paraId="57C64B1D">
      <w:r>
        <w:rPr>
          <w:b/>
        </w:rPr>
        <w:t>第三阶段（3-5年）：实现“黑灯工厂”</w:t>
      </w:r>
    </w:p>
    <w:p w14:paraId="1C6E847B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rPr>
          <w:b/>
        </w:rPr>
        <w:t>全流程无人化</w:t>
      </w:r>
      <w:r>
        <w:t>：实现原材料入库、生产、检测、成品出库的全流程无人化操作，仅保留少数监控与维护人员（较当前减少50%）。</w:t>
      </w:r>
    </w:p>
    <w:p w14:paraId="489B36C7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rPr>
          <w:b/>
        </w:rPr>
        <w:t>自适应生产系统</w:t>
      </w:r>
      <w:r>
        <w:t>：系统可根据订单变化、设备状态、能源价格自动调整生产计划，实现“自感知、自决策、自执行”。</w:t>
      </w:r>
    </w:p>
    <w:p w14:paraId="47BB47FB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rPr>
          <w:b/>
        </w:rPr>
        <w:t>碳中和生产</w:t>
      </w:r>
      <w:r>
        <w:t>：通过100%绿电消纳、工艺优化、碳捕捉技术，实现车间生产碳中和，成为行业首个“零碳车间”。</w:t>
      </w:r>
    </w:p>
    <w:p w14:paraId="0C1765EE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rPr>
          <w:b/>
        </w:rPr>
        <w:t>知识自动化</w:t>
      </w:r>
      <w:r>
        <w:t>：构建工艺知识图谱与智能决策系统，自动生成新产品工艺方案，研发周期缩短60%，实现“知识驱动创新”。</w:t>
      </w:r>
    </w:p>
    <w:p w14:paraId="29C794A4">
      <w:r>
        <w:rPr>
          <w:b/>
        </w:rPr>
        <w:t>资源保障</w:t>
      </w:r>
      <w:r>
        <w:t>：每年投入营收的5%用于智能化升级，与华为、西门子等技术供应商建立战略合作，共建创新实验室；设立人才培养基金，每年选派20名技术骨干赴高校、企业进修，培养智能制造专业团队。</w:t>
      </w:r>
    </w:p>
    <w:p w14:paraId="6A5AA264">
      <w:pPr>
        <w:pStyle w:val="4"/>
      </w:pPr>
      <w:r>
        <w:t>6.2 跨车间协同与产业链延伸</w:t>
      </w:r>
    </w:p>
    <w:p w14:paraId="0438A28D">
      <w:r>
        <w:t>车间作为公司生产链的关键环节，需加强与上下游车间的协同，并向产业链上下游延伸，提升企业整体竞争力与价值创造能力。</w:t>
      </w:r>
    </w:p>
    <w:p w14:paraId="2F397D21">
      <w:r>
        <w:rPr>
          <w:b/>
        </w:rPr>
        <w:t>跨车间协同</w:t>
      </w:r>
      <w:r>
        <w:t>：</w:t>
      </w:r>
    </w:p>
    <w:p w14:paraId="214E3D1E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rPr>
          <w:b/>
        </w:rPr>
        <w:t>构建全生产链数字孪生</w:t>
      </w:r>
      <w:r>
        <w:t>：整合铁芯车间、浇注车间、总装车间的数字孪生模型，实现产品全生命周期的虚拟映射。例如当铁芯车间生产计划调整时，系统自动同步至浇注车间，提前准备模具与物料，工序衔接时间从30分钟缩短至15分钟。</w:t>
      </w:r>
    </w:p>
    <w:p w14:paraId="21FC6CD8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rPr>
          <w:b/>
        </w:rPr>
        <w:t>协同调度系统</w:t>
      </w:r>
      <w:r>
        <w:t>：通过工业互联网平台共享生产计划、物料库存、设备状态数据，实现“铁芯-浇注-总装”的节拍同步。当某一车间出现瓶颈时（如浇注设备故障），系统自动调整其他车间生产计划，减少整体影响。</w:t>
      </w:r>
    </w:p>
    <w:p w14:paraId="6AD84F03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rPr>
          <w:b/>
        </w:rPr>
        <w:t>质量协同管控</w:t>
      </w:r>
      <w:r>
        <w:t>：建立跨车间质量追溯系统，通过唯一产品编码关联铁芯、浇注、总装各工序的质量数据，实现质量问题的快速定位（追溯时间＜10分钟）。例如当总装发现线圈尺寸超差时，可追溯至浇注工序的模具定位偏差。</w:t>
      </w:r>
    </w:p>
    <w:p w14:paraId="753D846C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rPr>
          <w:b/>
        </w:rPr>
        <w:t>能源协同优化</w:t>
      </w:r>
      <w:r>
        <w:t>：联合园区内其他车间，共同参与智慧能源管理，通过错峰生产（如不同车间高能耗工序错开电网高峰）降低整体用电成本，园区综合能源利用效率提升10%。</w:t>
      </w:r>
    </w:p>
    <w:p w14:paraId="43F838B1">
      <w:r>
        <w:rPr>
          <w:b/>
        </w:rPr>
        <w:t>产业链延伸</w:t>
      </w:r>
      <w:r>
        <w:t>：</w:t>
      </w:r>
    </w:p>
    <w:p w14:paraId="3F7241D5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rPr>
          <w:b/>
        </w:rPr>
        <w:t>增值服务输出</w:t>
      </w:r>
      <w:r>
        <w:t>：基于车间积累的生产数据，为客户提供定制化解决方案，如变压器运行状态评估、寿命预测、维护建议等增值服务，提升产品附加值（服务收入占比从5%提升至15%）。</w:t>
      </w:r>
    </w:p>
    <w:p w14:paraId="11E42CB3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rPr>
          <w:b/>
        </w:rPr>
        <w:t>供应链协同创新</w:t>
      </w:r>
      <w:r>
        <w:t>：与上游供应商（如环氧树脂厂家、硅钢片厂家）共享工艺数据，联合开发专用材料（如低粘度高耐热树脂），提升产品性能，缩短研发周期。</w:t>
      </w:r>
    </w:p>
    <w:p w14:paraId="4AE232A5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rPr>
          <w:b/>
        </w:rPr>
        <w:t>数字化服务赋能</w:t>
      </w:r>
      <w:r>
        <w:t>：将车间数字化转型经验总结为解决方案，为行业内其他企业提供数字化咨询、系统集成服务，培育新的利润增长点。</w:t>
      </w:r>
    </w:p>
    <w:p w14:paraId="323FE5B4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rPr>
          <w:b/>
        </w:rPr>
        <w:t>绿色产品认证</w:t>
      </w:r>
      <w:r>
        <w:t>：基于车间绿色制造实践，申请国际绿色产品认证（如欧盟Ecolabel），拓展海外高端市场，出口额占比提升至30%。</w:t>
      </w:r>
    </w:p>
    <w:p w14:paraId="60266174">
      <w:r>
        <w:t>通过跨车间协同与产业链延伸，车间将从“生产单元”升级为“价值创造中心”，助力公司从设备制造商向“制造+服务”型企业转型。</w:t>
      </w:r>
    </w:p>
    <w:p w14:paraId="362C23F5">
      <w:pPr>
        <w:pStyle w:val="4"/>
      </w:pPr>
      <w:r>
        <w:t>6.3 政策与标准对接建议</w:t>
      </w:r>
    </w:p>
    <w:p w14:paraId="44376B21">
      <w:r>
        <w:t>为更好地享受政策红利、提升行业影响力，车间需加强与国家及地方政策、行业标准的对接，规范发展方向，降低政策风险。</w:t>
      </w:r>
    </w:p>
    <w:p w14:paraId="418C070B">
      <w:r>
        <w:rPr>
          <w:b/>
        </w:rPr>
        <w:t>政策对接建议</w:t>
      </w:r>
      <w:r>
        <w:t>：</w:t>
      </w:r>
    </w:p>
    <w:p w14:paraId="0FF04166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rPr>
          <w:b/>
        </w:rPr>
        <w:t>申报国家级项目</w:t>
      </w:r>
      <w:r>
        <w:t>：</w:t>
      </w:r>
    </w:p>
    <w:p w14:paraId="03AFF730">
      <w:pPr>
        <w:spacing w:before="0" w:beforeAutospacing="1" w:after="0" w:afterAutospacing="1"/>
        <w:ind w:left="720"/>
      </w:pPr>
      <w:r>
        <w:t>积极申报“国家级智能制造示范工厂”“工业互联网试点示范项目”，争取中央财政专项补贴（通常为项目投资的10-20%）。例如2025年工信部智能制造专项重点支持数字孪生、AI质检等方向，可针对性申报。</w:t>
      </w:r>
    </w:p>
    <w:p w14:paraId="396D0B14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rPr>
          <w:b/>
        </w:rPr>
        <w:t>争取税收优惠</w:t>
      </w:r>
      <w:r>
        <w:t>：</w:t>
      </w:r>
    </w:p>
    <w:p w14:paraId="1DFABD6B">
      <w:pPr>
        <w:spacing w:before="0" w:beforeAutospacing="1" w:after="0" w:afterAutospacing="1"/>
        <w:ind w:left="720"/>
      </w:pPr>
      <w:r>
        <w:t>申请高新技术企业认定（所得税税率从25%降至15%）、研发费用加计扣除（符合条件的研发费用可175%税前扣除）；利用国家对绿色制造的税收优惠政策（如节能环保专用设备投资额抵免企业所得税）。</w:t>
      </w:r>
    </w:p>
    <w:p w14:paraId="38726276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rPr>
          <w:b/>
        </w:rPr>
        <w:t>参与绿色制造认证</w:t>
      </w:r>
      <w:r>
        <w:t>：</w:t>
      </w:r>
    </w:p>
    <w:p w14:paraId="4E1589D7">
      <w:pPr>
        <w:spacing w:before="0" w:beforeAutospacing="1" w:after="0" w:afterAutospacing="1"/>
        <w:ind w:left="720"/>
      </w:pPr>
      <w:r>
        <w:t>按照GB/T 36132-2018《绿色工厂评价通则》完善绿色制造体系，申报“国家级绿色工厂”，提升品牌形象，增强市场竞争力。</w:t>
      </w:r>
    </w:p>
    <w:p w14:paraId="37317CC3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rPr>
          <w:b/>
        </w:rPr>
        <w:t>对接地方政府政策</w:t>
      </w:r>
      <w:r>
        <w:t>：</w:t>
      </w:r>
    </w:p>
    <w:p w14:paraId="34B5D757">
      <w:pPr>
        <w:spacing w:before="0" w:beforeAutospacing="1" w:after="0" w:afterAutospacing="1"/>
        <w:ind w:left="720"/>
      </w:pPr>
      <w:r>
        <w:t>武汉市对智能制造示范项目给予最高500万元奖励，对数据资产化试点企业给予数据交易补贴，可积极申请相关资金支持。</w:t>
      </w:r>
    </w:p>
    <w:p w14:paraId="29884933">
      <w:r>
        <w:rPr>
          <w:b/>
        </w:rPr>
        <w:t>标准对接建议</w:t>
      </w:r>
      <w:r>
        <w:t>：</w:t>
      </w:r>
    </w:p>
    <w:p w14:paraId="605DAAF7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rPr>
          <w:b/>
        </w:rPr>
        <w:t>参与行业标准制定</w:t>
      </w:r>
      <w:r>
        <w:t>：</w:t>
      </w:r>
    </w:p>
    <w:p w14:paraId="63A062A3">
      <w:pPr>
        <w:spacing w:before="0" w:beforeAutospacing="1" w:after="0" w:afterAutospacing="1"/>
        <w:ind w:left="720"/>
      </w:pPr>
      <w:r>
        <w:t>加入中国电器工业协会变压器分会，参与《干式变压器智能制造技术要求》《变压器行业数据资产分类与编码》等标准的制定，提升行业话语权。</w:t>
      </w:r>
    </w:p>
    <w:p w14:paraId="3F654B11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rPr>
          <w:b/>
        </w:rPr>
        <w:t>采用国际先进标准</w:t>
      </w:r>
      <w:r>
        <w:t>：</w:t>
      </w:r>
    </w:p>
    <w:p w14:paraId="7E52F5EB">
      <w:pPr>
        <w:spacing w:before="0" w:beforeAutospacing="1" w:after="0" w:afterAutospacing="1"/>
        <w:ind w:left="720"/>
      </w:pPr>
      <w:r>
        <w:t>在设备互联互通方面采用IEC 62443（工业通信网络安全）标准，在数据安全方面采用ISO/IEC 27001标准，提升产品国际竞争力。</w:t>
      </w:r>
    </w:p>
    <w:p w14:paraId="5EE1176A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rPr>
          <w:b/>
        </w:rPr>
        <w:t>数据合规管理</w:t>
      </w:r>
      <w:r>
        <w:t>：</w:t>
      </w:r>
    </w:p>
    <w:p w14:paraId="2BD281E6">
      <w:pPr>
        <w:spacing w:before="0" w:beforeAutospacing="1" w:after="0" w:afterAutospacing="1"/>
        <w:ind w:left="720"/>
      </w:pPr>
      <w:r>
        <w:t>按照《数据安全法》《个人信息保护法》要求，对生产数据进行分类分级（如工艺参数列为核心数据），实施数据安全评估与出境安全审查，确保数据应用合规。</w:t>
      </w:r>
    </w:p>
    <w:p w14:paraId="50B5BF85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rPr>
          <w:b/>
        </w:rPr>
        <w:t>知识产权布局</w:t>
      </w:r>
      <w:r>
        <w:t>：</w:t>
      </w:r>
    </w:p>
    <w:p w14:paraId="5CEDD855">
      <w:pPr>
        <w:spacing w:before="0" w:beforeAutospacing="1" w:after="0" w:afterAutospacing="1"/>
        <w:ind w:left="720"/>
      </w:pPr>
      <w:r>
        <w:t>针对数字孪生、工艺优化等核心技术申请发明专利（目标年申请10项以上），构建专利池，防止技术侵权，同时为标准制定提供技术支撑。</w:t>
      </w:r>
    </w:p>
    <w:p w14:paraId="5910D1CC">
      <w:r>
        <w:rPr>
          <w:b/>
        </w:rPr>
        <w:t>实施路径</w:t>
      </w:r>
      <w:r>
        <w:t>：</w:t>
      </w:r>
    </w:p>
    <w:p w14:paraId="3081745E">
      <w:pPr>
        <w:numPr>
          <w:ilvl w:val="0"/>
          <w:numId w:val="42"/>
        </w:numPr>
        <w:spacing w:before="0" w:beforeAutospacing="1" w:after="0" w:afterAutospacing="1"/>
        <w:ind w:left="720" w:hanging="360"/>
      </w:pPr>
      <w:r>
        <w:t>成立专项工作组，由技术、生产、财务、法务等部门人员组成，负责政策研究、项目申报、标准对接；</w:t>
      </w:r>
    </w:p>
    <w:p w14:paraId="38071AC8">
      <w:pPr>
        <w:numPr>
          <w:ilvl w:val="0"/>
          <w:numId w:val="42"/>
        </w:numPr>
        <w:spacing w:before="0" w:beforeAutospacing="1" w:after="0" w:afterAutospacing="1"/>
        <w:ind w:left="720" w:hanging="360"/>
      </w:pPr>
      <w:r>
        <w:t>与华中科技大学、武汉标准化研究院等机构合作，开展标准研究与制定；</w:t>
      </w:r>
    </w:p>
    <w:p w14:paraId="35E5D4F4">
      <w:pPr>
        <w:numPr>
          <w:ilvl w:val="0"/>
          <w:numId w:val="42"/>
        </w:numPr>
        <w:spacing w:before="0" w:beforeAutospacing="1" w:after="0" w:afterAutospacing="1"/>
        <w:ind w:left="720" w:hanging="360"/>
      </w:pPr>
      <w:r>
        <w:t>建立政策信息跟踪机制，及时获取国家及地方智能制造、绿色制造相关政策，确保申报工作及时性。</w:t>
      </w:r>
    </w:p>
    <w:p w14:paraId="5179C51D">
      <w:r>
        <w:t>通过政策与标准对接，车间可提升行业影响力，降低政策风险，为持续健康发展创造良好环境。</w:t>
      </w:r>
    </w:p>
    <w:p w14:paraId="63C05167">
      <w:pPr>
        <w:pStyle w:val="3"/>
      </w:pPr>
      <w:r>
        <w:t>附录</w:t>
      </w:r>
    </w:p>
    <w:p w14:paraId="61D78802">
      <w:pPr>
        <w:pStyle w:val="4"/>
      </w:pPr>
      <w:r>
        <w:t>6.1 关键技术参数表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534079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BF54547">
            <w:pPr>
              <w:jc w:val="center"/>
              <w:rPr>
                <w:b/>
              </w:rPr>
            </w:pPr>
            <w:r>
              <w:rPr>
                <w:b/>
              </w:rPr>
              <w:t>系统/设备</w:t>
            </w:r>
          </w:p>
        </w:tc>
        <w:tc>
          <w:tcPr>
            <w:tcW w:w="0" w:type="auto"/>
            <w:vAlign w:val="center"/>
          </w:tcPr>
          <w:p w14:paraId="080D34E7">
            <w:pPr>
              <w:jc w:val="center"/>
              <w:rPr>
                <w:b/>
              </w:rPr>
            </w:pPr>
            <w:r>
              <w:rPr>
                <w:b/>
              </w:rPr>
              <w:t>核心参数</w:t>
            </w:r>
          </w:p>
        </w:tc>
        <w:tc>
          <w:tcPr>
            <w:tcW w:w="0" w:type="auto"/>
            <w:vAlign w:val="center"/>
          </w:tcPr>
          <w:p w14:paraId="183E6CFF">
            <w:pPr>
              <w:jc w:val="center"/>
              <w:rPr>
                <w:b/>
              </w:rPr>
            </w:pPr>
            <w:r>
              <w:rPr>
                <w:b/>
              </w:rPr>
              <w:t>技术指标</w:t>
            </w:r>
          </w:p>
        </w:tc>
      </w:tr>
      <w:tr w14:paraId="4D039F5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0B45E6B">
            <w:r>
              <w:t>真空浇注设备</w:t>
            </w:r>
          </w:p>
        </w:tc>
        <w:tc>
          <w:tcPr>
            <w:tcW w:w="0" w:type="auto"/>
            <w:vAlign w:val="center"/>
          </w:tcPr>
          <w:p w14:paraId="0DC28846">
            <w:r>
              <w:t>真空度、浇注压力、温度控制精度</w:t>
            </w:r>
          </w:p>
        </w:tc>
        <w:tc>
          <w:tcPr>
            <w:tcW w:w="0" w:type="auto"/>
            <w:vAlign w:val="center"/>
          </w:tcPr>
          <w:p w14:paraId="47EBA2AA">
            <w:r>
              <w:t>50-300Pa，0.1-0.3MPa，±1℃</w:t>
            </w:r>
          </w:p>
        </w:tc>
      </w:tr>
      <w:tr w14:paraId="643E61B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EF66D6C">
            <w:r>
              <w:t>固化炉</w:t>
            </w:r>
          </w:p>
        </w:tc>
        <w:tc>
          <w:tcPr>
            <w:tcW w:w="0" w:type="auto"/>
            <w:vAlign w:val="center"/>
          </w:tcPr>
          <w:p w14:paraId="5A111D2C">
            <w:r>
              <w:t>温度均匀性、升温速率、有效容积</w:t>
            </w:r>
          </w:p>
        </w:tc>
        <w:tc>
          <w:tcPr>
            <w:tcW w:w="0" w:type="auto"/>
            <w:vAlign w:val="center"/>
          </w:tcPr>
          <w:p w14:paraId="452DF06B">
            <w:r>
              <w:t>±2℃，0.5-5℃/min，6m×3m×2.5m</w:t>
            </w:r>
          </w:p>
        </w:tc>
      </w:tr>
      <w:tr w14:paraId="4FB2EF96">
        <w:tc>
          <w:tcPr>
            <w:tcW w:w="0" w:type="auto"/>
            <w:vAlign w:val="center"/>
          </w:tcPr>
          <w:p w14:paraId="57C2751A">
            <w:r>
              <w:t>AGV</w:t>
            </w:r>
          </w:p>
        </w:tc>
        <w:tc>
          <w:tcPr>
            <w:tcW w:w="0" w:type="auto"/>
            <w:vAlign w:val="center"/>
          </w:tcPr>
          <w:p w14:paraId="138012A7">
            <w:r>
              <w:t>负载能力、导航方式、运行速度</w:t>
            </w:r>
          </w:p>
        </w:tc>
        <w:tc>
          <w:tcPr>
            <w:tcW w:w="0" w:type="auto"/>
            <w:vAlign w:val="center"/>
          </w:tcPr>
          <w:p w14:paraId="446CCDA7">
            <w:r>
              <w:t>2吨，激光SLAM，1.2m/s</w:t>
            </w:r>
          </w:p>
        </w:tc>
      </w:tr>
      <w:tr w14:paraId="3A7D0E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897A74F">
            <w:r>
              <w:t>立体仓库</w:t>
            </w:r>
          </w:p>
        </w:tc>
        <w:tc>
          <w:tcPr>
            <w:tcW w:w="0" w:type="auto"/>
            <w:vAlign w:val="center"/>
          </w:tcPr>
          <w:p w14:paraId="0BEF370D">
            <w:r>
              <w:t>货位数量、堆垛机速度、定位精度</w:t>
            </w:r>
          </w:p>
        </w:tc>
        <w:tc>
          <w:tcPr>
            <w:tcW w:w="0" w:type="auto"/>
            <w:vAlign w:val="center"/>
          </w:tcPr>
          <w:p w14:paraId="71F31A3D">
            <w:r>
              <w:t>500个，80m/min，±3mm</w:t>
            </w:r>
          </w:p>
        </w:tc>
      </w:tr>
      <w:tr w14:paraId="568D1A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5CC7E69">
            <w:r>
              <w:t>MES系统</w:t>
            </w:r>
          </w:p>
        </w:tc>
        <w:tc>
          <w:tcPr>
            <w:tcW w:w="0" w:type="auto"/>
            <w:vAlign w:val="center"/>
          </w:tcPr>
          <w:p w14:paraId="10BFB611">
            <w:r>
              <w:t>生产计划完成率、异常响应时间</w:t>
            </w:r>
          </w:p>
        </w:tc>
        <w:tc>
          <w:tcPr>
            <w:tcW w:w="0" w:type="auto"/>
            <w:vAlign w:val="center"/>
          </w:tcPr>
          <w:p w14:paraId="5A9DFFEB">
            <w:r>
              <w:t>≥98%，＜30秒</w:t>
            </w:r>
          </w:p>
        </w:tc>
      </w:tr>
      <w:tr w14:paraId="2D127A8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8C4D862">
            <w:r>
              <w:t>数字孪生平台</w:t>
            </w:r>
          </w:p>
        </w:tc>
        <w:tc>
          <w:tcPr>
            <w:tcW w:w="0" w:type="auto"/>
            <w:vAlign w:val="center"/>
          </w:tcPr>
          <w:p w14:paraId="725FCA2A">
            <w:r>
              <w:t>数据同步延迟、仿真精度</w:t>
            </w:r>
          </w:p>
        </w:tc>
        <w:tc>
          <w:tcPr>
            <w:tcW w:w="0" w:type="auto"/>
            <w:vAlign w:val="center"/>
          </w:tcPr>
          <w:p w14:paraId="6A2CA99E">
            <w:r>
              <w:t>＜100ms，±2%</w:t>
            </w:r>
          </w:p>
        </w:tc>
      </w:tr>
      <w:tr w14:paraId="755E4AE6">
        <w:tc>
          <w:tcPr>
            <w:tcW w:w="0" w:type="auto"/>
            <w:vAlign w:val="center"/>
          </w:tcPr>
          <w:p w14:paraId="013912E0">
            <w:r>
              <w:t>能源管理系统</w:t>
            </w:r>
          </w:p>
        </w:tc>
        <w:tc>
          <w:tcPr>
            <w:tcW w:w="0" w:type="auto"/>
            <w:vAlign w:val="center"/>
          </w:tcPr>
          <w:p w14:paraId="039D4A81">
            <w:r>
              <w:t>单位产品能耗、绿电占比</w:t>
            </w:r>
          </w:p>
        </w:tc>
        <w:tc>
          <w:tcPr>
            <w:tcW w:w="0" w:type="auto"/>
            <w:vAlign w:val="center"/>
          </w:tcPr>
          <w:p w14:paraId="1B0F272B">
            <w:r>
              <w:t>≤0.425kW·h/kg，≥30%</w:t>
            </w:r>
          </w:p>
        </w:tc>
      </w:tr>
      <w:tr w14:paraId="7AC0E85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B700228">
            <w:r>
              <w:t>质量控制系统</w:t>
            </w:r>
          </w:p>
        </w:tc>
        <w:tc>
          <w:tcPr>
            <w:tcW w:w="0" w:type="auto"/>
            <w:vAlign w:val="center"/>
          </w:tcPr>
          <w:p w14:paraId="60D6E8C1">
            <w:r>
              <w:t>一次合格率、局部放电量、铁芯损耗</w:t>
            </w:r>
          </w:p>
        </w:tc>
        <w:tc>
          <w:tcPr>
            <w:tcW w:w="0" w:type="auto"/>
            <w:vAlign w:val="center"/>
          </w:tcPr>
          <w:p w14:paraId="06E0F619">
            <w:r>
              <w:t>≥99.5%，≤5pC，降低5%（行业平均）</w:t>
            </w:r>
          </w:p>
        </w:tc>
      </w:tr>
    </w:tbl>
    <w:p w14:paraId="248787B9">
      <w:pPr>
        <w:pStyle w:val="4"/>
      </w:pPr>
      <w:r>
        <w:t>6.2 系统架构图说明</w:t>
      </w:r>
    </w:p>
    <w:p w14:paraId="380E9C1A">
      <w:r>
        <w:t>车间系统架构采用分层结构，自下而上分为设备层、控制层、信息层、决策层：</w:t>
      </w:r>
    </w:p>
    <w:p w14:paraId="63EE104D">
      <w:r>
        <w:rPr>
          <w:b/>
        </w:rPr>
        <w:t>设备层</w:t>
      </w:r>
      <w:r>
        <w:t>：包括真空浇注罐、固化炉、AGV、立体仓库等生产与物流设备，通过传感器采集温度、压力、位置等数据，执行控制层下发的动作指令。</w:t>
      </w:r>
    </w:p>
    <w:p w14:paraId="4B1F9440">
      <w:r>
        <w:rPr>
          <w:b/>
        </w:rPr>
        <w:t>控制层</w:t>
      </w:r>
      <w:r>
        <w:t>：由PLC、DCS、SCADA系统组成，负责设备实时控制与状态监控。PLC实现逻辑控制（如设备启停、安全联锁），DCS负责模拟量调节（如温度、压力控制），SCADA系统提供可视化监控界面。</w:t>
      </w:r>
    </w:p>
    <w:p w14:paraId="774EBB01">
      <w:r>
        <w:rPr>
          <w:b/>
        </w:rPr>
        <w:t>信息层</w:t>
      </w:r>
      <w:r>
        <w:t>：包括MES、WMS、WCS等管理系统，实现生产计划、物料管理、物流调度的协同。MES分解生产订单并跟踪进度，WMS管理库存与出入库，WCS调度物流设备。</w:t>
      </w:r>
    </w:p>
    <w:p w14:paraId="6A5D1600">
      <w:r>
        <w:rPr>
          <w:b/>
        </w:rPr>
        <w:t>决策层</w:t>
      </w:r>
      <w:r>
        <w:t>：基于数据中台与数字孪生平台，通过大数据分析与AI算法实现智能决策。数据中台整合各系统数据，提供质量预测、设备健康管理等应用；数字孪生平台构建虚拟车间，支持生产仿真与优化。</w:t>
      </w:r>
    </w:p>
    <w:p w14:paraId="1F520D94">
      <w:r>
        <w:t>各层级通过工业以太网/5G网络实现数据交互，采用OPC UA协议进行标准化数据传输，确保信息流畅通。</w:t>
      </w:r>
    </w:p>
    <w:p w14:paraId="0D0CB90F">
      <w:pPr>
        <w:pStyle w:val="4"/>
      </w:pPr>
      <w:r>
        <w:t>6.3 相关荣誉与认证列表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0C7AC06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752EB07">
            <w:pPr>
              <w:jc w:val="center"/>
              <w:rPr>
                <w:b/>
              </w:rPr>
            </w:pPr>
            <w:r>
              <w:rPr>
                <w:b/>
              </w:rPr>
              <w:t>时间</w:t>
            </w:r>
          </w:p>
        </w:tc>
        <w:tc>
          <w:tcPr>
            <w:tcW w:w="0" w:type="auto"/>
            <w:vAlign w:val="center"/>
          </w:tcPr>
          <w:p w14:paraId="54339472">
            <w:pPr>
              <w:jc w:val="center"/>
              <w:rPr>
                <w:b/>
              </w:rPr>
            </w:pPr>
            <w:r>
              <w:rPr>
                <w:b/>
              </w:rPr>
              <w:t>荣誉/认证名称</w:t>
            </w:r>
          </w:p>
        </w:tc>
        <w:tc>
          <w:tcPr>
            <w:tcW w:w="0" w:type="auto"/>
            <w:vAlign w:val="center"/>
          </w:tcPr>
          <w:p w14:paraId="4CBF8C7F">
            <w:pPr>
              <w:jc w:val="center"/>
              <w:rPr>
                <w:b/>
              </w:rPr>
            </w:pPr>
            <w:r>
              <w:rPr>
                <w:b/>
              </w:rPr>
              <w:t>颁发单位</w:t>
            </w:r>
          </w:p>
        </w:tc>
      </w:tr>
      <w:tr w14:paraId="2E89BF5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EE9FBAA">
            <w:r>
              <w:t>2023年</w:t>
            </w:r>
          </w:p>
        </w:tc>
        <w:tc>
          <w:tcPr>
            <w:tcW w:w="0" w:type="auto"/>
            <w:vAlign w:val="center"/>
          </w:tcPr>
          <w:p w14:paraId="45310039">
            <w:r>
              <w:t>武汉市智能制造示范项目</w:t>
            </w:r>
          </w:p>
        </w:tc>
        <w:tc>
          <w:tcPr>
            <w:tcW w:w="0" w:type="auto"/>
            <w:vAlign w:val="center"/>
          </w:tcPr>
          <w:p w14:paraId="328EF819">
            <w:r>
              <w:t>武汉市经济和信息化局</w:t>
            </w:r>
          </w:p>
        </w:tc>
      </w:tr>
      <w:tr w14:paraId="758209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D110C1E">
            <w:r>
              <w:t>2024年</w:t>
            </w:r>
          </w:p>
        </w:tc>
        <w:tc>
          <w:tcPr>
            <w:tcW w:w="0" w:type="auto"/>
            <w:vAlign w:val="center"/>
          </w:tcPr>
          <w:p w14:paraId="6B7A60F2">
            <w:r>
              <w:t>湖北省5G全链接示范工厂</w:t>
            </w:r>
          </w:p>
        </w:tc>
        <w:tc>
          <w:tcPr>
            <w:tcW w:w="0" w:type="auto"/>
            <w:vAlign w:val="center"/>
          </w:tcPr>
          <w:p w14:paraId="150DD6CA">
            <w:r>
              <w:t>湖北省通信管理局</w:t>
            </w:r>
          </w:p>
        </w:tc>
      </w:tr>
      <w:tr w14:paraId="1621AFAA">
        <w:tc>
          <w:tcPr>
            <w:tcW w:w="0" w:type="auto"/>
            <w:vAlign w:val="center"/>
          </w:tcPr>
          <w:p w14:paraId="37CA88C7">
            <w:r>
              <w:t>2024年</w:t>
            </w:r>
          </w:p>
        </w:tc>
        <w:tc>
          <w:tcPr>
            <w:tcW w:w="0" w:type="auto"/>
            <w:vAlign w:val="center"/>
          </w:tcPr>
          <w:p w14:paraId="63087C4D">
            <w:r>
              <w:t>湖北省智能制造示范项目</w:t>
            </w:r>
          </w:p>
        </w:tc>
        <w:tc>
          <w:tcPr>
            <w:tcW w:w="0" w:type="auto"/>
            <w:vAlign w:val="center"/>
          </w:tcPr>
          <w:p w14:paraId="15750B71">
            <w:r>
              <w:t>湖北省经济和信息化厅</w:t>
            </w:r>
          </w:p>
        </w:tc>
      </w:tr>
      <w:tr w14:paraId="5EA644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D52C3A1">
            <w:r>
              <w:t>2025年</w:t>
            </w:r>
          </w:p>
        </w:tc>
        <w:tc>
          <w:tcPr>
            <w:tcW w:w="0" w:type="auto"/>
            <w:vAlign w:val="center"/>
          </w:tcPr>
          <w:p w14:paraId="7169B447">
            <w:r>
              <w:t>武汉市首批人工智能赋能制造业转型升级应用案例</w:t>
            </w:r>
          </w:p>
        </w:tc>
        <w:tc>
          <w:tcPr>
            <w:tcW w:w="0" w:type="auto"/>
            <w:vAlign w:val="center"/>
          </w:tcPr>
          <w:p w14:paraId="5C163754">
            <w:r>
              <w:t>武汉市经济和信息化局</w:t>
            </w:r>
          </w:p>
        </w:tc>
      </w:tr>
      <w:tr w14:paraId="5BCB29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C81CFA9">
            <w:r>
              <w:t>2025年</w:t>
            </w:r>
          </w:p>
        </w:tc>
        <w:tc>
          <w:tcPr>
            <w:tcW w:w="0" w:type="auto"/>
            <w:vAlign w:val="center"/>
          </w:tcPr>
          <w:p w14:paraId="0E7E608B">
            <w:r>
              <w:t>数据资产在福建大数据交易中心挂牌</w:t>
            </w:r>
          </w:p>
        </w:tc>
        <w:tc>
          <w:tcPr>
            <w:tcW w:w="0" w:type="auto"/>
            <w:vAlign w:val="center"/>
          </w:tcPr>
          <w:p w14:paraId="23A280DF">
            <w:r>
              <w:t>福建大数据交易中心</w:t>
            </w:r>
          </w:p>
        </w:tc>
      </w:tr>
      <w:tr w14:paraId="3D3A632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FE42712">
            <w:r>
              <w:t>2025年</w:t>
            </w:r>
          </w:p>
        </w:tc>
        <w:tc>
          <w:tcPr>
            <w:tcW w:w="0" w:type="auto"/>
            <w:vAlign w:val="center"/>
          </w:tcPr>
          <w:p w14:paraId="330E8040">
            <w:r>
              <w:t>国家级绿色工厂</w:t>
            </w:r>
          </w:p>
        </w:tc>
        <w:tc>
          <w:tcPr>
            <w:tcW w:w="0" w:type="auto"/>
            <w:vAlign w:val="center"/>
          </w:tcPr>
          <w:p w14:paraId="2B2A4455">
            <w:r>
              <w:t>工业和信息化部</w:t>
            </w:r>
          </w:p>
        </w:tc>
      </w:tr>
    </w:tbl>
    <w:p w14:paraId="2D274352">
      <w:pPr>
        <w:pStyle w:val="31"/>
        <w:bidi w:val="0"/>
        <w:rPr>
          <w:rFonts w:hint="eastAsia"/>
          <w:lang w:val="en-US" w:eastAsia="zh-CN"/>
        </w:rPr>
      </w:pPr>
    </w:p>
    <w:bookmarkEnd w:id="0"/>
    <w:bookmarkEnd w:id="1"/>
    <w:sectPr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Cambria">
    <w:altName w:val="Georgia"/>
    <w:panose1 w:val="02040503050406030204"/>
    <w:charset w:val="86"/>
    <w:family w:val="auto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pperplate">
    <w:altName w:val="仓耳屏显楷体 W04"/>
    <w:panose1 w:val="02000504000000020004"/>
    <w:charset w:val="00"/>
    <w:family w:val="auto"/>
    <w:pitch w:val="default"/>
    <w:sig w:usb0="00000000" w:usb1="00000000" w:usb2="00000000" w:usb3="00000000" w:csb0="20000111" w:csb1="40000000"/>
  </w:font>
  <w:font w:name="仓耳屏显楷体 W04">
    <w:panose1 w:val="02020400000000000000"/>
    <w:charset w:val="86"/>
    <w:family w:val="auto"/>
    <w:pitch w:val="default"/>
    <w:sig w:usb0="80000003" w:usb1="08012000" w:usb2="00000012" w:usb3="00000000" w:csb0="0004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FC9E97"/>
    <w:multiLevelType w:val="singleLevel"/>
    <w:tmpl w:val="8FFC9E9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A7E456F9"/>
    <w:multiLevelType w:val="singleLevel"/>
    <w:tmpl w:val="A7E456F9"/>
    <w:lvl w:ilvl="0" w:tentative="0">
      <w:start w:val="1"/>
      <w:numFmt w:val="decimal"/>
      <w:pStyle w:val="37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2">
    <w:nsid w:val="B1B9B92F"/>
    <w:multiLevelType w:val="singleLevel"/>
    <w:tmpl w:val="B1B9B92F"/>
    <w:lvl w:ilvl="0" w:tentative="0">
      <w:start w:val="1"/>
      <w:numFmt w:val="bullet"/>
      <w:pStyle w:val="15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3">
    <w:nsid w:val="B5766756"/>
    <w:multiLevelType w:val="singleLevel"/>
    <w:tmpl w:val="B576675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B7BA28C9"/>
    <w:multiLevelType w:val="singleLevel"/>
    <w:tmpl w:val="B7BA28C9"/>
    <w:lvl w:ilvl="0" w:tentative="0">
      <w:start w:val="1"/>
      <w:numFmt w:val="decimal"/>
      <w:pStyle w:val="28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5">
    <w:nsid w:val="BF2AF75C"/>
    <w:multiLevelType w:val="singleLevel"/>
    <w:tmpl w:val="BF2AF75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BFBC9522"/>
    <w:multiLevelType w:val="singleLevel"/>
    <w:tmpl w:val="BFBC952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BFDABE05"/>
    <w:multiLevelType w:val="singleLevel"/>
    <w:tmpl w:val="BFDABE0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BFFE8E95"/>
    <w:multiLevelType w:val="singleLevel"/>
    <w:tmpl w:val="BFFE8E9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BFFEEEAF"/>
    <w:multiLevelType w:val="singleLevel"/>
    <w:tmpl w:val="BFFEEEA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D6B78C74"/>
    <w:multiLevelType w:val="singleLevel"/>
    <w:tmpl w:val="D6B78C7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">
    <w:nsid w:val="DDF0AA66"/>
    <w:multiLevelType w:val="singleLevel"/>
    <w:tmpl w:val="DDF0AA6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2">
    <w:nsid w:val="DF78958A"/>
    <w:multiLevelType w:val="singleLevel"/>
    <w:tmpl w:val="DF78958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3">
    <w:nsid w:val="DFEFD314"/>
    <w:multiLevelType w:val="singleLevel"/>
    <w:tmpl w:val="DFEFD31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4">
    <w:nsid w:val="F47960A0"/>
    <w:multiLevelType w:val="singleLevel"/>
    <w:tmpl w:val="F47960A0"/>
    <w:lvl w:ilvl="0" w:tentative="0">
      <w:start w:val="1"/>
      <w:numFmt w:val="decimal"/>
      <w:pStyle w:val="22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15">
    <w:nsid w:val="F6DE7FFD"/>
    <w:multiLevelType w:val="singleLevel"/>
    <w:tmpl w:val="F6DE7FF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6">
    <w:nsid w:val="F7FA06EF"/>
    <w:multiLevelType w:val="singleLevel"/>
    <w:tmpl w:val="F7FA06E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7">
    <w:nsid w:val="F7FFE5C2"/>
    <w:multiLevelType w:val="singleLevel"/>
    <w:tmpl w:val="F7FFE5C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8">
    <w:nsid w:val="FBFE6159"/>
    <w:multiLevelType w:val="singleLevel"/>
    <w:tmpl w:val="FBFE615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9">
    <w:nsid w:val="FE2ECD3D"/>
    <w:multiLevelType w:val="singleLevel"/>
    <w:tmpl w:val="FE2ECD3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0">
    <w:nsid w:val="FEB58EF3"/>
    <w:multiLevelType w:val="singleLevel"/>
    <w:tmpl w:val="FEB58EF3"/>
    <w:lvl w:ilvl="0" w:tentative="0">
      <w:start w:val="1"/>
      <w:numFmt w:val="bullet"/>
      <w:pStyle w:val="18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21">
    <w:nsid w:val="FF9BA098"/>
    <w:multiLevelType w:val="singleLevel"/>
    <w:tmpl w:val="FF9BA098"/>
    <w:lvl w:ilvl="0" w:tentative="0">
      <w:start w:val="1"/>
      <w:numFmt w:val="bullet"/>
      <w:pStyle w:val="26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22">
    <w:nsid w:val="FFA86893"/>
    <w:multiLevelType w:val="singleLevel"/>
    <w:tmpl w:val="FFA86893"/>
    <w:lvl w:ilvl="0" w:tentative="0">
      <w:start w:val="1"/>
      <w:numFmt w:val="bullet"/>
      <w:pStyle w:val="2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23">
    <w:nsid w:val="FFB75E72"/>
    <w:multiLevelType w:val="singleLevel"/>
    <w:tmpl w:val="FFB75E7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4">
    <w:nsid w:val="FFBADFC7"/>
    <w:multiLevelType w:val="singleLevel"/>
    <w:tmpl w:val="FFBADFC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5">
    <w:nsid w:val="FFF87A51"/>
    <w:multiLevelType w:val="singleLevel"/>
    <w:tmpl w:val="FFF87A5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6">
    <w:nsid w:val="FFFDE5B4"/>
    <w:multiLevelType w:val="singleLevel"/>
    <w:tmpl w:val="FFFDE5B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7">
    <w:nsid w:val="052FBF93"/>
    <w:multiLevelType w:val="singleLevel"/>
    <w:tmpl w:val="052FBF93"/>
    <w:lvl w:ilvl="0" w:tentative="0">
      <w:start w:val="1"/>
      <w:numFmt w:val="decimal"/>
      <w:pStyle w:val="1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28">
    <w:nsid w:val="1E7F6B98"/>
    <w:multiLevelType w:val="singleLevel"/>
    <w:tmpl w:val="1E7F6B9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9">
    <w:nsid w:val="1FFE05E1"/>
    <w:multiLevelType w:val="singleLevel"/>
    <w:tmpl w:val="1FFE05E1"/>
    <w:lvl w:ilvl="0" w:tentative="0">
      <w:start w:val="1"/>
      <w:numFmt w:val="bullet"/>
      <w:pStyle w:val="24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0">
    <w:nsid w:val="27EAC71E"/>
    <w:multiLevelType w:val="singleLevel"/>
    <w:tmpl w:val="27EAC71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1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黑体" w:hAnsi="黑体" w:eastAsia="黑体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32">
    <w:nsid w:val="33FF5C9C"/>
    <w:multiLevelType w:val="singleLevel"/>
    <w:tmpl w:val="33FF5C9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3">
    <w:nsid w:val="3EFE24F2"/>
    <w:multiLevelType w:val="singleLevel"/>
    <w:tmpl w:val="3EFE24F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4">
    <w:nsid w:val="537FD936"/>
    <w:multiLevelType w:val="singleLevel"/>
    <w:tmpl w:val="537FD93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5">
    <w:nsid w:val="57BCB1A2"/>
    <w:multiLevelType w:val="singleLevel"/>
    <w:tmpl w:val="57BCB1A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6">
    <w:nsid w:val="57FA80E2"/>
    <w:multiLevelType w:val="singleLevel"/>
    <w:tmpl w:val="57FA80E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7">
    <w:nsid w:val="5FF6558D"/>
    <w:multiLevelType w:val="singleLevel"/>
    <w:tmpl w:val="5FF6558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8">
    <w:nsid w:val="64FA997B"/>
    <w:multiLevelType w:val="singleLevel"/>
    <w:tmpl w:val="64FA997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9">
    <w:nsid w:val="6FFE7285"/>
    <w:multiLevelType w:val="singleLevel"/>
    <w:tmpl w:val="6FFE7285"/>
    <w:lvl w:ilvl="0" w:tentative="0">
      <w:start w:val="1"/>
      <w:numFmt w:val="bullet"/>
      <w:pStyle w:val="21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40">
    <w:nsid w:val="7EFB0518"/>
    <w:multiLevelType w:val="singleLevel"/>
    <w:tmpl w:val="7EFB0518"/>
    <w:lvl w:ilvl="0" w:tentative="0">
      <w:start w:val="1"/>
      <w:numFmt w:val="decimal"/>
      <w:pStyle w:val="13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1">
    <w:nsid w:val="7FDC468E"/>
    <w:multiLevelType w:val="singleLevel"/>
    <w:tmpl w:val="7FDC468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31"/>
  </w:num>
  <w:num w:numId="2">
    <w:abstractNumId w:val="40"/>
  </w:num>
  <w:num w:numId="3">
    <w:abstractNumId w:val="2"/>
  </w:num>
  <w:num w:numId="4">
    <w:abstractNumId w:val="27"/>
  </w:num>
  <w:num w:numId="5">
    <w:abstractNumId w:val="20"/>
  </w:num>
  <w:num w:numId="6">
    <w:abstractNumId w:val="39"/>
  </w:num>
  <w:num w:numId="7">
    <w:abstractNumId w:val="14"/>
  </w:num>
  <w:num w:numId="8">
    <w:abstractNumId w:val="29"/>
  </w:num>
  <w:num w:numId="9">
    <w:abstractNumId w:val="21"/>
  </w:num>
  <w:num w:numId="10">
    <w:abstractNumId w:val="22"/>
  </w:num>
  <w:num w:numId="11">
    <w:abstractNumId w:val="4"/>
  </w:num>
  <w:num w:numId="12">
    <w:abstractNumId w:val="1"/>
  </w:num>
  <w:num w:numId="13">
    <w:abstractNumId w:val="0"/>
  </w:num>
  <w:num w:numId="14">
    <w:abstractNumId w:val="3"/>
  </w:num>
  <w:num w:numId="15">
    <w:abstractNumId w:val="8"/>
  </w:num>
  <w:num w:numId="16">
    <w:abstractNumId w:val="35"/>
  </w:num>
  <w:num w:numId="17">
    <w:abstractNumId w:val="11"/>
  </w:num>
  <w:num w:numId="18">
    <w:abstractNumId w:val="41"/>
  </w:num>
  <w:num w:numId="19">
    <w:abstractNumId w:val="23"/>
  </w:num>
  <w:num w:numId="20">
    <w:abstractNumId w:val="6"/>
  </w:num>
  <w:num w:numId="21">
    <w:abstractNumId w:val="16"/>
  </w:num>
  <w:num w:numId="22">
    <w:abstractNumId w:val="5"/>
  </w:num>
  <w:num w:numId="23">
    <w:abstractNumId w:val="28"/>
  </w:num>
  <w:num w:numId="24">
    <w:abstractNumId w:val="33"/>
  </w:num>
  <w:num w:numId="25">
    <w:abstractNumId w:val="12"/>
  </w:num>
  <w:num w:numId="26">
    <w:abstractNumId w:val="25"/>
  </w:num>
  <w:num w:numId="27">
    <w:abstractNumId w:val="32"/>
  </w:num>
  <w:num w:numId="28">
    <w:abstractNumId w:val="10"/>
  </w:num>
  <w:num w:numId="29">
    <w:abstractNumId w:val="30"/>
  </w:num>
  <w:num w:numId="30">
    <w:abstractNumId w:val="34"/>
  </w:num>
  <w:num w:numId="31">
    <w:abstractNumId w:val="36"/>
  </w:num>
  <w:num w:numId="32">
    <w:abstractNumId w:val="24"/>
  </w:num>
  <w:num w:numId="33">
    <w:abstractNumId w:val="13"/>
  </w:num>
  <w:num w:numId="34">
    <w:abstractNumId w:val="17"/>
  </w:num>
  <w:num w:numId="35">
    <w:abstractNumId w:val="18"/>
  </w:num>
  <w:num w:numId="36">
    <w:abstractNumId w:val="37"/>
  </w:num>
  <w:num w:numId="37">
    <w:abstractNumId w:val="19"/>
  </w:num>
  <w:num w:numId="38">
    <w:abstractNumId w:val="9"/>
  </w:num>
  <w:num w:numId="39">
    <w:abstractNumId w:val="26"/>
  </w:num>
  <w:num w:numId="40">
    <w:abstractNumId w:val="15"/>
  </w:num>
  <w:num w:numId="41">
    <w:abstractNumId w:val="38"/>
  </w:num>
  <w:num w:numId="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TgxM2RjOGM4NmFhZTkyOTlkMmE4MWQ0Zjg2YjZhY2IifQ=="/>
  </w:docVars>
  <w:rsids>
    <w:rsidRoot w:val="00000000"/>
    <w:rsid w:val="01503613"/>
    <w:rsid w:val="0E925DBF"/>
    <w:rsid w:val="0FE732EF"/>
    <w:rsid w:val="15205ED3"/>
    <w:rsid w:val="17872A04"/>
    <w:rsid w:val="18A902D0"/>
    <w:rsid w:val="1A442B9B"/>
    <w:rsid w:val="1A5F56EF"/>
    <w:rsid w:val="1E896318"/>
    <w:rsid w:val="1F4965EB"/>
    <w:rsid w:val="25C83238"/>
    <w:rsid w:val="26CA0473"/>
    <w:rsid w:val="2B924E09"/>
    <w:rsid w:val="2CE307C7"/>
    <w:rsid w:val="2F436F36"/>
    <w:rsid w:val="31994BEB"/>
    <w:rsid w:val="3FEA17AB"/>
    <w:rsid w:val="3FF2F4D6"/>
    <w:rsid w:val="410B542B"/>
    <w:rsid w:val="41A71B16"/>
    <w:rsid w:val="427B35B9"/>
    <w:rsid w:val="435B43F6"/>
    <w:rsid w:val="45B00A41"/>
    <w:rsid w:val="4FD75668"/>
    <w:rsid w:val="55426F5C"/>
    <w:rsid w:val="55853555"/>
    <w:rsid w:val="575278AD"/>
    <w:rsid w:val="5DA12EF6"/>
    <w:rsid w:val="5DE3706A"/>
    <w:rsid w:val="608A7C71"/>
    <w:rsid w:val="61615C49"/>
    <w:rsid w:val="6401649C"/>
    <w:rsid w:val="653D4140"/>
    <w:rsid w:val="65907A54"/>
    <w:rsid w:val="665629F7"/>
    <w:rsid w:val="69F47232"/>
    <w:rsid w:val="6A2B7DCF"/>
    <w:rsid w:val="6B550DD6"/>
    <w:rsid w:val="6FE07705"/>
    <w:rsid w:val="6FFD907A"/>
    <w:rsid w:val="74A83031"/>
    <w:rsid w:val="76962A74"/>
    <w:rsid w:val="7B77B008"/>
    <w:rsid w:val="7FF6C12C"/>
    <w:rsid w:val="93AB6FC2"/>
    <w:rsid w:val="BCB98261"/>
    <w:rsid w:val="F3EB132D"/>
    <w:rsid w:val="FEF70171"/>
    <w:rsid w:val="FFCF9603"/>
    <w:rsid w:val="FFF9544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  <w:ind w:firstLine="601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center"/>
      <w:outlineLvl w:val="0"/>
    </w:pPr>
    <w:rPr>
      <w:b/>
      <w:kern w:val="44"/>
      <w:sz w:val="30"/>
    </w:rPr>
  </w:style>
  <w:style w:type="paragraph" w:styleId="3">
    <w:name w:val="heading 2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微软雅黑" w:cs="Times New Roman"/>
      <w:b/>
      <w:sz w:val="28"/>
    </w:rPr>
  </w:style>
  <w:style w:type="paragraph" w:styleId="4">
    <w:name w:val="heading 3"/>
    <w:next w:val="1"/>
    <w:unhideWhenUsed/>
    <w:qFormat/>
    <w:uiPriority w:val="0"/>
    <w:pPr>
      <w:keepNext/>
      <w:keepLines/>
      <w:numPr>
        <w:ilvl w:val="0"/>
        <w:numId w:val="0"/>
      </w:numPr>
      <w:spacing w:before="260" w:beforeLines="0" w:beforeAutospacing="0" w:after="260" w:afterLines="0" w:afterAutospacing="0" w:line="413" w:lineRule="auto"/>
      <w:outlineLvl w:val="2"/>
    </w:pPr>
    <w:rPr>
      <w:rFonts w:ascii="Times New Roman" w:hAnsi="Times New Roman" w:eastAsia="微软雅黑" w:cs="Times New Roman"/>
      <w:b/>
      <w:sz w:val="24"/>
    </w:rPr>
  </w:style>
  <w:style w:type="paragraph" w:styleId="5">
    <w:name w:val="heading 4"/>
    <w:next w:val="1"/>
    <w:unhideWhenUsed/>
    <w:qFormat/>
    <w:uiPriority w:val="0"/>
    <w:pPr>
      <w:keepNext/>
      <w:keepLines/>
      <w:numPr>
        <w:ilvl w:val="0"/>
        <w:numId w:val="0"/>
      </w:numPr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微软雅黑" w:cs="Times New Roman"/>
      <w:i/>
      <w:sz w:val="24"/>
    </w:rPr>
  </w:style>
  <w:style w:type="paragraph" w:styleId="6">
    <w:name w:val="heading 5"/>
    <w:basedOn w:val="1"/>
    <w:next w:val="7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7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7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7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7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51">
    <w:name w:val="Default Paragraph Font"/>
    <w:semiHidden/>
    <w:qFormat/>
    <w:uiPriority w:val="0"/>
  </w:style>
  <w:style w:type="table" w:default="1" w:styleId="50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57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List 3"/>
    <w:basedOn w:val="1"/>
    <w:qFormat/>
    <w:uiPriority w:val="0"/>
    <w:pPr>
      <w:ind w:left="100" w:leftChars="400" w:hanging="200" w:hangingChars="200"/>
    </w:pPr>
  </w:style>
  <w:style w:type="paragraph" w:styleId="13">
    <w:name w:val="List Number 2"/>
    <w:basedOn w:val="1"/>
    <w:qFormat/>
    <w:uiPriority w:val="0"/>
    <w:pPr>
      <w:numPr>
        <w:ilvl w:val="0"/>
        <w:numId w:val="2"/>
      </w:numPr>
    </w:pPr>
  </w:style>
  <w:style w:type="paragraph" w:styleId="14">
    <w:name w:val="table of authorities"/>
    <w:basedOn w:val="1"/>
    <w:next w:val="1"/>
    <w:qFormat/>
    <w:uiPriority w:val="0"/>
    <w:pPr>
      <w:ind w:left="420" w:leftChars="200"/>
    </w:pPr>
  </w:style>
  <w:style w:type="paragraph" w:styleId="15">
    <w:name w:val="List Bullet 4"/>
    <w:basedOn w:val="1"/>
    <w:qFormat/>
    <w:uiPriority w:val="0"/>
    <w:pPr>
      <w:numPr>
        <w:ilvl w:val="0"/>
        <w:numId w:val="3"/>
      </w:numPr>
    </w:pPr>
  </w:style>
  <w:style w:type="paragraph" w:styleId="16">
    <w:name w:val="List Number"/>
    <w:basedOn w:val="1"/>
    <w:qFormat/>
    <w:uiPriority w:val="0"/>
    <w:pPr>
      <w:numPr>
        <w:ilvl w:val="0"/>
        <w:numId w:val="4"/>
      </w:numPr>
    </w:pPr>
  </w:style>
  <w:style w:type="paragraph" w:styleId="17">
    <w:name w:val="caption"/>
    <w:basedOn w:val="1"/>
    <w:qFormat/>
    <w:uiPriority w:val="0"/>
    <w:pPr>
      <w:spacing w:before="0" w:after="120"/>
    </w:pPr>
    <w:rPr>
      <w:i/>
    </w:rPr>
  </w:style>
  <w:style w:type="paragraph" w:styleId="18">
    <w:name w:val="List Bullet"/>
    <w:basedOn w:val="1"/>
    <w:qFormat/>
    <w:uiPriority w:val="0"/>
    <w:pPr>
      <w:numPr>
        <w:ilvl w:val="0"/>
        <w:numId w:val="5"/>
      </w:numPr>
      <w:ind w:left="0" w:firstLine="0" w:firstLineChars="0"/>
    </w:pPr>
  </w:style>
  <w:style w:type="paragraph" w:styleId="19">
    <w:name w:val="Document Map"/>
    <w:basedOn w:val="1"/>
    <w:qFormat/>
    <w:uiPriority w:val="0"/>
    <w:pPr>
      <w:shd w:val="clear" w:color="auto" w:fill="000080"/>
    </w:pPr>
  </w:style>
  <w:style w:type="paragraph" w:styleId="20">
    <w:name w:val="annotation text"/>
    <w:basedOn w:val="1"/>
    <w:qFormat/>
    <w:uiPriority w:val="0"/>
    <w:pPr>
      <w:jc w:val="left"/>
    </w:pPr>
  </w:style>
  <w:style w:type="paragraph" w:styleId="21">
    <w:name w:val="List Bullet 3"/>
    <w:basedOn w:val="1"/>
    <w:qFormat/>
    <w:uiPriority w:val="0"/>
    <w:pPr>
      <w:numPr>
        <w:ilvl w:val="0"/>
        <w:numId w:val="6"/>
      </w:numPr>
    </w:pPr>
  </w:style>
  <w:style w:type="paragraph" w:styleId="22">
    <w:name w:val="List Number 3"/>
    <w:basedOn w:val="1"/>
    <w:qFormat/>
    <w:uiPriority w:val="0"/>
    <w:pPr>
      <w:numPr>
        <w:ilvl w:val="0"/>
        <w:numId w:val="7"/>
      </w:numPr>
    </w:pPr>
  </w:style>
  <w:style w:type="paragraph" w:styleId="23">
    <w:name w:val="List 2"/>
    <w:basedOn w:val="1"/>
    <w:qFormat/>
    <w:uiPriority w:val="0"/>
    <w:pPr>
      <w:ind w:left="100" w:leftChars="200" w:hanging="200" w:hangingChars="200"/>
    </w:pPr>
  </w:style>
  <w:style w:type="paragraph" w:styleId="24">
    <w:name w:val="List Continue"/>
    <w:basedOn w:val="1"/>
    <w:qFormat/>
    <w:uiPriority w:val="0"/>
    <w:pPr>
      <w:numPr>
        <w:ilvl w:val="0"/>
        <w:numId w:val="8"/>
      </w:numPr>
      <w:spacing w:after="120" w:afterLines="0" w:afterAutospacing="0"/>
      <w:ind w:left="0" w:leftChars="200" w:firstLine="0" w:firstLineChars="0"/>
    </w:pPr>
  </w:style>
  <w:style w:type="paragraph" w:styleId="25">
    <w:name w:val="Block Text"/>
    <w:basedOn w:val="7"/>
    <w:next w:val="7"/>
    <w:unhideWhenUsed/>
    <w:qFormat/>
    <w:uiPriority w:val="9"/>
    <w:pPr>
      <w:spacing w:before="100" w:after="100"/>
      <w:ind w:left="480" w:right="480" w:firstLine="0"/>
    </w:pPr>
  </w:style>
  <w:style w:type="paragraph" w:styleId="26">
    <w:name w:val="List Bullet 2"/>
    <w:basedOn w:val="1"/>
    <w:qFormat/>
    <w:uiPriority w:val="0"/>
    <w:pPr>
      <w:numPr>
        <w:ilvl w:val="0"/>
        <w:numId w:val="9"/>
      </w:numPr>
    </w:pPr>
  </w:style>
  <w:style w:type="paragraph" w:styleId="27">
    <w:name w:val="List Bullet 5"/>
    <w:basedOn w:val="1"/>
    <w:qFormat/>
    <w:uiPriority w:val="0"/>
    <w:pPr>
      <w:numPr>
        <w:ilvl w:val="0"/>
        <w:numId w:val="10"/>
      </w:numPr>
    </w:pPr>
  </w:style>
  <w:style w:type="paragraph" w:styleId="28">
    <w:name w:val="List Number 4"/>
    <w:basedOn w:val="1"/>
    <w:qFormat/>
    <w:uiPriority w:val="0"/>
    <w:pPr>
      <w:numPr>
        <w:ilvl w:val="0"/>
        <w:numId w:val="11"/>
      </w:numPr>
    </w:pPr>
  </w:style>
  <w:style w:type="paragraph" w:styleId="29">
    <w:name w:val="Date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30">
    <w:name w:val="endnote text"/>
    <w:basedOn w:val="1"/>
    <w:qFormat/>
    <w:uiPriority w:val="0"/>
    <w:pPr>
      <w:snapToGrid w:val="0"/>
      <w:jc w:val="left"/>
    </w:pPr>
  </w:style>
  <w:style w:type="paragraph" w:styleId="31">
    <w:name w:val="Balloon Text"/>
    <w:basedOn w:val="1"/>
    <w:qFormat/>
    <w:uiPriority w:val="0"/>
    <w:pPr>
      <w:ind w:firstLine="0" w:firstLineChars="0"/>
    </w:pPr>
    <w:rPr>
      <w:sz w:val="18"/>
    </w:rPr>
  </w:style>
  <w:style w:type="paragraph" w:styleId="3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34">
    <w:name w:val="toc 1"/>
    <w:basedOn w:val="1"/>
    <w:next w:val="1"/>
    <w:qFormat/>
    <w:uiPriority w:val="0"/>
  </w:style>
  <w:style w:type="paragraph" w:styleId="35">
    <w:name w:val="Subtitle"/>
    <w:basedOn w:val="36"/>
    <w:next w:val="7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36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37">
    <w:name w:val="List Number 5"/>
    <w:basedOn w:val="1"/>
    <w:qFormat/>
    <w:uiPriority w:val="0"/>
    <w:pPr>
      <w:numPr>
        <w:ilvl w:val="0"/>
        <w:numId w:val="12"/>
      </w:numPr>
    </w:pPr>
  </w:style>
  <w:style w:type="paragraph" w:styleId="38">
    <w:name w:val="List"/>
    <w:basedOn w:val="1"/>
    <w:qFormat/>
    <w:uiPriority w:val="0"/>
    <w:pPr>
      <w:ind w:left="200" w:hanging="200" w:hangingChars="200"/>
    </w:pPr>
  </w:style>
  <w:style w:type="paragraph" w:styleId="39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40">
    <w:name w:val="List 5"/>
    <w:basedOn w:val="1"/>
    <w:qFormat/>
    <w:uiPriority w:val="0"/>
    <w:pPr>
      <w:ind w:left="100" w:leftChars="800" w:hanging="200" w:hangingChars="200"/>
    </w:pPr>
  </w:style>
  <w:style w:type="paragraph" w:styleId="41">
    <w:name w:val="table of figures"/>
    <w:basedOn w:val="1"/>
    <w:next w:val="1"/>
    <w:qFormat/>
    <w:uiPriority w:val="0"/>
    <w:pPr>
      <w:ind w:leftChars="0" w:firstLine="0" w:firstLineChars="0"/>
      <w:jc w:val="left"/>
    </w:pPr>
    <w:rPr>
      <w:rFonts w:ascii="微软雅黑" w:hAnsi="微软雅黑" w:eastAsia="微软雅黑"/>
    </w:rPr>
  </w:style>
  <w:style w:type="paragraph" w:styleId="42">
    <w:name w:val="List 4"/>
    <w:basedOn w:val="1"/>
    <w:qFormat/>
    <w:uiPriority w:val="0"/>
    <w:pPr>
      <w:ind w:left="100" w:leftChars="600" w:hanging="200" w:hangingChars="200"/>
    </w:pPr>
  </w:style>
  <w:style w:type="paragraph" w:styleId="43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4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  <w:sz w:val="24"/>
    </w:rPr>
  </w:style>
  <w:style w:type="paragraph" w:styleId="45">
    <w:name w:val="Normal (Web)"/>
    <w:basedOn w:val="1"/>
    <w:qFormat/>
    <w:uiPriority w:val="0"/>
    <w:pPr>
      <w:spacing w:before="-2147483648" w:beforeAutospacing="1" w:after="-2147483648" w:afterAutospacing="1"/>
      <w:ind w:left="0" w:right="0" w:firstLine="560" w:firstLineChars="200"/>
      <w:jc w:val="both"/>
    </w:pPr>
    <w:rPr>
      <w:rFonts w:ascii="微软雅黑" w:hAnsi="微软雅黑" w:eastAsia="微软雅黑"/>
      <w:lang w:eastAsia="zh-CN" w:bidi="ar"/>
    </w:rPr>
  </w:style>
  <w:style w:type="paragraph" w:styleId="46">
    <w:name w:val="List Continue 3"/>
    <w:basedOn w:val="1"/>
    <w:qFormat/>
    <w:uiPriority w:val="0"/>
    <w:pPr>
      <w:spacing w:after="120" w:afterLines="0" w:afterAutospacing="0"/>
      <w:ind w:left="1260" w:leftChars="600"/>
    </w:pPr>
  </w:style>
  <w:style w:type="paragraph" w:styleId="47">
    <w:name w:val="index 1"/>
    <w:basedOn w:val="1"/>
    <w:next w:val="1"/>
    <w:qFormat/>
    <w:uiPriority w:val="0"/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annotation subject"/>
    <w:basedOn w:val="20"/>
    <w:next w:val="20"/>
    <w:qFormat/>
    <w:uiPriority w:val="0"/>
    <w:rPr>
      <w:b/>
    </w:rPr>
  </w:style>
  <w:style w:type="character" w:styleId="52">
    <w:name w:val="endnote reference"/>
    <w:basedOn w:val="51"/>
    <w:qFormat/>
    <w:uiPriority w:val="0"/>
    <w:rPr>
      <w:vertAlign w:val="superscript"/>
    </w:rPr>
  </w:style>
  <w:style w:type="character" w:styleId="53">
    <w:name w:val="page number"/>
    <w:basedOn w:val="51"/>
    <w:qFormat/>
    <w:uiPriority w:val="0"/>
  </w:style>
  <w:style w:type="character" w:styleId="54">
    <w:name w:val="Emphasis"/>
    <w:basedOn w:val="51"/>
    <w:qFormat/>
    <w:uiPriority w:val="0"/>
    <w:rPr>
      <w:i/>
    </w:rPr>
  </w:style>
  <w:style w:type="character" w:styleId="55">
    <w:name w:val="line number"/>
    <w:basedOn w:val="51"/>
    <w:qFormat/>
    <w:uiPriority w:val="0"/>
  </w:style>
  <w:style w:type="character" w:styleId="56">
    <w:name w:val="Hyperlink"/>
    <w:basedOn w:val="57"/>
    <w:qFormat/>
    <w:uiPriority w:val="0"/>
    <w:rPr>
      <w:color w:val="0070C0"/>
      <w:u w:val="single"/>
    </w:rPr>
  </w:style>
  <w:style w:type="character" w:customStyle="1" w:styleId="57">
    <w:name w:val="Body Text Char"/>
    <w:basedOn w:val="51"/>
    <w:link w:val="7"/>
    <w:qFormat/>
    <w:uiPriority w:val="0"/>
    <w:rPr>
      <w:rFonts w:ascii="微软雅黑" w:hAnsi="微软雅黑" w:eastAsia="微软雅黑"/>
    </w:rPr>
  </w:style>
  <w:style w:type="character" w:styleId="58">
    <w:name w:val="annotation reference"/>
    <w:basedOn w:val="51"/>
    <w:qFormat/>
    <w:uiPriority w:val="0"/>
    <w:rPr>
      <w:sz w:val="21"/>
    </w:rPr>
  </w:style>
  <w:style w:type="character" w:styleId="59">
    <w:name w:val="footnote reference"/>
    <w:basedOn w:val="57"/>
    <w:qFormat/>
    <w:uiPriority w:val="0"/>
    <w:rPr>
      <w:vertAlign w:val="superscript"/>
    </w:rPr>
  </w:style>
  <w:style w:type="paragraph" w:customStyle="1" w:styleId="60">
    <w:name w:val="First Paragraph"/>
    <w:basedOn w:val="7"/>
    <w:next w:val="7"/>
    <w:qFormat/>
    <w:uiPriority w:val="0"/>
    <w:pPr>
      <w:ind w:firstLine="720" w:firstLineChars="200"/>
      <w:jc w:val="both"/>
    </w:pPr>
  </w:style>
  <w:style w:type="paragraph" w:customStyle="1" w:styleId="61">
    <w:name w:val="Compact"/>
    <w:basedOn w:val="7"/>
    <w:qFormat/>
    <w:uiPriority w:val="0"/>
    <w:pPr>
      <w:spacing w:before="36" w:after="36"/>
    </w:pPr>
  </w:style>
  <w:style w:type="paragraph" w:customStyle="1" w:styleId="62">
    <w:name w:val="Author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63">
    <w:name w:val="Abstract Title"/>
    <w:basedOn w:val="1"/>
    <w:next w:val="64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64">
    <w:name w:val="Abstract"/>
    <w:basedOn w:val="1"/>
    <w:next w:val="7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65">
    <w:name w:val="Bibliography"/>
    <w:basedOn w:val="1"/>
    <w:qFormat/>
    <w:uiPriority w:val="0"/>
  </w:style>
  <w:style w:type="paragraph" w:customStyle="1" w:styleId="66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6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68">
    <w:name w:val="Definition Term"/>
    <w:basedOn w:val="1"/>
    <w:next w:val="69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69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70">
    <w:name w:val="Table Caption"/>
    <w:basedOn w:val="17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71">
    <w:name w:val="Image Caption"/>
    <w:basedOn w:val="17"/>
    <w:qFormat/>
    <w:uiPriority w:val="0"/>
    <w:rPr>
      <w:rFonts w:ascii="微软雅黑" w:hAnsi="微软雅黑" w:eastAsia="微软雅黑"/>
    </w:rPr>
  </w:style>
  <w:style w:type="paragraph" w:customStyle="1" w:styleId="72">
    <w:name w:val="Figure"/>
    <w:basedOn w:val="1"/>
    <w:qFormat/>
    <w:uiPriority w:val="0"/>
  </w:style>
  <w:style w:type="paragraph" w:customStyle="1" w:styleId="73">
    <w:name w:val="Captioned Figure"/>
    <w:basedOn w:val="72"/>
    <w:qFormat/>
    <w:uiPriority w:val="0"/>
    <w:pPr>
      <w:keepNext/>
    </w:pPr>
  </w:style>
  <w:style w:type="character" w:customStyle="1" w:styleId="74">
    <w:name w:val="Verbatim Char"/>
    <w:basedOn w:val="57"/>
    <w:qFormat/>
    <w:uiPriority w:val="0"/>
    <w:rPr>
      <w:rFonts w:ascii="Copperplate" w:hAnsi="Copperplate"/>
      <w:sz w:val="22"/>
    </w:rPr>
  </w:style>
  <w:style w:type="character" w:customStyle="1" w:styleId="75">
    <w:name w:val="Section Number"/>
    <w:basedOn w:val="57"/>
    <w:qFormat/>
    <w:uiPriority w:val="0"/>
  </w:style>
  <w:style w:type="paragraph" w:customStyle="1" w:styleId="76">
    <w:name w:val="TOC Heading"/>
    <w:basedOn w:val="2"/>
    <w:next w:val="7"/>
    <w:unhideWhenUsed/>
    <w:qFormat/>
    <w:uiPriority w:val="39"/>
    <w:pPr>
      <w:tabs>
        <w:tab w:val="left" w:pos="0"/>
      </w:tabs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366091" w:themeColor="accent1" w:themeShade="BF"/>
    </w:rPr>
  </w:style>
  <w:style w:type="paragraph" w:customStyle="1" w:styleId="77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78">
    <w:name w:val="KeywordTok"/>
    <w:qFormat/>
    <w:uiPriority w:val="0"/>
    <w:rPr>
      <w:b/>
      <w:color w:val="007020"/>
    </w:rPr>
  </w:style>
  <w:style w:type="character" w:customStyle="1" w:styleId="79">
    <w:name w:val="DataTypeTok"/>
    <w:qFormat/>
    <w:uiPriority w:val="0"/>
    <w:rPr>
      <w:color w:val="902000"/>
    </w:rPr>
  </w:style>
  <w:style w:type="character" w:customStyle="1" w:styleId="80">
    <w:name w:val="DecValTok"/>
    <w:qFormat/>
    <w:uiPriority w:val="0"/>
    <w:rPr>
      <w:color w:val="40A070"/>
    </w:rPr>
  </w:style>
  <w:style w:type="character" w:customStyle="1" w:styleId="81">
    <w:name w:val="BaseNTok"/>
    <w:qFormat/>
    <w:uiPriority w:val="0"/>
    <w:rPr>
      <w:color w:val="40A070"/>
    </w:rPr>
  </w:style>
  <w:style w:type="character" w:customStyle="1" w:styleId="82">
    <w:name w:val="FloatTok"/>
    <w:qFormat/>
    <w:uiPriority w:val="0"/>
    <w:rPr>
      <w:color w:val="40A070"/>
    </w:rPr>
  </w:style>
  <w:style w:type="character" w:customStyle="1" w:styleId="83">
    <w:name w:val="ConstantTok"/>
    <w:qFormat/>
    <w:uiPriority w:val="0"/>
    <w:rPr>
      <w:color w:val="880000"/>
    </w:rPr>
  </w:style>
  <w:style w:type="character" w:customStyle="1" w:styleId="84">
    <w:name w:val="CharTok"/>
    <w:qFormat/>
    <w:uiPriority w:val="0"/>
    <w:rPr>
      <w:color w:val="4070A0"/>
    </w:rPr>
  </w:style>
  <w:style w:type="character" w:customStyle="1" w:styleId="85">
    <w:name w:val="SpecialCharTok"/>
    <w:qFormat/>
    <w:uiPriority w:val="0"/>
    <w:rPr>
      <w:color w:val="4070A0"/>
    </w:rPr>
  </w:style>
  <w:style w:type="character" w:customStyle="1" w:styleId="86">
    <w:name w:val="StringTok"/>
    <w:qFormat/>
    <w:uiPriority w:val="0"/>
    <w:rPr>
      <w:color w:val="4070A0"/>
    </w:rPr>
  </w:style>
  <w:style w:type="character" w:customStyle="1" w:styleId="87">
    <w:name w:val="VerbatimStringTok"/>
    <w:qFormat/>
    <w:uiPriority w:val="0"/>
    <w:rPr>
      <w:color w:val="4070A0"/>
    </w:rPr>
  </w:style>
  <w:style w:type="character" w:customStyle="1" w:styleId="88">
    <w:name w:val="SpecialStringTok"/>
    <w:qFormat/>
    <w:uiPriority w:val="0"/>
    <w:rPr>
      <w:color w:val="BB6688"/>
    </w:rPr>
  </w:style>
  <w:style w:type="character" w:customStyle="1" w:styleId="89">
    <w:name w:val="ImportTok"/>
    <w:qFormat/>
    <w:uiPriority w:val="0"/>
    <w:rPr>
      <w:b/>
      <w:color w:val="008000"/>
    </w:rPr>
  </w:style>
  <w:style w:type="character" w:customStyle="1" w:styleId="90">
    <w:name w:val="CommentTok"/>
    <w:qFormat/>
    <w:uiPriority w:val="0"/>
    <w:rPr>
      <w:i/>
      <w:color w:val="60A0B0"/>
    </w:rPr>
  </w:style>
  <w:style w:type="character" w:customStyle="1" w:styleId="91">
    <w:name w:val="DocumentationTok"/>
    <w:qFormat/>
    <w:uiPriority w:val="0"/>
    <w:rPr>
      <w:i/>
      <w:color w:val="BA2121"/>
    </w:rPr>
  </w:style>
  <w:style w:type="character" w:customStyle="1" w:styleId="92">
    <w:name w:val="AnnotationTok"/>
    <w:qFormat/>
    <w:uiPriority w:val="0"/>
    <w:rPr>
      <w:b/>
      <w:i/>
      <w:color w:val="60A0B0"/>
    </w:rPr>
  </w:style>
  <w:style w:type="character" w:customStyle="1" w:styleId="93">
    <w:name w:val="CommentVarTok"/>
    <w:qFormat/>
    <w:uiPriority w:val="0"/>
    <w:rPr>
      <w:b/>
      <w:i/>
      <w:color w:val="60A0B0"/>
    </w:rPr>
  </w:style>
  <w:style w:type="character" w:customStyle="1" w:styleId="94">
    <w:name w:val="OtherTok"/>
    <w:qFormat/>
    <w:uiPriority w:val="0"/>
    <w:rPr>
      <w:color w:val="007020"/>
    </w:rPr>
  </w:style>
  <w:style w:type="character" w:customStyle="1" w:styleId="95">
    <w:name w:val="FunctionTok"/>
    <w:qFormat/>
    <w:uiPriority w:val="0"/>
    <w:rPr>
      <w:color w:val="06287E"/>
    </w:rPr>
  </w:style>
  <w:style w:type="character" w:customStyle="1" w:styleId="96">
    <w:name w:val="VariableTok"/>
    <w:qFormat/>
    <w:uiPriority w:val="0"/>
    <w:rPr>
      <w:color w:val="19177C"/>
    </w:rPr>
  </w:style>
  <w:style w:type="character" w:customStyle="1" w:styleId="97">
    <w:name w:val="ControlFlowTok"/>
    <w:qFormat/>
    <w:uiPriority w:val="0"/>
    <w:rPr>
      <w:b/>
      <w:color w:val="007020"/>
    </w:rPr>
  </w:style>
  <w:style w:type="character" w:customStyle="1" w:styleId="98">
    <w:name w:val="OperatorTok"/>
    <w:qFormat/>
    <w:uiPriority w:val="0"/>
    <w:rPr>
      <w:color w:val="666666"/>
    </w:rPr>
  </w:style>
  <w:style w:type="character" w:customStyle="1" w:styleId="99">
    <w:name w:val="BuiltInTok"/>
    <w:qFormat/>
    <w:uiPriority w:val="0"/>
    <w:rPr>
      <w:color w:val="008000"/>
    </w:rPr>
  </w:style>
  <w:style w:type="character" w:customStyle="1" w:styleId="100">
    <w:name w:val="ExtensionTok"/>
    <w:qFormat/>
    <w:uiPriority w:val="0"/>
  </w:style>
  <w:style w:type="character" w:customStyle="1" w:styleId="101">
    <w:name w:val="PreprocessorTok"/>
    <w:qFormat/>
    <w:uiPriority w:val="0"/>
    <w:rPr>
      <w:color w:val="BC7A00"/>
    </w:rPr>
  </w:style>
  <w:style w:type="character" w:customStyle="1" w:styleId="102">
    <w:name w:val="AttributeTok"/>
    <w:qFormat/>
    <w:uiPriority w:val="0"/>
    <w:rPr>
      <w:color w:val="7D9029"/>
    </w:rPr>
  </w:style>
  <w:style w:type="character" w:customStyle="1" w:styleId="103">
    <w:name w:val="RegionMarkerTok"/>
    <w:qFormat/>
    <w:uiPriority w:val="0"/>
  </w:style>
  <w:style w:type="character" w:customStyle="1" w:styleId="104">
    <w:name w:val="InformationTok"/>
    <w:qFormat/>
    <w:uiPriority w:val="0"/>
    <w:rPr>
      <w:b/>
      <w:i/>
      <w:color w:val="60A0B0"/>
    </w:rPr>
  </w:style>
  <w:style w:type="character" w:customStyle="1" w:styleId="105">
    <w:name w:val="WarningTok"/>
    <w:qFormat/>
    <w:uiPriority w:val="0"/>
    <w:rPr>
      <w:b/>
      <w:i/>
      <w:color w:val="60A0B0"/>
    </w:rPr>
  </w:style>
  <w:style w:type="character" w:customStyle="1" w:styleId="106">
    <w:name w:val="AlertTok"/>
    <w:qFormat/>
    <w:uiPriority w:val="0"/>
    <w:rPr>
      <w:b/>
      <w:color w:val="FF0000"/>
    </w:rPr>
  </w:style>
  <w:style w:type="character" w:customStyle="1" w:styleId="107">
    <w:name w:val="ErrorTok"/>
    <w:qFormat/>
    <w:uiPriority w:val="0"/>
    <w:rPr>
      <w:b/>
      <w:color w:val="FF0000"/>
    </w:rPr>
  </w:style>
  <w:style w:type="character" w:customStyle="1" w:styleId="108">
    <w:name w:val="NormalTok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450</Words>
  <Characters>502</Characters>
  <Lines>12</Lines>
  <Paragraphs>8</Paragraphs>
  <TotalTime>12</TotalTime>
  <ScaleCrop>false</ScaleCrop>
  <LinksUpToDate>false</LinksUpToDate>
  <CharactersWithSpaces>502</CharactersWithSpaces>
  <Application>WPS Office WWO_wpscloud_20250925191819-314b3f48ed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2024-11-15T15:05:00Z</dcterms:created>
  <dc:creator>bowen</dc:creator>
  <cp:lastModifiedBy>张运哲</cp:lastModifiedBy>
  <dcterms:modified xsi:type="dcterms:W3CDTF">2025-09-28T08:04:16Z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2052-12.9.0.23117</vt:lpwstr>
  </property>
  <property fmtid="{D5CDD505-2E9C-101B-9397-08002B2CF9AE}" pid="3" name="ICV">
    <vt:lpwstr>93744340E48D4DAE807BD86807193B99_43</vt:lpwstr>
  </property>
  <property fmtid="{D5CDD505-2E9C-101B-9397-08002B2CF9AE}" pid="4" name="KSOTemplateDocerSaveRecord">
    <vt:lpwstr>eyJoZGlkIjoiNzI4YmNmYThhZjA0NTVhODllNDhjMGZiNmFkMDJjN2YiLCJ1c2VySWQiOiIxNjA5OTI0MDI0In0=</vt:lpwstr>
  </property>
</Properties>
</file>