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94FD6">
      <w:pPr>
        <w:pStyle w:val="2"/>
      </w:pPr>
    </w:p>
    <w:p w14:paraId="442BF807">
      <w:pPr>
        <w:pStyle w:val="2"/>
      </w:pPr>
      <w:r>
        <w:t>干变浇注车间真空浇注设备17.1料罐技术手册</w:t>
      </w:r>
    </w:p>
    <w:p w14:paraId="7B5FB30B">
      <w:pPr>
        <w:pStyle w:val="3"/>
      </w:pPr>
      <w:r>
        <w:t>一、设备概述</w:t>
      </w:r>
    </w:p>
    <w:p w14:paraId="3AC1494D">
      <w:pPr>
        <w:pStyle w:val="4"/>
      </w:pPr>
      <w:r>
        <w:t>1.1 设备用途与工艺定位</w:t>
      </w:r>
    </w:p>
    <w:p w14:paraId="3EF3A5A9">
      <w:r>
        <w:t>17.1料罐是干变浇注车间真空浇注设备中的核心功能单元，主要用于储存、预处理环氧树脂与硅微粉等填料的混合体系，通过恒温控制、真空脱气及机械搅拌等工艺过程，确保混合料在进入最终浇注环节前达到无气泡、均匀性及粘度稳定的技术要求。在干式变压器生产流程中，该料罐位于原料预处理工段，上游承接树脂与填料的输送系统，下游连接终混浇注罐，其运行状态直接影响浇注体的绝缘性能和机械强度。具体而言，17.1料罐需完成三项关键工艺任务：一是通过双层保温结构维持混合料温度在65~80℃区间，确保粘度控制在300~900mPa·s（70℃条件下）；二是利用螺旋搅拌与真空脱气协同作用，去除混合料中的微气泡，使含气量降至0.1%以下；三是通过精准计量系统实现物料配比控制，满足高填料比（如硅微粉与树脂4:1）的工艺要求。作为连接原料储存与最终浇注的桥梁，17.1料罐的稳定运行是保障干式变压器线圈浇注合格率（行业要求≥99%）的关键环节。</w:t>
      </w:r>
    </w:p>
    <w:p w14:paraId="03A3410D">
      <w:pPr>
        <w:pStyle w:val="4"/>
      </w:pPr>
      <w:r>
        <w:t>1.2 主要技术参数与执行标准</w:t>
      </w:r>
    </w:p>
    <w:p w14:paraId="196D7323">
      <w:r>
        <w:t>17.1料罐的核心技术参数如下：罐体有效容积根据生产规模分为1000L、2000L等规格，设计压力为-0.1~0.3MPa（真空度≤50Pa），工作温度范围0~150℃，控温精度±1℃；搅拌系统采用变频调速，转速调节范围30~100min⁻¹，适配填料粒径1~50μm，搅拌功率1.5kW；加热系统总功率12~15kW，升温速率约1.5℃/min，外层表面温度≤环境温度+20℃；液位控制精度±5mm，计量系统在50kg以上量程时精度≤±1%，50kg以下时≤±0.5kg；设备运行环境要求温度5~40℃，相对湿度≤85%，电源电压波动不超过额定值的±10%。该设备的设计、制造与检验严格遵循JB/T 11055-2010《变压器专用设备 环氧树脂真空浇注设备》行业标准，其中真空系统漏率需满足混料罐≤30Pa·L/s，承压部件符合GB 150《钢制压力容器》的设计规范，电气安全执行GB 5226.1《机械电气安全 机械电气设备 第1部分：通用技术条件》。</w:t>
      </w:r>
    </w:p>
    <w:p w14:paraId="1CEB312F">
      <w:pPr>
        <w:pStyle w:val="3"/>
      </w:pPr>
      <w:r>
        <w:t>二、结构组成与功能分析</w:t>
      </w:r>
    </w:p>
    <w:p w14:paraId="047039E4">
      <w:pPr>
        <w:pStyle w:val="4"/>
      </w:pPr>
      <w:r>
        <w:t>2.1 罐体主体结构与材质特性</w:t>
      </w:r>
    </w:p>
    <w:p w14:paraId="043DEC78">
      <w:r>
        <w:t>17.1料罐采用双层夹套式罐体结构，内外层均选用304不锈钢材质，内层厚度8~10mm，确保在真空与压力交替作用下的结构稳定性，同时避免对环氧树脂混合料的污染。内层罐体底部设计为60°锥形结构，锥底与出料口平滑过渡，最小曲率半径R50mm，可有效消除物料残留死角，防止长期使用后残留物料固化结块。外层罐体与内层之间形成50~80mm宽的夹套空间，用于通入恒温媒质（通常为导热油）实现温度控制，夹套内壁焊接螺旋导流板，促进媒质均匀流动，确保罐内物料温度分布偏差≤±2℃。夹套外部包裹100mm厚的矿山岩棉保温层，保温层外采用1.2mm厚不锈钢板铠装，既提升保温效果（热损失≤50W/m²·h），又增强设备整体机械强度。罐体内壁经物理打磨处理，表面粗糙度Ra≤1.6μm，并喷涂环氧防锈底漆（干膜厚度60~80μm），进一步降低物料粘附风险，同时满足食品级卫生要求。</w:t>
      </w:r>
    </w:p>
    <w:p w14:paraId="01F1655E">
      <w:pPr>
        <w:pStyle w:val="4"/>
      </w:pPr>
      <w:r>
        <w:t>2.2 搅拌系统结构与功能</w:t>
      </w:r>
    </w:p>
    <w:p w14:paraId="4638556D">
      <w:r>
        <w:t>搅拌系统是17.1料罐实现物料均匀混合与高效脱气的核心组件，主要由驱动单元、传动机构、搅拌轴及搅拌头四部分组成。驱动单元采用YE3系列高效率三相异步电机，功率1.5kW，额定转速1450r/min，通过变频器实现无级调速，适配不同粘度物料的搅拌需求。传动机构采用行星齿轮减速器，减速比29:1，输出转速50r/min，通过弹性联轴器与搅拌轴连接，可有效缓冲启动冲击。搅拌轴直径50mm，采用实心不锈钢棒加工而成，轴长根据罐体高度定制，轴上端通过机械密封组件与罐体顶部连接，密封件选用氟橡胶材质，耐温范围-20~200℃，确保在真空与压力工况下无物料泄漏。搅拌头采用“螺旋提料器+扇页分散盘”组合结构：螺旋提料器螺距150mm，导程角15°，可将罐底物料向上提升至脱气伞顶部；脱气伞直径300mm，伞面开有均匀分布的φ8mm小孔，物料经伞面分散后形成0.5~1mm厚的薄膜下落；下部扇页分散盘直径400mm，设有4片倾斜45°的搅拌叶片，转速5~15rpm可调，对下落物料进行二次搅拌，确保填料（如硅微粉）均匀分散于树脂基体中。该结构对粒径1~50μm的填料具有良好适应性，在4:1高填料比条件下仍能保证混合均匀度≥95%。</w:t>
      </w:r>
    </w:p>
    <w:p w14:paraId="12C51A18">
      <w:pPr>
        <w:pStyle w:val="4"/>
      </w:pPr>
      <w:r>
        <w:t>2.3 压力与液位控制组件</w:t>
      </w:r>
    </w:p>
    <w:p w14:paraId="0B3B9E2F">
      <w:r>
        <w:t>17.1料罐的压力与液位控制组件是保障安全生产与连续运行的关键系统。压力控制部分由顶置安全阀、减压阀、手动排气阀及压力变送器组成。安全阀采用TÜV认证的弹簧式结构，设定开启压力0.35MPa，当罐内压力异常升高时自动排气泄压，防止超压事故；减压阀进口连接氮气源，出口压力调节范围0~12bar，通过压力表实时显示，用于在补料阶段建立预压环境（通常设定0.2~0.3bar），确保物料在压力差作用下平稳输送；手动排气阀为1/4英寸球阀结构，用于设备检修时释放罐内残余压力，阀体材质为不锈钢，密封面采用PTFE材料，确保无泄漏。液位监测装置包括两套独立系统：一是振动频率式液位开关，上下位各安装1个，通过检测物料对探头振动频率的阻尼效应实现液位点控制，下位开关触发补料信号，上位开关切断进料并发出声光报警；二是容积式液位棒，采用磁致伸缩原理，测量范围0~2000mm，精度±1mm，可实时连续监测液位变化，数据通过4~20mA信号传输至控制系统。两套系统形成冗余设计，确保液位控制可靠性，其中超高位开关（较上位开关高100mm）作为最终安全保障，触发时直接切断进料泵电源。</w:t>
      </w:r>
    </w:p>
    <w:p w14:paraId="170D0AE3">
      <w:pPr>
        <w:pStyle w:val="4"/>
      </w:pPr>
      <w:r>
        <w:t>2.4 温度控制组件与加热系统</w:t>
      </w:r>
    </w:p>
    <w:p w14:paraId="783EE440">
      <w:r>
        <w:t>温度控制组件通过夹套加热与精准温控回路，实现对罐内物料温度的稳定控制，主要包括加热单元、温度检测单元及控制执行单元。加热单元采用电加热管与导热油循环结合的方式，夹套内安装6组U型电加热管，单组功率2kW，总功率12kW，加热管材质为不锈钢316L，表面负荷≤3W/cm²，确保长期使用无结垢。导热油循环泵为齿轮泵，流量25m³/h，扬程15m，使夹套内导热油流速达到0.8m/s，保证加热均匀性。温度检测单元配置两支PT100铂电阻传感器，一支插入罐内物料中（测量端距罐底200mm），直接检测物料温度；另一支安装于夹套出口管道，监测媒质温度，两支传感器测量范围均为-50~200℃，精度±0.5℃，形成温度闭环控制的双重反馈。控制执行单元采用西门子S7-1200 PLC与PID调节模块，通过比较设定温度与实测温度的偏差，输出0~10V信号控制固态继电器，调节加热管功率。系统支持梯度升温模式，可按预设工艺曲线（如60℃×30min→75℃×60min）自动执行，且具备温度偏差补偿功能，当环境温度波动超过5℃时，PID参数自动整定，确保在不同季节均能维持±1℃的控温精度。实践表明，当温度控制偏差超过2℃时，混合料粘度变化可达±15%，直接影响后续浇注流动性，因此该高精度温控系统对保障产品质量至关重要。</w:t>
      </w:r>
    </w:p>
    <w:p w14:paraId="569FB4B2">
      <w:pPr>
        <w:pStyle w:val="3"/>
      </w:pPr>
      <w:r>
        <w:t>三、机械原理与工作过程</w:t>
      </w:r>
    </w:p>
    <w:p w14:paraId="4A7E8C5E">
      <w:pPr>
        <w:pStyle w:val="4"/>
      </w:pPr>
      <w:r>
        <w:t>3.1 机械传动原理</w:t>
      </w:r>
    </w:p>
    <w:p w14:paraId="63538BC4">
      <w:r>
        <w:t>17.1料罐搅拌系统的机械传动原理基于“电机-减速器-联轴器-搅拌轴”的动力传递链，实现搅拌头的稳定旋转与转速调节。电机输出轴通过V型皮带与减速器输入轴连接，皮带轮直径比1:3，可初步降低转速并缓冲启动冲击；减速器采用硬齿面行星齿轮结构，齿轮材料20CrMnTi，经渗碳淬火处理，齿面硬度HRC58~62，啮合精度GB/T 10095.2 6级，确保传动效率≥96%。减速器输出轴通过梅花形弹性联轴器与搅拌轴连接，联轴器允许径向偏差0.2mm、角向偏差1°，可补偿安装误差，避免轴系承受附加弯矩。搅拌轴下端通过键连接与搅拌头固定，轴上端安装机械密封组件，动环采用碳化硅材质，静环采用石墨浸渍巴氏合金，在弹簧预紧力作用下形成密封面，密封面比压0.3~0.5MPa，确保在真空度≤50Pa时无泄漏。为实现搅拌转速调节，电机电源端配置矢量型变频器，通过改变输出频率（1~50Hz）调节电机转速，进而使搅拌头转速在30~100min⁻¹范围内连续可调。传动系统设计寿命10000小时，其中轴承选用SKF品牌深沟球轴承，额定动载荷≥50kN，理论寿命≥20000小时，实际运行中需每5000小时补充锂基润滑脂（型号2#）。</w:t>
      </w:r>
    </w:p>
    <w:p w14:paraId="46FE3837">
      <w:pPr>
        <w:pStyle w:val="4"/>
      </w:pPr>
      <w:r>
        <w:t>3.2 搅拌工作原理</w:t>
      </w:r>
    </w:p>
    <w:p w14:paraId="491D9908">
      <w:r>
        <w:t>搅拌系统通过“螺旋提升-薄膜分散-扇页搅拌”的协同机制，实现高填料比混合料的均匀混合与高效脱气。工作时，螺旋提料器在搅拌轴带动下旋转，其螺旋面将罐底物料沿轴向向上输送，输送量与转速成正比（转速50min⁻¹时输送量约800L/h）。物料被提升至脱气伞顶部后，沿伞面均匀分布并通过伞面小孔下落，形成0.5~1mm厚的薄膜，该过程可使物料与真空环境的接触面积增大10倍以上，显著提升脱气效率。下落的物料进入扇页分散盘作用区域，4片倾斜叶片以5~15rpm转速旋转，对物料产生径向推力与轴向升力的复合作用，一方面将团聚的填料颗粒打散（分散度可达90%以上），另一方面使罐内物料形成整体循环流动（循环量约3次/分钟），避免局部混合不均。对于填料与树脂4:1的高配比体系，该搅拌结构可在30分钟内使混合均匀度达到95%以上，且搅拌过程中物料温升≤3℃，避免因剪切生热导致树脂提前固化。通过调节搅拌转速（30~100min⁻¹），可适配不同粒径（1~50μm）填料的搅拌需求，粒径较小时（如1~10μm）采用较低转速（30~50min⁻¹），防止过度剪切导致填料结构破坏；粒径较大时（如30~50μm）采用较高转速（80~100min⁻¹），确保分散效果。</w:t>
      </w:r>
    </w:p>
    <w:p w14:paraId="0E817D87">
      <w:pPr>
        <w:pStyle w:val="4"/>
      </w:pPr>
      <w:r>
        <w:t>3.3 真空脱气技术原理</w:t>
      </w:r>
    </w:p>
    <w:p w14:paraId="00903403">
      <w:r>
        <w:t>真空脱气技术通过降低罐内压力，使混合料中的气泡在压差作用下膨胀逸出，结合搅拌形成的薄膜效应，实现高效脱气。17.1料罐的真空系统由真空抽气单元、真空测量单元及真空控制单元组成。真空抽气单元采用双级旋片真空泵组，前级泵为2XZ-4型旋片真空泵，抽速4L/s，极限真空≤0.06Pa；罗茨泵为ZJ-30型，抽速30L/s，极限真空≤0.01Pa，两者串联可实现≤50Pa的工作真空度，抽气速率≥10m³/h。真空管道直径DN50，采用不锈钢材质，法兰连接处使用氟橡胶垫片密封，管道上安装真空蝶阀，响应时间≤1秒，可快速切断或接通真空通路。真空测量单元采用电容式真空计，测量范围1~100000Pa，精度±5%FS，实时监测罐内真空度变化。脱气过程中，罐内压力从常压降至50Pa的时间≤15分钟，保压30~60分钟，期间通过观察窗观察气泡逸出情况，当无连续气泡产生时判定脱气完成。薄膜脱气效应是提升脱气效率的关键：物料经脱气伞分散形成的薄膜，使气泡扩散路径缩短至0.5~1mm，根据斯托克斯定律，气泡上升速度与半径平方成正比，薄膜状态下小气泡（直径≤50μm）的逸出时间从传统搅拌的2小时缩短至30分钟以内，显著提升生产效率。</w:t>
      </w:r>
    </w:p>
    <w:p w14:paraId="3DBEEB32">
      <w:pPr>
        <w:pStyle w:val="4"/>
      </w:pPr>
      <w:r>
        <w:t>3.4 加热与温度调节原理</w:t>
      </w:r>
    </w:p>
    <w:p w14:paraId="56FF4300">
      <w:r>
        <w:t>17.1料罐的加热与温度调节基于夹套传热与PID闭环控制原理，通过精准调节加热功率实现物料温度的稳定控制。加热过程中，夹套内的导热油被电加热管加热至设定温度，通过循环泵在夹套与外部油炉之间循环流动，热量通过内层罐壁以传导方式传递给物料。根据傅里叶定律，传热速率Q=K·A·ΔT，其中传热系数K主要取决于导热油流速与罐壁材质，在本设备中K值约为300W/(m²·℃)；传热面积A为内层罐体表面积；ΔT为导热油与物料的温度差。控制系统通过调节ΔT实现对传热速率的控制：当物料温度低于设定值时，增大ΔT（提高导热油温度）；当接近设定值时，减小ΔT，避免超调。温度调节采用PID控制算法，PLC根据PT100传感器反馈的物料温度与设定值的偏差（e=设定值-实测值），计算输出控制量（MV），通过固态继电器调节加热管的导通时间（占空比控制）。PID参数自整定功能可根据物料特性（如粘度、比热容）自动优化比例系数（P）、积分时间（I）和微分时间（D），通常在空载调试时完成初整定，带料运行时进行微调。双重温度监测（物料温度与导热油温度）形成保护机制：当两者温差超过10℃时，系统判定为传热异常，自动停止加热并报警，防止局部过热导致物料变质。</w:t>
      </w:r>
    </w:p>
    <w:p w14:paraId="6C6805DF">
      <w:pPr>
        <w:pStyle w:val="4"/>
      </w:pPr>
      <w:r>
        <w:t>3.5 典型工作流程详解</w:t>
      </w:r>
    </w:p>
    <w:p w14:paraId="75BFA43B">
      <w:r>
        <w:t>17.1料罐的典型工作流程按“初始化-进料-搅拌脱气-恒温静置-出料”五个阶段循环运行，各阶段协同配合实现混合料预处理。初始化阶段：设备启动后，PLC首先执行安全检查，确认罐内压力为常压、液位低于下位开关、搅拌电机处于停止状态。随后打开底部放空阀20秒，限位开关检测到阀门全开信号后，关闭放空阀，完成料罐清空确认。进料阶段：根据预设配方（可存储100组以上），PLC控制相应进料泵启动，树脂与填料按设定比例（如树脂25kg:填料100kg）进入罐内。进料过程中维持罐内预压0.2bar（通过减压阀调节），防止外部空气进入。当液位达到上位开关时，PLC发出信号关闭进料泵，进料时间通常为15~30分钟，具体取决于物料粘度与输送流量。搅拌脱气阶段：进料完成后，搅拌电机启动，转速从30min⁻¹逐渐升至80min⁻¹（阶梯式升速，每次升速间隔5分钟），同时真空泵组启动，罐内真空度按“常压→1000Pa（保持5min）→500Pa（保持5min）→50Pa（保持40min）”的曲线下降。搅拌与真空脱气协同进行，期间通过观察窗观察气泡逸出情况，当连续5分钟无明显气泡时，可提前结束脱气。恒温静置阶段：关闭真空泵，保持搅拌转速30min⁻¹，维持物料温度65~80℃，静置10~15分钟，使微小气泡进一步聚合逸出，同时让混合料粘度稳定。出料阶段：PLC打开底部气动出料阀，混合料在0.2bar预压作用下输送至终混浇注罐，液位下降至中液位开关时关闭搅拌电机，降至低液位开关后延迟2秒关闭出料阀，完成一次循环。若选择连续模式，系统自动返回进料阶段开始下一批次处理；若为单次模式，则停留在初始状态等待指令。</w:t>
      </w:r>
    </w:p>
    <w:p w14:paraId="3EB6DFD4">
      <w:pPr>
        <w:pStyle w:val="3"/>
      </w:pPr>
      <w:r>
        <w:t>四、控制系统原理与操作逻辑</w:t>
      </w:r>
    </w:p>
    <w:p w14:paraId="7170E004">
      <w:pPr>
        <w:pStyle w:val="4"/>
      </w:pPr>
      <w:r>
        <w:t>4.1 控制系统架构</w:t>
      </w:r>
    </w:p>
    <w:p w14:paraId="74C50A8C">
      <w:r>
        <w:t>17.1料罐的控制系统采用“PLC+工控机”二级架构，实现对设备运行的实时监控与精准控制。底层控制单元选用西门子S7-1214C DC/DC/DC型PLC，配备14点数字量输入、10点数字量输出、4点模拟量输入及2点模拟量输出模块，可扩展至256点I/O，满足设备控制需求。PLC负责采集现场传感器信号（温度、压力、液位、电机状态等），执行逻辑运算与控制算法，驱动电磁阀、电机等执行元件动作，核心控制周期≤10ms。上层监控单元采用研华IPC-610L工控机，配置Intel Core i5处理器、8GB内存及512GB固态硬盘，安装WinCC组态软件，实现工艺参数设置、实时数据显示、报警记录及趋势曲线绘制等功能。PLC与工控机通过Profinet总线通讯，通讯速率100Mbps，数据更新周期≤100ms，确保监控数据的实时性。控制系统还包括现场操作箱，设有急停按钮、手动/自动切换开关、关键设备启停按钮及指示灯，用于现场应急操作与状态指示。外部设备接口方面，系统配备USB接口、以太网接口及RS485接口，可实现数据导出、远程监控及与工厂MES系统的数据交互，支持工业4.0升级需求。</w:t>
      </w:r>
    </w:p>
    <w:p w14:paraId="14740CA1">
      <w:pPr>
        <w:pStyle w:val="4"/>
      </w:pPr>
      <w:r>
        <w:t>4.2 传感器与检测元件原理</w:t>
      </w:r>
    </w:p>
    <w:p w14:paraId="200CFF3F">
      <w:r>
        <w:t>17.1料罐的传感器与检测元件是控制系统感知设备状态的“神经末梢”，主要包括温度、压力、液位及电机状态检测四类。温度传感器采用PT100铂电阻，其工作原理基于金属铂的电阻值随温度变化的特性：在-200~650℃范围内，电阻值与温度近似呈线性关系，Rt=R0(1+αT+βT²)，其中R0为0℃时的电阻值（100Ω），α=3.9083×10⁻³℃⁻¹，β=-5.775×10⁻⁷℃⁻²。传感器采用三线制接法，可消除导线电阻对测量精度的影响，信号经PLC模拟量输入模块转换为数字量，分辨率16位，对应温度测量精度±0.5℃。压力传感器为扩散硅式，核心元件是半导体应变片，当压力作用于膜片时，应变片电阻变化，通过惠斯通电桥将压力信号转换为4~20mA电流信号，测量范围-0.1~1MPa，精度±0.5%FS，用于监测罐内压力与氮气预压。液位传感器分为开关量与模拟量两类：振动频率式液位开关内置压电晶体，激励后产生固有频率振动，当物料接触探头时，频率发生变化，通过检测频率偏移触发开关信号；磁致伸缩液位计则通过测量脉冲电流在波导丝上产生的磁致伸缩波的传播时间，计算液位高度，实现连续测量。电机状态检测通过热继电器与电流互感器实现，热继电器监测电机过载情况，电流互感器将电机电流转换为0~5A信号，经变送器输出4~20mA至PLC，实现过流保护与负载监控。</w:t>
      </w:r>
    </w:p>
    <w:p w14:paraId="6B34CB55">
      <w:pPr>
        <w:pStyle w:val="4"/>
      </w:pPr>
      <w:r>
        <w:t>4.3 自动化操作逻辑与联锁控制</w:t>
      </w:r>
    </w:p>
    <w:p w14:paraId="666BE0CA">
      <w:r>
        <w:t>17.1料罐的自动化操作逻辑基于“条件触发-动作执行-状态反馈”的循环机制，通过PLC程序实现各工艺阶段的有序切换，同时设置多重联锁保护确保设备安全运行。初始化阶段逻辑：系统启动后，PLC依次检测急停按钮状态（正常时闭合）、电源电压（380V±10%）、气源压力（≥0.6MPa）及各阀门初始位置（放空阀、进料阀、出料阀均处于关闭状态），所有条件满足时，初始化完成，否则发出相应报警。进料阶段逻辑：操作员选择配方后，PLC根据配方参数（如物料种类、配比、目标量）控制进料阀开启，同时启动进料泵。进料过程中，实时监测液位与流量，当液位达到设定值或流量累计达到目标量时，关闭进料泵与进料阀。若进料超时（超过理论时间2倍）或液位未按预期上升，系统判定为进料异常，自动停止并报警。搅拌脱气阶段逻辑：进料完成后，PLC先启动搅拌电机（按预设转速曲线升速），5秒后启动真空泵组，真空蝶阀逐渐打开（避免压力骤降导致物料飞溅）。真空度达到设定值后，开始计时保压，期间若真空度波动超过±10Pa，PLC自动调节真空泵运行状态（如启停罗茨泵）。若保压期间真空度持续下降（漏率&gt;30Pa·L/s），系统判定为真空系统故障，停止脱气并报警。安全联锁控制是操作逻辑的核心部分，主要包括：超压联锁（罐内压力&gt;0.35MPa时，安全阀动作并切断加热电源）、超温联锁（物料温度&gt;100℃时，停止加热并启动冷却系统）、液位联锁（超高位液位触发时，切断进料泵电源并打开放空阀）、电机过载联锁（电机电流&gt;1.2倍额定值时，热继电器动作切断电源）。所有联锁动作均在PLC程序中设置为“硬逻辑”，确保响应时间&lt;100ms。</w:t>
      </w:r>
    </w:p>
    <w:p w14:paraId="5564E3ED">
      <w:pPr>
        <w:pStyle w:val="4"/>
      </w:pPr>
      <w:r>
        <w:t>4.4 人机交互界面与操作流程</w:t>
      </w:r>
    </w:p>
    <w:p w14:paraId="43DB3EBB">
      <w:r>
        <w:t>人机交互界面（HMI）是操作员与设备控制系统之间的信息交互窗口，采用10.1英寸触摸屏（分辨率1280×800），基于WinCC Flexible软件组态，界面布局分为工艺参数区、状态监控区、报警信息区及功能按钮区四部分。工艺参数区位于界面左侧，显示当前批次的关键参数，如目标温度（65~80℃可调）、搅拌转速（30~100min⁻¹可调）、真空度（≤50Pa）、脱气时间（30~60分钟可调）及物料配比，参数修改需输入密码（操作员级、工程师级、管理员级三级权限），防止误操作。状态监控区位于界面中央，以动画方式实时显示设备运行状态，包括各阀门开闭、电机运行、真空泵工作状态及液位变化趋势，温度、压力等关键参数以数字与趋势曲线双重方式呈现，趋势曲线可查看实时数据与历史数据（存储周期1分钟，保留3个月）。报警信息区位于界面下方，按优先级（红色紧急报警、黄色一般报警、蓝色提示信息）显示最近100条报警记录，每条记录包含时间、类型、描述及处理建议，点击报警记录可查看详细帮助文档。功能按钮区位于界面右侧，包含“手动/自动”切换、“启动/停止”、“急停复位”、“参数设置”、“配方管理”等按钮，自动模式下点击“启动”后，设备按预设流程自动运行；手动模式下，可单独操作各执行元件（如点动搅拌电机、开关阀门），用于设备调试与维护。操作流程遵循“先手动后自动”原则：新配方首次使用时，先在手动模式下测试各环节动作，确认无误后切换至自动模式运行，确保工艺稳定性。</w:t>
      </w:r>
    </w:p>
    <w:p w14:paraId="129A4970">
      <w:pPr>
        <w:pStyle w:val="3"/>
      </w:pPr>
      <w:r>
        <w:t>五、常见故障类型与成因分析</w:t>
      </w:r>
    </w:p>
    <w:p w14:paraId="3E0CD5BB">
      <w:pPr>
        <w:pStyle w:val="4"/>
      </w:pPr>
      <w:r>
        <w:t>5.1 真空度不足故障</w:t>
      </w:r>
    </w:p>
    <w:p w14:paraId="1097A060">
      <w:r>
        <w:t>真空度不足是17.1料罐运行中最常见的故障类型之一，主要表现为脱气后混合料气孔超标（浇注体表面气孔&gt;3个/㎡或内部气孔直径&gt;0.5mm），直接影响产品绝缘性能。其成因可从真空系统密封性、真空泵性能及工艺操作三个维度分析。真空系统密封性问题：管道法兰连接处密封垫片老化（氟橡胶垫片使用寿命约8000小时），导致接口泄漏；机械密封组件磨损，动环与静环之间出现间隙（正常密封面间隙应≤0.01mm），物料泄漏的同时外部空气渗入；真空蝶阀阀板与阀座之间有异物（如固化物料颗粒），导致阀门无法完全关闭，形成泄漏通道。真空泵性能下降：真空泵油污染（混入水分或物料），粘度从ISO VG100升至150以上，降低泵的抽气效率；泵内旋片磨损（厚度磨损量&gt;0.5mm）或弹簧失效，导致压缩腔密封不良；气镇阀未关闭或损坏，空气从气镇口进入泵体。工艺操作因素：脱气前物料温度过低（&lt;60℃），粘度偏高（&gt;1000mPa·s），气泡难以逸出；真空度下降速度过快（从常压降至50Pa时间&lt;5分钟），物料飞溅堵塞真空管道；脱气伞安装位置偏移（与搅拌轴同轴度偏差&gt;0.5mm），物料分散不均，影响薄膜脱气效果。通过真空度保压测试可初步判断故障原因：关闭真空蝶阀，若真空度在10分钟内下降≤50Pa，说明泄漏主要来自真空泵；若下降&gt;100Pa，则泄漏点在管道或罐体密封部位。</w:t>
      </w:r>
    </w:p>
    <w:p w14:paraId="12690856">
      <w:pPr>
        <w:pStyle w:val="4"/>
      </w:pPr>
      <w:r>
        <w:t>5.2 物料输送与搅拌故障</w:t>
      </w:r>
    </w:p>
    <w:p w14:paraId="7DB0F173">
      <w:r>
        <w:t>物料输送与搅拌故障主要表现为出料流量波动（偏差&gt;±5%）、搅拌异响（异常噪音&gt;85dB）或搅拌轴卡死，直接影响生产连续性与混合料均匀性。物料输送故障的成因包括：出料阀气动执行器故障，如气缸密封圈磨损导致动作缓慢（响应时间&gt;1秒），或电磁阀线圈烧毁无法换向；管道堵塞，高填料比（&gt;4:1）混合料在低温（&lt;65℃）下粘度升高，易在管道弯头处堆积，严重时形成“桥堵”；计量系统误差，电子秤传感器漂移（零点偏移&gt;0.1%FS）或接线松动，导致实际出料量与设定值偏差&gt;1%。搅拌系统故障的主要原因：搅拌轴弯曲（直线度偏差&gt;0.2mm/m），运行时产生径向跳动，与罐体内部部件摩擦产生异响；螺旋叶片粘料，长期运行后物料在叶片表面固化（尤其停机后未及时清洗时），改变叶片几何形状，破坏物料提升路径；电机轴承缺油或损坏，轴承游隙&gt;0.1mm，运行时产生周期性振动，振动频率与电机转速一致（1450Hz）；减速箱齿轮磨损，齿面出现点蚀或胶合，啮合间隙&gt;0.2mm，导致传动冲击增大，发出“咔咔”异响。填料特性对搅拌故障的影响不容忽视：当硅微粉粒径分布异常（&lt;1μm超细粉占比&gt;10%）时，易形成团聚体，团聚体进入搅拌系统后可能卡滞螺旋提料器，导致电机过载（电流&gt;1.5倍额定值）。</w:t>
      </w:r>
    </w:p>
    <w:p w14:paraId="303C9B73">
      <w:pPr>
        <w:pStyle w:val="4"/>
      </w:pPr>
      <w:r>
        <w:t>5.3 温度控制故障</w:t>
      </w:r>
    </w:p>
    <w:p w14:paraId="7743B463">
      <w:r>
        <w:t>温度控制故障表现为物料实际温度与设定值偏差超过±2℃，或温度波动频繁（短时间内波动&gt;±3℃），直接导致混合料粘度不稳定，影响后续浇注工艺。其成因可分为传感器故障、加热系统故障及控制算法问题三类。传感器故障：PT100铂电阻接线松动或接触不良，信号传输过程中引入干扰，显示温度跳变；传感器插入深度不足（未达到物料中心区域），测量值仅反映表层物料温度，与实际温度偏差&gt;5℃；传感器老化，电阻值与温度的线性关系偏差&gt;1%，导致测量精度下降。加热系统故障：电加热管损坏（单组或多组加热管断路），加热功率不足，升温速率下降（从常温升至80℃时间&gt;60分钟，正常为30分钟）；导热油循环泵故障，叶轮磨损或电机转速下降，循环流量&lt;15m³/h，导致夹套内导热油流动不均，罐内温度分布偏差&gt;±3℃；夹套结垢，长期使用后导热油中的胶质在夹套内壁沉积（厚度&gt;1mm），热阻增大，传热效率下降20%以上。控制算法问题：PID参数设置不合理，比例系数（P）过大导致温度超调严重，积分时间（I）过长导致响应缓慢，微分时间（D）过小无法抑制干扰；温控系统存在滞后特性（纯滞后时间&gt;5分钟），传统PID控制难以消除滞后带来的波动；环境温度剧烈变化（如夏季车间温度40℃，冬季10℃），未及时调整PID参数，导致不同季节温度控制精度差异&gt;±2℃。温度偏差对物料性能的影响显著：当温度低于65℃时，混合料粘度&gt;900mPa·s，流动性变差，浇注时易出现填充不满；高于80℃时，树脂提前固化反应，适用期缩短（从4小时降至2小时），影响生产调度。</w:t>
      </w:r>
    </w:p>
    <w:p w14:paraId="4651664D">
      <w:pPr>
        <w:pStyle w:val="4"/>
      </w:pPr>
      <w:r>
        <w:t>5.4 液位与压力异常故障</w:t>
      </w:r>
    </w:p>
    <w:p w14:paraId="696F90D3">
      <w:r>
        <w:t>液位与压力异常故障主要表现为液位开关误触发（无物料时触发或有物料时不触发）、罐内压力骤升骤降或压力调节失灵，可能导致进料过量溢出、物料输送中断或设备超压风险。液位开关误触发的成因：振动频率式液位开关探头粘料，物料覆盖探头表面导致振动频率变化，触发误动作；液位开关接线受潮，绝缘电阻&lt;1MΩ，引入电磁干扰，信号误判；安装位置不当，低位开关靠近搅拌轴，搅拌产生的涡流导致液位波动，触发开关频繁通断。压力异常的主要原因：减压阀故障，弹簧疲劳失效或阀芯卡涩，导致出口压力无法稳定在设定值（波动&gt;±0.5bar）；排气阀堵塞，手动排气阀长期未操作导致阀芯锈死，或管道内物料固化堵塞排气通道，罐内气体无法排出，压力逐渐升高；氮气源压力波动，外部气源压力从0.8MPa骤降至0.4MPa，减压阀无法及时补偿，导致罐内预压不足，影响物料输送。超高位液位开关失效是最严重的液位异常故障，其成因包括：开关探头损坏（如内部压电晶体断裂）、接线错误（信号线与电源线短路）或程序逻辑错误（PLC未正确读取开关信号）。该故障若未及时发现，可能导致物料从罐体顶部溢出，引发设备污染与安全事故。压力骤升的危害尤为突出：当罐内压力超过0.35MPa时，安全阀虽会动作，但高压可能导致夹套变形（椭圆度偏差&gt;5mm），影响后续温度控制均匀性。</w:t>
      </w:r>
    </w:p>
    <w:p w14:paraId="0CF4E5FA">
      <w:pPr>
        <w:pStyle w:val="4"/>
      </w:pPr>
      <w:r>
        <w:t>5.5 电气控制系统故障</w:t>
      </w:r>
    </w:p>
    <w:p w14:paraId="6F25C75D">
      <w:r>
        <w:t>电气控制系统故障表现为PLC无响应、人机界面通讯中断、传感器信号丢失或执行元件不动作，直接导致设备停机或失控运行。PLC无响应的成因：电源模块故障，输入电压波动超过±15%，或模块内部电容鼓包，无法提供稳定直流电源；CPU模块程序丢失或损坏（如电池电量不足，断电后程序保存失败）；I/O模块损坏，数字量输入模块光电耦合器老化，无法正确检测外部开关信号；模拟量输入模块A/D转换电路故障，采集信号失真（与实际值偏差&gt;10%）。通讯中断故障：PLC与触摸屏之间的以太网电缆接触不良或断线，通讯指示灯闪烁（正常时常亮）；交换机故障，数据传输丢包率&gt;1%；通讯协议设置错误（如IP地址冲突或端口号错误），导致数据无法正常交互。传感器信号丢失：信号线断路或短路，万用表测量信号回路电阻&gt;100Ω（正常应&lt;50Ω）；传感器供电电源故障（如24V直流电源输出电压&lt;22V），传感器无法正常工作；电磁干扰，信号线与动力电缆并行敷设（间距&lt;300mm），引入50Hz工频干扰，信号波形畸变。执行元件不动作：电磁阀线圈烧毁（直流电阻&lt;50Ω或无穷大），无法产生磁场驱动阀芯；继电器触点氧化或粘连，无法接通执行元件电源；PLC输出模块继电器故障，触点无法吸合，输出信号为“1”但无电压输出。电气控制系统故障的排查需遵循“从简单到复杂”的原则，先检查外部接线与电源，再逐步排查模块与程序，借助PLC诊断功能（如故障代码、输入输出状态监控）可快速定位故障点。</w:t>
      </w:r>
    </w:p>
    <w:p w14:paraId="4557C2C2">
      <w:pPr>
        <w:pStyle w:val="3"/>
      </w:pPr>
      <w:r>
        <w:t>六、故障诊断与维护对策</w:t>
      </w:r>
    </w:p>
    <w:p w14:paraId="3A53EEF7">
      <w:pPr>
        <w:pStyle w:val="4"/>
      </w:pPr>
      <w:r>
        <w:t>6.1 故障诊断流程与工具</w:t>
      </w:r>
    </w:p>
    <w:p w14:paraId="1A79508D">
      <w:r>
        <w:t>17.1料罐的故障诊断需遵循“症状收集-系统分析-精准定位-验证修复”的标准化流程，结合专业工具与检测方法，提高故障处理效率。症状收集阶段：操作员需详细记录故障发生时间、现象（如异常声音、报警信息、参数变化）、当时工况（如工艺阶段、物料种类、环境条件）及近期操作记录（如是否更换过部件、调整过参数）。例如，“真空度不足”故障需记录故障发生在脱气阶段的哪个时刻（初期抽真空还是保压阶段）、真空度下降速率（Pa/min）及是否伴随异响。系统分析阶段：根据故障现象初步判断涉及的系统，如真空度不足对应真空系统，温度偏差对应温控系统，再依据系统组成（泵、阀、传感器、控制器）逐一排查可能的故障点。采用“排除法”缩小范围：若真空度不足，先关闭真空蝶阀测试真空泵单独运行时的真空度，若达标则排除泵故障，重点检查管道与密封；若不达标则确认泵故障。精准定位阶段：使用专业工具检测关键参数，真空系统采用真空计（精度±0.01mbar）分段检测管道各部位的真空度，判断泄漏点；温控系统使用红外热像仪检测夹套表面温度分布，识别加热不均区域；机械系统使用内窥镜检查罐内搅拌部件磨损情况，或用振动分析仪测量电机振动频谱（判断轴承故障频率）。验证修复阶段：更换或修复疑似故障部件后，进行小范围测试，观察故障是否消除。例如，更换机械密封后，重新抽真空并保压30分钟，若真空度下降≤50Pa，说明修复有效。常用诊断工具包括：数字万用表（测量电压、电流、电阻，判断电路通断与元件好坏）、示波器（观察传感器信号波形，检测干扰情况）、真空检漏仪（氦质谱检漏仪，最小可检测漏率1×10⁻¹²Pa·m³/s）、便携式粘度计（测量混合料粘度，判断温度控制效果）、超声波流量计（检测导热油循环流量）。</w:t>
      </w:r>
    </w:p>
    <w:p w14:paraId="58F79E9B">
      <w:pPr>
        <w:pStyle w:val="4"/>
      </w:pPr>
      <w:r>
        <w:t>6.2 典型故障排除实例</w:t>
      </w:r>
    </w:p>
    <w:p w14:paraId="4C1B571E">
      <w:pPr>
        <w:pStyle w:val="5"/>
      </w:pPr>
      <w:r>
        <w:t>实例一：真空度不足故障排除</w:t>
      </w:r>
    </w:p>
    <w:p w14:paraId="1042BF0C">
      <w:r>
        <w:t>故障现象：脱气阶段真空度最高只能达到200Pa，无法降至设定值50Pa，保压10分钟后真空度降至300Pa。</w:t>
      </w:r>
    </w:p>
    <w:p w14:paraId="2A91CC05">
      <w:r>
        <w:t>排查步骤：1. 关闭真空蝶阀，启动真空泵组，单独测试真空泵性能，30分钟后真空度达到10Pa，说明真空泵正常，故障在真空系统外部。2. 检查罐体密封部位：打开罐顶人孔，观察机械密封组件，发现动环表面有划痕（深度&gt;0.1mm），判断为机械密封泄漏。3. 检查管道连接：用肥皂水涂抹各法兰连接处，未发现气泡产生，排除管道泄漏。4. 检查真空蝶阀：拆卸阀门发现阀板上粘有固化物料（直径约5mm），导致阀门无法完全关闭，存在微小间隙。</w:t>
      </w:r>
    </w:p>
    <w:p w14:paraId="3C4BEE4C">
      <w:r>
        <w:t>修复措施：1. 更换机械密封组件，新密封件安装时涂抹真空硅脂，压缩量控制在3~5mm。2. 清理真空蝶阀阀板与阀座，用细砂纸（800目）打磨密封面，确保贴合度&gt;95%。3. 重新组装后进行真空测试：抽真空至50Pa，保压30分钟，真空度下降≤30Pa，故障排除。</w:t>
      </w:r>
    </w:p>
    <w:p w14:paraId="3F8CEA2B">
      <w:pPr>
        <w:pStyle w:val="5"/>
      </w:pPr>
      <w:r>
        <w:t>实例二：搅拌异响故障排除</w:t>
      </w:r>
    </w:p>
    <w:p w14:paraId="72C97AD6">
      <w:r>
        <w:t>故障现象：搅拌电机启动后发出周期性“嗡嗡”异响，振动幅值达0.5mm/s（正常≤0.2mm/s），随着转速升高异响加剧。</w:t>
      </w:r>
    </w:p>
    <w:p w14:paraId="59571D57">
      <w:r>
        <w:t>排查步骤：1. 停机检查搅拌轴径向跳动：用百分表测量轴上端与下端的径向跳动，上端0.1mm，下端0.3mm，超过允许值（0.2mm/m），判断搅拌轴弯曲。2. 检查电机轴承：用听诊器贴近电机前后轴承盖，听到“沙沙”摩擦声，测量轴承温度75℃（环境温度30℃，正常温升≤40℃），判断轴承损坏。3. 检查减速箱：打开减速箱油位计，观察油液呈褐色且有金属碎屑，判断齿轮磨损。</w:t>
      </w:r>
    </w:p>
    <w:p w14:paraId="7B40A87B">
      <w:r>
        <w:t>修复措施：1. 更换搅拌轴，新轴安装后校直，确保直线度≤0.1mm/m。2. 更换电机轴承，型号6308，游隙C3，安装时加热至80℃热套，避免硬敲。3. 更换减速箱齿轮油（型号N320极压齿轮油），清洗油箱并检查齿轮磨损情况，发现齿面轻微点蚀，可继续使用，建议运行500小时后再次检查。4. 重新启动搅拌电机，异响消失，振动幅值降至0.15mm/s，故障排除。</w:t>
      </w:r>
    </w:p>
    <w:p w14:paraId="38234E55">
      <w:pPr>
        <w:pStyle w:val="5"/>
      </w:pPr>
      <w:r>
        <w:t>实例三：温度偏差故障排除</w:t>
      </w:r>
    </w:p>
    <w:p w14:paraId="071AE199">
      <w:r>
        <w:t>故障现象：设定温度75℃，实际物料温度稳定在72℃，偏差-3℃，加热功率已调至100%。</w:t>
      </w:r>
    </w:p>
    <w:p w14:paraId="54F74CDF">
      <w:r>
        <w:t>排查步骤：1. 检查PT100传感器：用标准电阻箱模拟75℃对应的电阻值（130.20Ω），PLC显示75℃，说明传感器与线路正常。2. 检查加热系统：测量各加热管电阻，发现其中两组加热管断路（电阻无穷大），总加热功率从12kW降至8kW。3. 检查导热油循环：用超声波流量计测量循环流量，仅12m³/h（设计25m³/h），检查循环泵发现叶轮有异物堵塞（一块脱落的保温棉）。</w:t>
      </w:r>
    </w:p>
    <w:p w14:paraId="6FCAFCB7">
      <w:r>
        <w:t>修复措施：1. 更换两组损坏的加热管，功率2kW/组，安装时确保接线牢固，绝缘电阻≥1MΩ。2. 拆卸循环泵，清理叶轮异物，检查泵轴密封，更换磨损的机械密封件。3. 启动加热系统，测量循环流量恢复至25m³/h，物料温度逐渐升至75℃，偏差≤±0.5℃，故障排除。</w:t>
      </w:r>
    </w:p>
    <w:p w14:paraId="48A04F59">
      <w:pPr>
        <w:pStyle w:val="4"/>
      </w:pPr>
      <w:r>
        <w:t>6.3 日常维护保养规范</w:t>
      </w:r>
    </w:p>
    <w:p w14:paraId="3132B78D">
      <w:r>
        <w:t>17.1料罐的日常维护保养需制定日、周、月三级保养计划，明确保养内容、周期、责任人及验收标准，确保设备处于良好运行状态。日保养由操作工负责，内容包括：班前检查，确认气源压力（0.6~0.8MPa）、电源电压（380V±10%）、各阀门初始位置（关闭状态）及急停按钮完好；班中巡检，每小时记录一次关键参数（温度、压力、液位、搅拌转速），检查有无泄漏（法兰连接处、密封部位）、异响（电机、泵、减速机）及异味（过热或烧焦味）；班后清洁，停机后用专用清洗剂（如丙酮）清洗罐体内壁与搅拌部件（尤其更换物料或停机超过8小时时），清理观察窗玻璃上的污渍，确保视野清晰；填写《设备运行日志》，记录运行时间、故障现象及处理情况。周保养由维修电工与钳工配合完成，内容包括：检查搅拌系统，测量搅拌轴径向跳动（≤0.2mm/m），清理螺旋叶片上的粘料；检查真空系统，更换真空泵油（油位低于视镜1/2时），油质浑浊或有水分时需彻底更换；检查电气系统，紧固接线端子（扭矩2.5N·m），清洁PLC与触摸屏表面灰尘；校准关键传感器，用标准温度计校准PT100（偏差&gt;±0.5℃时调整），用标准真空计校准真空表。月保养由维修班负责，内容包括：检查机械密封组件，测量密封面磨损量（≤0.1mm时继续使用），添加密封脂；检查加热管绝缘电阻（≥1MΩ），用红外测温仪检测加热管表面温度分布；检查阀门动作情况，手动操作各气动阀，确保动作灵活，无卡滞；检查安全装置，测试安全阀起跳压力（0.35MPa），验证超温、超压联锁功能。保养完成后需填写《设备保养记录表》，由车间设备管理员验收，未达标的项目需及时整改。</w:t>
      </w:r>
    </w:p>
    <w:p w14:paraId="7954D452">
      <w:pPr>
        <w:pStyle w:val="4"/>
      </w:pPr>
      <w:r>
        <w:t>6.4 预防性维护措施</w:t>
      </w:r>
    </w:p>
    <w:p w14:paraId="1007CD97">
      <w:r>
        <w:t>预防性维护是通过定期检查、更换易损件及优化运行参数，预防故障发生，延长设备寿命的主动维护策略，主要包括关键部件寿命管理、工艺参数优化及季节性维护三方面。关键部件寿命管理：建立易损件更换周期表，机械密封组件8000小时更换，氟橡胶密封垫片6000小时更换，电机轴承12000小时更换，PLC电池20000小时更换（避免程序丢失）；对搅拌叶片、螺旋提料器等磨损件，每运行3000小时测量磨损量（叶片厚度减少≤1mm时继续使用），超过限值及时更换；定期检查罐体腐蚀情况，每2年进行一次壁厚检测（最小壁厚≥6mm），发现局部腐蚀坑深&gt;2mm时进行补焊处理。工艺参数优化：根据物料特性调整搅拌转速与脱气时间，如高粘度物料（&gt;800mPa·s）采用较低转速（50~60min⁻¹）、延长脱气时间（60分钟）；通过正交试验确定最佳温度-真空度组合，如夏季环境温度高时，适当降低设定温度（75→72℃），避免物料过热；定期校准计量系统，每季度用标准砝码校准电子秤（误差≤±0.1%），确保配比精度。季节性维护措施：夏季重点检查冷却系统，清理冷凝器翅片灰尘（用压缩空气吹扫），确保真空泵散热良好，环境温度超过35℃时开启车间通风；冬季检查保温效果，用红外热像仪检测罐体表面温度（应≥环境温度+20℃），必要时增加伴热装置；雨季检查电气柜密封性，安装除湿机（相对湿度≤60%），防止线路板受潮短路。建立设备健康档案，记录每次维护保养、故障处理及部件更换信息，通过数据分析（如故障频率、平均无故障时间）优化维护周期，对频发故障点（如机械密封泄漏）进行设计改进（如升级为磁力密封）。</w:t>
      </w:r>
    </w:p>
    <w:p w14:paraId="4B0728FD">
      <w:pPr>
        <w:pStyle w:val="4"/>
      </w:pPr>
      <w:r>
        <w:t>6.5 备品备件管理</w:t>
      </w:r>
    </w:p>
    <w:p w14:paraId="72FC6298">
      <w:r>
        <w:t>17.1料罐的备品备件管理需遵循“保障供应、合理库存、降低成本”的原则，建立科学的备件计划、采购、存储与领用流程，确保故障发生时能快速更换。备件分类与库存阈值：关键备件（影响设备运行的核心部件）包括机械密封组件、PT100传感器、真空泵油、搅拌轴，库存阈值为2套/件，确保突发故障时可立即更换；重要备件（影响生产效率的部件）包括加热管、气动阀、减速箱齿轮、电机轴承，库存阈值为1套/件；一般备件（低价值、易采购部件）包括密封垫片、O型圈、接线端子、保险丝，库存阈值为5~10件/套。备件采购流程：设备部根据维护计划与库存情况，每月编制备件需求计划，经生产部审核、分管副总批准后交采购部；采购部优先选择原厂或授权供应商，确保备件质量（如机械密封需提供材质证明与密封性能测试报告）；进口备件（如西门子PLC模块）需提前3个月采购，国产通用备件（如加热管）提前15天采购。备件存储要求：建立专用备件库，划分区域存放不同类型备件，设置标识牌（包含名称、型号、规格、入库日期、有效期）；精密备件（如传感器、PLC模块）需存放在恒温恒湿柜（温度20±5℃，湿度40~60%），避免受潮或振动；橡胶制品（如密封件、O型圈）需避光存放，远离热源（距离&gt;1m），保质期不超过2年；油品（如真空泵油、齿轮油）需密封存储，防止水分与杂质混入，存储温度5~35℃。备件领用与报废：领用备件需填写《备件领用单》，注明设备编号、故障部位及领用数量，经设备主管签字批准；更换下来的旧件进行修复评估，可修复的（如轴承清洗后重新润滑）存入“待修区”，无法修复的按危废处理（如含油抹布、废密封件）；定期盘点备件库存（每月一次），确保账物相符，对接近保质期的备件优先领用。通过ERP系统实现备件全生命周期管理，实时监控库存水平，自动生成补货提醒，提高备件管理效率。</w:t>
      </w:r>
    </w:p>
    <w:p w14:paraId="42FB65B5">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BFBF2DE"/>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BFF8250"/>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2025-10-06T19:23:31Z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A97404BF7B3A5495B3A6E3681A8B30C1_43</vt:lpwstr>
  </property>
  <property fmtid="{D5CDD505-2E9C-101B-9397-08002B2CF9AE}" pid="4" name="KSOTemplateDocerSaveRecord">
    <vt:lpwstr>eyJoZGlkIjoiNzI4YmNmYThhZjA0NTVhODllNDhjMGZiNmFkMDJjN2YiLCJ1c2VySWQiOiIxNjA5OTI0MDI0In0=</vt:lpwstr>
  </property>
</Properties>
</file>