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813AB6">
      <w:pPr>
        <w:pStyle w:val="2"/>
      </w:pPr>
    </w:p>
    <w:p w14:paraId="33CD504B">
      <w:pPr>
        <w:pStyle w:val="2"/>
      </w:pPr>
      <w:r>
        <w:t>干变浇注车间真空浇注设备计量泵技术手册</w:t>
      </w:r>
    </w:p>
    <w:p w14:paraId="5F37DF70">
      <w:pPr>
        <w:pStyle w:val="3"/>
      </w:pPr>
      <w:r>
        <w:t>一、计量泵概述与工艺定位</w:t>
      </w:r>
    </w:p>
    <w:p w14:paraId="4EE05746">
      <w:pPr>
        <w:pStyle w:val="4"/>
      </w:pPr>
      <w:r>
        <w:t>1.1 设备定义与在真空浇注工艺中的作用</w:t>
      </w:r>
    </w:p>
    <w:p w14:paraId="3DD7FC63">
      <w:r>
        <w:t>计量泵是一种能够精确控制流体输送量的容积式泵，通过机械或液压方式驱动柱塞或隔膜做往复运动，实现对流体的定量输送。在干变浇注车间的真空浇注设备中，计量泵作为填料输送的核心动力装置，承担着将环氧树脂、固化剂及各类填料（如石英粉、氧化铝等）按严格配比精准输送至混料系统的关键任务。其核心功能体现在三个维度：一是配比精度控制，确保A/B组份按工艺要求的比例（如1:1至5:1质量比）稳定输送，直接影响环氧树脂固化反应的均匀性，某设备参数显示其配比精度可达≤±1%；二是流量动态调节，根据不同模具型腔结构（如干式变压器线圈、互感器绕组）在2-6Kg/min范围内无级调整输出量，配合真空箱内机械手实现均匀填充；三是高粘度物料适应性，针对含高比例填料的环氧树脂体系（粘度通常达数千至数万cP），通过特殊流道设计和自锁功能避免填料沉降堵塞，例如某设备采用陶瓷泵体配合螺旋推进结构，可连续输送含70%填料的混合体系。</w:t>
      </w:r>
    </w:p>
    <w:p w14:paraId="62D5897D">
      <w:r>
        <w:t>在真空浇注工艺流程中，计量泵与真空系统、温控系统形成协同工作机制。以干式变压器线圈浇注为例，预混后的树脂-填料体系需在真空度≤50Pa的环境下注入模具，此时计量泵需克服负压环境实现稳定出料，其出口压力需高于系统真空度至少0.3MPa。设备运行时，计量泵与真空机组通过PLC形成联锁控制——当真空度未达标时，计量泵自动延迟启动；浇注过程中若真空度波动超过±10Pa，系统实时调整泵体输送速率，防止因压力变化导致的填充不均。此外，计量泵还与温控模块联动，当物料温度偏离设定值（通常60-80℃）时自动补偿流量，避免粘度变化引发的计量偏差，某生产数据显示，该联动控制可使流量波动控制在±2%以内。</w:t>
      </w:r>
    </w:p>
    <w:p w14:paraId="0D2535CC">
      <w:pPr>
        <w:pStyle w:val="4"/>
      </w:pPr>
      <w:r>
        <w:t>1.2 计量泵类型与选型依据</w:t>
      </w:r>
    </w:p>
    <w:p w14:paraId="4E694631">
      <w:r>
        <w:t>干变浇注设备中常用的计量泵主要包括柱塞式、机械隔膜式和液压隔膜式三种类型，其结构特点与适用条件存在显著差异。柱塞式计量泵通过柱塞在液缸体内的往复运动改变容积，核心组件包括液缸体、柱塞、吸入/排出阀组及填料密封件，其优势是计量精度高（尤其在30%额定流量以上运行时可达±1%），压力等级高（最大可达350MPa），适用于高粘度、高含固率的填料体系（如含80%氧化铝的环氧树脂）。但由于采用填料密封，长期运行后可能出现微量泄漏，需定期维护填料压盖，因此更适合对泄漏要求不极致且追求成本效益的场景，例如中小型干式变压器的批量浇注线。</w:t>
      </w:r>
    </w:p>
    <w:p w14:paraId="76A655AD">
      <w:r>
        <w:t>机械隔膜式计量泵采用弹性隔膜将介质与传动部件隔离，通过机械结构直接驱动隔膜变形实现输送，其结构组成包括隔膜、泵腔、单向阀及驱动连杆。该类型泵的显著特点是无动密封设计，可实现零泄漏输送，成本相对较低且维护简单，但受限于机械应力集中，隔膜寿命较短（通常连续运行3000-5000小时需更换），出口压力一般不超过2MPa，流量精度约±5%。适用于低压、中小流量且腐蚀性较低的纯环氧树脂体系，或预算有限的间歇式生产场景，如互感器配件的小批量浇注。</w:t>
      </w:r>
    </w:p>
    <w:p w14:paraId="30D1D702">
      <w:r>
        <w:t>液压隔膜式计量泵通过液压油传递动力驱动隔膜运动，由液压腔、隔膜、液压油系统及安全阀组成。其核心优势在于隔膜受力均匀，寿命可达8000-10000小时，压力等级可达35MPa，流量精度±1%，且配备双隔膜及破裂报警装置，可有效防止腐蚀性或有毒介质泄漏。该类型泵特别适用于对密封性和自动化要求高的大型浇注线，如110kV及以上干式变压器的绝缘件浇注，或输送含阻燃剂的特种树脂体系。例如上海上诚SC-HY80型号液压隔膜泵，支持DCS远程控制，最大流量80L/h，压力4.0MPa，可满足高压绝缘盆子等复杂部件的浇注需求。</w:t>
      </w:r>
    </w:p>
    <w:p w14:paraId="3A999DA5">
      <w:r>
        <w:t>选型时需综合评估以下因素：首先是填料特性，当介质粘度超过800mm²/s或含固率＞50%时，优先选择柱塞式；若介质具有强腐蚀性或要求零泄漏，液压隔膜式为首选；预算有限且工况压力低于1MPa时，机械隔膜式可作为经济方案。其次是工艺精度要求，真空浇注中配比精度要求≤±1%时，需排除机械隔膜式；流量波动需控制在±2%以内时，应选择配备变频调速的柱塞式或液压隔膜式。最后是系统兼容性，与真空系统协同工作时，需确保泵体出口压力能克服系统负压（通常设计压差≥0.3MPa），且具备与PLC控制系统的数字通讯接口，实现真空度-流量联动调节。</w:t>
      </w:r>
    </w:p>
    <w:p w14:paraId="1AC2CAAE">
      <w:pPr>
        <w:pStyle w:val="3"/>
      </w:pPr>
      <w:r>
        <w:t>二、计量泵结构组成与功能解析</w:t>
      </w:r>
    </w:p>
    <w:p w14:paraId="3A761080">
      <w:pPr>
        <w:pStyle w:val="4"/>
      </w:pPr>
      <w:r>
        <w:t>2.1 动力驱动部分结构与功能</w:t>
      </w:r>
    </w:p>
    <w:p w14:paraId="7792B8DD">
      <w:r>
        <w:t>计量泵的动力驱动部分是实现往复运动的动力源，主要由驱动电机、减速机构、偏心传动组件及行程调节机构组成。驱动电机通常采用三相异步电机或伺服电机，根据功率需求选型（常用0.75-2.2kW），通过联轴器与减速机构输入端连接。减速机构多采用蜗杆蜗轮传动，其减速比根据工艺要求设计（常见10:1至30:1），将电机的高速旋转运动转化为输出轴的低速旋转，同时增大输出扭矩，以满足柱塞/隔膜往复运动的动力需求。蜗轮输出轴与N形轴刚性连接，N形轴两端装配偏心块，通过键槽固定实现同步旋转，偏心块的偏心距可通过调节机构改变，进而控制柱塞/隔膜的行程长度。</w:t>
      </w:r>
    </w:p>
    <w:p w14:paraId="3F5F0E5C">
      <w:r>
        <w:t>偏心传动组件是动力传递的核心，由N形轴、偏心块、曲柄连杆及十字头组成。N形轴在蜗轮驱动下旋转时，偏心块带动曲柄连杆做平面运动，连杆另一端与十字头铰接，将旋转运动转化为十字头的直线往复运动。十字头与柱塞或隔膜驱动杆刚性连接，通过导轨限制其径向位移，确保运动精度。该组件中，偏心块的偏心距决定了行程的最大长度，调节范围通常为0-50mm，对应柱塞/隔膜的最大往复位移。为降低运动磨损，曲柄连杆关节处采用自润滑轴承，十字头导轨表面经淬火处理，硬度可达HRC58-62，确保长期运行稳定性。</w:t>
      </w:r>
    </w:p>
    <w:p w14:paraId="7B5BAB9D">
      <w:r>
        <w:t>行程调节机构用于改变柱塞/隔膜的有效行程，实现流量调节，主要由调节手轮、调节螺杆、弓型连杆及指示标尺组成。手动调节时，旋转调节手轮带动调节螺杆轴向移动，螺杆推动弓型连杆改变偏心块与N形轴的相对位置，从而调整偏心距。调节过程中，指示标尺实时显示行程百分比（0-100%），调节精度可达±0.5%。部分自动化型号配备电动执行器，通过伺服电机驱动调节螺杆，接收PLC控制信号实现远程调节，响应时间≤1秒。行程调节机构的关键设计在于保证调节的线性度，即行程变化与流量输出呈正比例关系，某设备测试数据显示，在10%-100%行程范围内，线性误差≤±1%。</w:t>
      </w:r>
    </w:p>
    <w:p w14:paraId="08AC42F5">
      <w:pPr>
        <w:pStyle w:val="4"/>
      </w:pPr>
      <w:r>
        <w:t>2.2 流体输送部分（泵头）结构与功能</w:t>
      </w:r>
    </w:p>
    <w:p w14:paraId="19A005B0">
      <w:r>
        <w:t>泵头作为计量泵的流体输送核心，根据密封方式分为柱塞式和隔膜式两种结构。柱塞式泵头主要由液缸体、柱塞、吸入/排出阀组及填料密封件组成。液缸体采用316不锈钢或哈氏合金材质，内部加工有精密缸孔（公差H7），确保柱塞往复运动时的密封性和耐磨性。柱塞通常为实心圆柱体，表面镀铬（厚度0.05-0.1mm）或喷涂陶瓷涂层，硬度≥HV800，与液缸体配合间隙控制在0.01-0.03mm，既保证运动灵活又减少介质泄漏。吸入阀和排出阀采用球阀结构，由阀球、阀座及弹簧组成，阀球材质根据介质特性选择（如陶瓷、硬质合金或PTFE），通过介质压力与弹簧力的平衡实现交替启闭，确保液体单向输送。填料密封件位于柱塞穿出液缸体的部位，由多层石墨或PTFE填料环组成，通过填料压盖轴向压缩实现密封，定期调节压盖可补偿填料磨损，维持密封性能。</w:t>
      </w:r>
    </w:p>
    <w:p w14:paraId="47302C65">
      <w:r>
        <w:t>隔膜式泵头根据驱动方式分为机械隔膜式和液压隔膜式。机械隔膜式泵头由膜片、泵腔、单向阀及驱动杆组成，膜片采用多层复合结构（如橡胶夹布、PTFE涂层），厚度3-5mm，通过驱动杆直接带动膜片往复变形，改变泵腔容积。泵腔内壁设计为光滑流线型，无死角，避免介质残留和填料沉积。单向阀与柱塞式结构类似，但阀座流通面积更大，以适应隔膜变形的流量特性。液压隔膜式泵头则增加了液压油腔和补偿系统，膜片一侧为介质腔，另一侧为液压油腔，通过柱塞推动液压油间接驱动膜片运动。液压油腔配备补液阀和泄压阀，当膜片因介质压力波动产生微量位移时，补液阀自动补充或释放液压油，维持膜片受力平衡。部分高端型号还设有双隔膜结构，两层膜片之间为监测腔，一旦内层膜片破裂，介质进入监测腔触发报警，防止泄漏污染。</w:t>
      </w:r>
    </w:p>
    <w:p w14:paraId="46AA8338">
      <w:r>
        <w:t>两种泵头的密封原理存在本质差异：柱塞式通过柱塞与填料的紧密接触实现动密封，允许微量泄漏（通常≤10滴/小时），适用于对泄漏不敏感的介质；隔膜式通过膜片将介质与驱动系统完全隔离，实现零泄漏，适合腐蚀性、有毒或贵重介质。在功能适配方面，柱塞式泵头因结构刚性高，更适合高压（≤350MPa）、高粘度（≤10000mm²/s）介质输送，计量精度在30%-100%流量范围内表现优异；隔膜式泵头则在低压（≤35MPa）、低粘度介质中更易控制流量波动，且维护时无需拆卸管路，可在线更换膜片，减少停机时间。</w:t>
      </w:r>
    </w:p>
    <w:p w14:paraId="00244B76">
      <w:pPr>
        <w:pStyle w:val="4"/>
      </w:pPr>
      <w:r>
        <w:t>2.3 调节控制部分结构与功能</w:t>
      </w:r>
    </w:p>
    <w:p w14:paraId="102D47DB">
      <w:r>
        <w:t>计量泵的调节控制部分是实现流量精准控制的关键，主要由流量调节机构和控制单元组成。流量调节机构通过改变柱塞/隔膜的行程长度或往复频率实现流量调节，机械调节方式采用手动调节手轮，其内部为螺旋传动结构，调节螺杆与弓型连杆螺纹连接，旋转手轮时，螺杆推动连杆绕支点转动，改变偏心块的偏心距，从而调整柱塞行程。该机构配备刻度盘和指针，可直观显示行程百分比（0-100%），调节分辨率为0.5%，调节范围覆盖0-100%额定流量，且调节过程中流量与行程呈线性关系，确保调节精度。部分型号还设有行程锁定装置，通过锁紧螺母固定调节位置，防止振动导致的行程漂移。</w:t>
      </w:r>
    </w:p>
    <w:p w14:paraId="29076BA5">
      <w:r>
        <w:t>电动调节机构采用伺服电机驱动，由电机、减速器、位置传感器及控制模块组成。伺服电机接收4-20mA或0-10V模拟信号，通过减速器（通常为行星齿轮减速，减速比50:1）带动调节螺杆转动，位置传感器（如编码器）实时反馈调节位置，形成闭环控制，调节响应时间≤500ms，定位精度±0.1%。该机构可与PLC或DCS系统集成，实现远程自动调节，适用于需要动态调整流量的复杂工艺，如干式变压器浇注中的阶梯式填充过程。</w:t>
      </w:r>
    </w:p>
    <w:p w14:paraId="59288F6C">
      <w:r>
        <w:t>控制单元以微处理器为核心，集成流量控制、压力监测及安全保护功能。其硬件组成包括CPU模块、输入输出模块、人机界面及通讯接口。CPU模块采用32位工业级处理器，运算速度≥100MIPS，支持复杂控制算法；输入模块接收流量传感器、压力变送器、液位开关等信号（如4-20mA电流信号）；输出模块控制伺服电机、电磁阀及报警装置；人机界面采用7寸彩色触摸屏，可显示实时流量、压力、电机转速等参数，并支持工艺参数设置、曲线趋势查询及故障诊断。通讯接口通常包括RS485（Modbus RTU协议）和以太网（Profinet协议），实现与上位机或工厂MES系统的数据交互。</w:t>
      </w:r>
    </w:p>
    <w:p w14:paraId="332DD65F">
      <w:r>
        <w:t>控制单元的核心功能包括：一是流量闭环控制，通过PID算法比较设定流量与实际流量（由出口流量计检测），自动调节电机转速或行程长度，控制精度±1%；二是参数存储，支持99组工艺配方存储，可快速调用不同浇注工艺的流量参数；三是联锁保护，当检测到入口压力过低、出口压力过高、电机过载或介质温度异常时，自动停机并报警；四是数据记录，实时记录流量、压力等关键参数，存储时间≥3个月，便于工艺追溯和故障分析。</w:t>
      </w:r>
    </w:p>
    <w:p w14:paraId="35B63B2B">
      <w:pPr>
        <w:pStyle w:val="3"/>
      </w:pPr>
      <w:r>
        <w:t>三、计量泵机械工作原理</w:t>
      </w:r>
    </w:p>
    <w:p w14:paraId="32AE9706">
      <w:pPr>
        <w:pStyle w:val="4"/>
      </w:pPr>
      <w:r>
        <w:t>3.1 往复运动实现机制</w:t>
      </w:r>
    </w:p>
    <w:p w14:paraId="0A015174">
      <w:r>
        <w:t>计量泵的往复运动是将电机的旋转运动转化为柱塞或隔膜直线运动的过程，其动力传递路径为：电机→蜗杆蜗轮减速→N形轴旋转→偏心块偏心运动→曲柄连杆机构→十字头直线运动→柱塞/隔膜往复运动。电机输出的高速旋转运动（通常1450r/min）首先通过蜗杆蜗轮减速器减速，蜗杆与电机轴通过键连接，蜗轮与N形轴刚性固定，减速比根据工艺需求设计（如20:1），将输出转速降至72.5r/min，同时增大输出扭矩。N形轴为阶梯轴结构，两端通过轴承支撑在传动箱体内，中部装配偏心块，偏心块通过平键与N形轴连接，可沿轴向滑动以调整偏心距。</w:t>
      </w:r>
    </w:p>
    <w:p w14:paraId="2CD62CE2">
      <w:r>
        <w:t>偏心块随N形轴旋转时，其几何中心绕N形轴中心做圆周运动，形成偏心运动。偏心块与曲柄连杆的一端通过销轴铰接，连杆另一端与十字头连接，十字头受导轨限制只能沿轴向滑动。当偏心块旋转一周时，连杆推动十字头完成一次往复运动：偏心块从0°旋转至180°时，十字头向前移动（柱塞伸出或隔膜受压）；从180°旋转至360°时，十字头向后移动（柱塞缩回或隔膜复位）。往复运动的频率等于N形轴的转速，即72.5次/分钟，对应流量输出的基础频率。</w:t>
      </w:r>
    </w:p>
    <w:p w14:paraId="444DCFC4">
      <w:r>
        <w:t>该运动转化过程中，关键参数是偏心距（e）与行程（S）的关系，行程S=2e，即偏心距的两倍等于柱塞/隔膜的最大往复位移。例如，当偏心距调至10mm时，行程为20mm，柱塞每次往复的理论排量等于行程与泵头截面积的乘积（V=S×A）。为保证运动平稳性，曲柄连杆机构的长度（L）通常设计为偏心距的10-15倍（L=10-15e），减少往复运动的侧向力，降低十字头与导轨的磨损。此外，偏心块与连杆的铰接处采用自润滑轴承（如铜基粉末冶金轴承），摩擦系数≤0.05，确保长期运行无卡滞。</w:t>
      </w:r>
    </w:p>
    <w:p w14:paraId="6F562567">
      <w:pPr>
        <w:pStyle w:val="4"/>
      </w:pPr>
      <w:r>
        <w:t>3.2 容积式输送原理</w:t>
      </w:r>
    </w:p>
    <w:p w14:paraId="47A954DF">
      <w:r>
        <w:t>计量泵基于容积式输送原理工作，通过柱塞或隔膜的往复运动周期性改变泵腔容积，实现对流体的吸入和排出。吸入阶段：当柱塞或隔膜向后移动时，泵腔容积增大，内部形成负压（低于吸入管路压力），在压差作用下，吸入阀打开，排出阀关闭，流体从吸入管路进入泵腔。此时，泵腔内的压力与真空系统的真空度相匹配，需确保吸入压力足以克服系统负压，通常设计吸入管路压力比系统真空度高0.05-0.1MPa，防止气蚀现象。吸入阀的开启压力由弹簧预紧力决定，一般设定为0.02-0.05MPa，确保在泵腔负压达到设定值时可靠开启。</w:t>
      </w:r>
    </w:p>
    <w:p w14:paraId="39E42A0F">
      <w:r>
        <w:t>排出阶段：当柱塞或隔膜向前移动时，泵腔容积减小，内部压力升高，超过排出管路压力，此时吸入阀关闭，排出阀打开，流体被压入排出管路。排出阀的开启压力略高于系统工作压力（通常高0.1-0.2MPa），以保证流体单向输送，防止倒流。排出阶段的压力由系统背压和管路阻力决定，在真空浇注中，需克服模具型腔的流动阻力和真空环境的负压，因此泵头出口压力通常设定为0.3-0.5MPa。</w:t>
      </w:r>
    </w:p>
    <w:p w14:paraId="7E2B0D78">
      <w:r>
        <w:t>单向阀的工作状态直接影响容积式输送的效率和精度，其核心是确保流体单向流动。吸入阀和排出阀均采用球阀结构，阀球在流体压力和弹簧力的作用下交替启闭。吸入阶段，泵腔负压使吸入阀弹簧压缩，阀球离开阀座，形成流通通道；排出阶段，泵腔正压使吸入阀弹簧复位，阀球压紧阀座，关闭吸入通道，同时排出阀弹簧压缩，阀球开启，流体排出。阀球与阀座的密封面采用精密研磨，平面度≤0.001mm，确保关闭时无泄漏。为适应高粘度介质，单向阀的流通面积设计较大，流道呈流线型，减少流动阻力，防止介质滞留或堵塞。</w:t>
      </w:r>
    </w:p>
    <w:p w14:paraId="49C6BEAD">
      <w:r>
        <w:t>容积式输送的理论排量可通过公式计算：Q理论=60×n×V×ηv，其中n为往复频率（次/分钟），V为单次排量（m³/次），ηv为容积效率（柱塞式约0.95-0.98，隔膜式约0.90-0.95）。实际运行中，容积效率受介质粘度、系统压力及阀组性能影响，高粘度介质会降低阀组响应速度，导致容积效率下降，需通过提高阀座流通面积或采用强制启闭型单向阀改善。</w:t>
      </w:r>
    </w:p>
    <w:p w14:paraId="09C779F3">
      <w:pPr>
        <w:pStyle w:val="4"/>
      </w:pPr>
      <w:r>
        <w:t>3.3 流量调节原理与方式</w:t>
      </w:r>
    </w:p>
    <w:p w14:paraId="30549D0E">
      <w:r>
        <w:t>计量泵的流量调节通过改变单位时间内的输送容积实现，主要有两种调节方式：改变柱塞/隔膜的行程长度（机械调节）和改变往复运动频率（变频调节）。机械调节方式通过调整行程调节机构改变偏心距，进而改变柱塞/隔膜的往复位移。当调节手轮顺时针旋转时，调节螺杆推动弓型连杆，增大偏心块的偏心距，行程增加，流量增大；逆时针旋转时，偏心距减小，行程缩短，流量减小。行程与流量呈线性关系，即Q=Qmax×S/Smax，其中Qmax为最大流量，S为实际行程，Smax为最大行程。该调节方式的优势是在全流量范围内保持较高的计量精度（±1%），且调节后流量稳定，不受介质粘度变化影响，适用于需要固定流量输出的工艺场景，如批次式浇注中的定量注射。</w:t>
      </w:r>
    </w:p>
    <w:p w14:paraId="3A4AE725">
      <w:r>
        <w:t>变频调节方式通过改变驱动电机的电源频率调整转速，进而改变往复运动频率。电机转速n与电源频率f的关系为n=60f(1-s)/p，其中s为转差率，p为电机极对数。当频率从50Hz降至25Hz时，转速相应减半，往复频率同步降低，流量也随之减半。变频调节的特点是流量调节范围宽（10%-100%），响应速度快（调节时间≤1秒），可实现连续无级调速，且无需机械接触，无磨损，维护成本低。但在低频率（＜10Hz）运行时，电机输出扭矩下降，可能导致柱塞/隔膜运动不稳定，流量波动增大（±2%-±3%），因此通常与机械调节配合使用，通过机械调节设定基础行程，变频调节实现动态微调，满足工艺对流量实时变化的需求。</w:t>
      </w:r>
    </w:p>
    <w:p w14:paraId="0ED237E7">
      <w:r>
        <w:t>现代智能计量泵还具备复合调节功能，结合PLC控制系统实现行程与频率的协同调节。例如在干式变压器浇注的填充阶段，先通过机械调节将行程固定在80%，再通过变频调节从低频率（20Hz）逐渐升高至额定频率（50Hz），实现流量从20%到100%的平滑过渡，避免高速冲料导致的气泡卷入。调节系统配备流量传感器进行实时反馈，当实际流量与设定值偏差超过±1%时，自动修正行程或频率，形成闭环控制。此外，部分型号支持远程通讯，可通过Modbus或Profinet协议接收上位机指令，实现多泵联动调节，满足复杂配比工艺的需求。</w:t>
      </w:r>
    </w:p>
    <w:p w14:paraId="2EC38508">
      <w:pPr>
        <w:pStyle w:val="3"/>
      </w:pPr>
      <w:r>
        <w:t>三、计量泵机械工作原理</w:t>
      </w:r>
    </w:p>
    <w:p w14:paraId="6DD583AE">
      <w:pPr>
        <w:pStyle w:val="4"/>
      </w:pPr>
      <w:r>
        <w:t>3.1 往复运动实现机制</w:t>
      </w:r>
    </w:p>
    <w:p w14:paraId="668EC9A3">
      <w:r>
        <w:t>计量泵的往复运动是将电机的旋转运动转化为柱塞或隔膜直线运动的过程，其动力传递路径为：驱动电机输出的旋转运动经联轴器传递至蜗杆，蜗杆与蜗轮啮合实现减速（典型减速比15:1-30:1），蜗轮带动N形轴同步旋转。N形轴上固定的偏心块随轴转动，其几何中心绕N形轴中心做圆周运动，形成偏心距为e的偏心运动。偏心块通过销轴与曲柄连杆的一端铰接，连杆另一端与十字头连接，十字头受导轨约束只能沿轴向做直线运动。当偏心块旋转一周时，连杆推动十字头完成一次往复运动：从0°到180°，十字头向前移动（柱塞伸出或隔膜受压）；从180°到360°，十字头向后移动（柱塞缩回或隔膜复位）。</w:t>
      </w:r>
    </w:p>
    <w:p w14:paraId="67561829">
      <w:r>
        <w:t>该运动转化过程的关键参数是偏心距与行程的关系，柱塞/隔膜的最大行程S=2e，即偏心距的两倍。例如，当偏心距调至12mm时，行程为24mm，对应单次排量的理论值。为确保运动平稳性，曲柄连杆的长度设计为偏心距的12-15倍，以减小十字头的侧向力，降低导轨磨损。十字头与导轨的配合间隙控制在0.03-0.05mm，采用滑动摩擦方式，导轨表面喷涂耐磨涂层（如二硫化钼），摩擦系数≤0.08，确保长期运行无卡滞。偏心块与N形轴的连接采用键槽配合，调节机构通过改变偏心块在N形轴上的轴向位置，实现偏心距的连续调整，进而改变行程长度，满足不同流量需求。</w:t>
      </w:r>
    </w:p>
    <w:p w14:paraId="234F002D">
      <w:pPr>
        <w:pStyle w:val="4"/>
      </w:pPr>
      <w:r>
        <w:t>3.2 容积式输送原理</w:t>
      </w:r>
    </w:p>
    <w:p w14:paraId="2E1C8E48">
      <w:r>
        <w:t>计量泵的容积式输送基于泵腔容积的周期性变化实现流体的吸入与排出，分为吸入和排出两个阶段。吸入阶段：当柱塞或隔膜在十字头带动下向后移动时，泵腔容积增大，内部压力降低，形成负压（与真空系统的负压相匹配，通常≤50Pa）。在压差作用下，吸入阀组的球阀克服弹簧预紧力向上抬起，阀口打开，吸入管路中的介质（如环氧树脂-填料混合物）在大气压与泵腔负压的共同作用下进入泵腔，直至柱塞/隔膜移动到后死点，泵腔容积达到最大，吸入过程结束。此时，吸入阀弹簧复位，球阀关闭，防止介质倒流。</w:t>
      </w:r>
    </w:p>
    <w:p w14:paraId="13E2EFF0">
      <w:r>
        <w:t>排出阶段：柱塞或隔膜从后死点向前移动，泵腔容积减小，内部压力迅速升高（通常0.3-0.5MPa），当压力超过排出管路的系统压力和排出阀弹簧预紧力时，排出阀球阀被顶开，阀口打开，泵腔内的介质在压力作用下被压入排出管路，输送至混料系统。随着柱塞/隔膜移动到前死点，泵腔容积达到最小，排出过程结束，排出阀弹簧复位，球阀关闭，完成一个工作循环。</w:t>
      </w:r>
    </w:p>
    <w:p w14:paraId="5E4070AF">
      <w:r>
        <w:t>单向阀组是容积式输送的核心组件，确保介质单向流动。吸入阀和排出阀均由阀球、阀座、弹簧及阀体组成，阀球与阀座采用精密研磨配合，密封面平面度≤0.002mm，确保关闭时无泄漏。弹簧的预紧力根据系统压力设计，吸入阀弹簧力略小于排出阀，以保证吸入阶段优先开启。阀座流道设计为流线型，最小流通直径≥柱塞直径的1.2倍，减少高粘度介质的流动阻力，防止填料颗粒沉积堵塞。容积式输送的理论流量Q=60×n×V×ηv，其中n为每分钟往复次数，V为单次排量（V=S×A，S为行程，A为柱塞/隔膜截面积），ηv为容积效率（柱塞式约0.96-0.98，隔膜式约0.92-0.95），实际流量受介质粘度、系统压力及阀组性能影响，需通过流量传感器实时监测并修正。</w:t>
      </w:r>
    </w:p>
    <w:p w14:paraId="3C1D958F">
      <w:pPr>
        <w:pStyle w:val="4"/>
      </w:pPr>
      <w:r>
        <w:t>3.3 流量调节原理与方式</w:t>
      </w:r>
    </w:p>
    <w:p w14:paraId="740B3DB7">
      <w:r>
        <w:t>计量泵的流量调节通过改变单位时间内的输送容积实现，主要有机械调节和变频调节两种方式。机械调节通过改变柱塞/隔膜的行程长度实现流量控制，其核心是行程调节机构。该机构由调节手轮、调节螺杆、弓型连杆及偏心块组成，旋转调节手轮带动调节螺杆轴向移动，螺杆推动弓型连杆绕支点转动，改变偏心块与N形轴的相对位置，从而调整偏心距e。行程S与偏心距e的关系为S=2e，当偏心距从0调至最大（如15mm）时，行程从0增至30mm，流量同步从0增至最大额定值。机械调节的线性度好，调节精度±1%，在30%-100%行程范围内流量稳定性高，适用于需要固定流量输出的工艺，如批次式浇注中的定量配料。</w:t>
      </w:r>
    </w:p>
    <w:p w14:paraId="545B5902">
      <w:r>
        <w:t>变频调节通过改变驱动电机的电源频率调整往复运动频率，进而改变流量。电机转速n与频率f的关系为n=60f(1-s)/p（s为转差率，p为极对数），当频率从50Hz降至20Hz时，转速降低60%，往复频率同步降低，流量也随之减少60%。变频调节的优势是响应速度快（调节时间＜1秒），可实现0-100%流量范围内的无级调速，且无需机械接触，无磨损，维护成本低。但在低频率（＜10Hz）运行时，电机输出扭矩不足，可能导致柱塞/隔膜运动不均匀，流量波动增大（±2%-±3%），因此通常与机械调节配合使用，通过机械调节设定基础行程，变频调节实现动态微调，满足工艺对流量实时变化的需求。</w:t>
      </w:r>
    </w:p>
    <w:p w14:paraId="47A8F2DA">
      <w:r>
        <w:t>智能调节系统结合PLC与闭环控制技术，实现行程与频率的协同调节。例如在真空浇注的填充阶段，系统根据模具型腔的压力反馈，通过PID算法自动调整行程和频率：初始阶段采用小行程、低频率（20%行程，20Hz）缓慢填充，避免湍流；中间阶段增大至80%行程、50Hz快速填充；最终阶段降至30%行程、30Hz补缩，确保填充密实。调节系统配备高精度流量传感器（精度±0.5%）和压力变送器，实时采集数据并反馈至控制器，当实际流量与设定值偏差超过±1%时，立即修正行程或频率，保证计量精度。部分型号还支持远程通讯，通过Modbus协议接入DCS系统，实现多泵联动控制，满足A/B组份精确配比的需求。</w:t>
      </w:r>
    </w:p>
    <w:p w14:paraId="217A1E98">
      <w:pPr>
        <w:pStyle w:val="3"/>
      </w:pPr>
      <w:r>
        <w:t>四、计量泵控制系统原理</w:t>
      </w:r>
    </w:p>
    <w:p w14:paraId="0B58EBD7">
      <w:pPr>
        <w:pStyle w:val="4"/>
      </w:pPr>
      <w:r>
        <w:t>4.1 控制系统组成与架构</w:t>
      </w:r>
    </w:p>
    <w:p w14:paraId="70083E7A">
      <w:r>
        <w:t>计量泵的控制系统以PLC为核心，构建多层级控制架构，实现对泵体运行状态的精准调控与工艺参数的实时管理。系统硬件主要由控制层、驱动层、感知层和人机交互层组成。控制层采用西门子S7-1200或同等性能PLC，配备16点数字量输入/输出模块和8点模拟量输入/输出模块，支持高速计数（≤100kHz）和脉冲输出（≤100kHz），满足伺服电机控制需求。PLC通过Profibus-DP或EtherCAT总线与驱动层和感知层通信，数据传输速率≥10Mbps，确保控制指令和反馈信号的实时性。</w:t>
      </w:r>
    </w:p>
    <w:p w14:paraId="7EE112B4">
      <w:r>
        <w:t>驱动层包括伺服电机驱动器和变频调速器，分别用于控制行程调节机构和主驱动电机。伺服电机驱动器采用闭环矢量控制模式，接收PLC的脉冲指令（脉冲当量10000脉冲/转），驱动伺服电机带动行程调节螺杆，实现行程0-100%的精确调节，位置控制精度±0.1%。变频调速器采用矢量控制技术，输出频率范围0-60Hz，控制主驱动电机转速，实现往复频率的无级调节，转速控制精度±0.5%。驱动器内置过载、过流、过压保护功能，并通过总线将运行状态反馈至PLC。</w:t>
      </w:r>
    </w:p>
    <w:p w14:paraId="2FDC9668">
      <w:r>
        <w:t>感知层由各类传感器组成，实时监测系统运行参数：流量传感器安装在泵头出口管路，采用电磁或科里奥利原理，测量精度±0.5%，输出4-20mA标准信号；压力变送器安装在排出管路，测量范围0-1MPa，精度±0.25%，用于监测系统压力；温度传感器（PT100）安装在泵头和液压油腔，测量范围0-150℃，精度±1℃，监测介质和液压油温度；液位开关安装在液压油箱和介质储罐，用于低液位报警；接近开关用于检测柱塞/隔膜的行程位置（前死点、后死点），提供位置基准信号。</w:t>
      </w:r>
    </w:p>
    <w:p w14:paraId="71F8E45A">
      <w:r>
        <w:t>人机交互层采用10寸彩色触摸屏（分辨率1024×600），运行定制化HMI软件，实现工艺参数设置、运行状态监控、故障报警及历史数据查询功能。用户可通过触摸屏设置目标流量、配比参数、运行模式（手动/自动），并实时查看当前流量、压力、温度、电机转速等参数，参数显示更新周期≤500ms。系统支持99组工艺配方存储，可快速调用不同浇注工艺的参数设置。此外，人机交互层还具备权限管理功能，分为操作员、技术员、管理员三级权限，防止误操作。</w:t>
      </w:r>
    </w:p>
    <w:p w14:paraId="2EE1EE91">
      <w:pPr>
        <w:pStyle w:val="4"/>
      </w:pPr>
      <w:r>
        <w:t>4.2 伺服驱动与PID调节原理</w:t>
      </w:r>
    </w:p>
    <w:p w14:paraId="41AC3EE1">
      <w:r>
        <w:t>计量泵的伺服驱动系统采用“位置环+速度环+电流环”三环控制架构，实现对行程调节机构的高精度定位。位置环以PLC发送的脉冲指令为设定值，通过伺服电机内置编码器（2500线/转，四倍频后10000脉冲/转）反馈实际位置，位置偏差经PID调节后输出速度指令至速度环。速度环将位置环输出的速度指令与电机实际转速（通过编码器计算）比较，偏差经PI调节后输出电流指令至电流环。电流环根据电流指令控制功率模块输出相应的电流，驱动电机旋转，实现位置精确控制。当行程调节指令发出后，伺服系统从静止加速至最大速度（3000r/min），移动至目标位置后减速停止，整个调节过程时间≤500ms，且无超调。</w:t>
      </w:r>
    </w:p>
    <w:p w14:paraId="0DC93668">
      <w:r>
        <w:t>流量PID调节系统以设定流量为目标值，通过流量传感器的实时反馈实现闭环控制。其调节原理基于比例-积分-微分（PID）算法：比例环节（P）根据当前流量偏差（设定值-实际值）输出调节量，偏差越大调节量越大，快速响应偏差；积分环节（I）累积历史偏差，消除静态误差，确保流量稳定在设定值；微分环节（D）根据偏差变化率预测趋势，提前调节，减少超调。PID参数可通过触摸屏手动设置或自动整定，自动整定时系统通过阶跃响应测试，计算最佳P（比例增益）、I（积分时间）、D（微分时间）参数，通常P=5-15，I=0.5-2s，D=0-0.5s。</w:t>
      </w:r>
    </w:p>
    <w:p w14:paraId="7B5A1223">
      <w:r>
        <w:t>在实际运行中，当实际流量低于设定值时，PID控制器输出正偏差信号，PLC根据偏差大小控制伺服电机增大行程或提高主驱动电机转速：若偏差＜±1%，仅调节转速；若偏差≥±1%，同时调节行程和转速。例如，设定流量100L/h，实际流量98L/h（偏差-2%），系统首先将主驱动电机转速从50Hz提高至51Hz（转速增加2%），若1秒后流量仍未达标，再调节行程从80%增至81%，直至流量稳定在设定值±0.5%范围内。调节过程中，系统对参数变化率进行限制（转速变化率≤5Hz/s，行程变化率≤5%/s），避免流量剧烈波动影响工艺稳定性。</w:t>
      </w:r>
    </w:p>
    <w:p w14:paraId="6D5C7475">
      <w:pPr>
        <w:pStyle w:val="4"/>
      </w:pPr>
      <w:r>
        <w:t>4.3 自动化配比与协同控制</w:t>
      </w:r>
    </w:p>
    <w:p w14:paraId="50018428">
      <w:r>
        <w:t>计量泵的自动化配比功能通过微电脑计量处理器实现，支持多组份（最多4组份）物料的精确配比输送。系统将各组份的目标流量按比例关系转化为对应计量泵的流量设定值，例如A组份与B组份配比1:2，当总流量设定为300L/h时，A泵流量设定为100L/h，B泵流量设定为200L/h。配比参数可通过触摸屏直接输入（如100:15），或从存储的99组工艺配方中调用，系统自动计算各组份流量并下发至对应泵的控制器。配比精度由各组份计量泵的流量精度保证，通常可达±1%，满足环氧树脂与固化剂化学反应的配比要求。</w:t>
      </w:r>
    </w:p>
    <w:p w14:paraId="0B1C5BCF">
      <w:r>
        <w:t>与真空系统的协同控制通过PLC与真空机组控制器的联锁实现。系统启动前，PLC首先检测真空度传感器信号，当真空箱内真空度达到设定值（≤50Pa）且稳定3秒后，才允许计量泵启动；若真空度未达标或在运行中突然升高（＞100Pa），PLC立即发出停机指令，计量泵停止输送，同时关闭出口阀门，防止未脱气的介质进入模具。协同控制时序如下：真空机组启动→真空度达到设定值→PLC允许计量泵启动→计量泵开始输送→真空度实时监测→流量动态调节（真空度每波动10Pa，流量补偿±0.5%）→浇注完成→计量泵停止→真空机组延时关闭。</w:t>
      </w:r>
    </w:p>
    <w:p w14:paraId="17AD6301">
      <w:r>
        <w:t>与温控系统的协同控制通过温度-流量补偿算法实现。当介质温度偏离设定值（60-80℃）时，其粘度发生变化，导致相同流量下的实际输送量改变。系统通过安装在料罐和泵头的温度传感器实时监测介质温度，根据预设的粘度温度曲线自动补偿流量：温度升高（粘度降低）时，适当降低泵的转速或行程，减少实际输送量；温度降低（粘度升高）时，增加转速或行程，提高输送量。补偿系数K=Q实际/Q设定=μ设定/μ实际，其中μ为介质粘度，通过温度传感器测量值查表获得。例如，设定温度70℃（粘度800mPa·s），实际温度65℃（粘度1000mPa·s），则K=800/1000=0.8，系统将流量设定值提高至1/0.8=1.25倍，确保实际输送量与工艺要求一致。</w:t>
      </w:r>
    </w:p>
    <w:p w14:paraId="53390F15">
      <w:pPr>
        <w:pStyle w:val="3"/>
      </w:pPr>
      <w:r>
        <w:t>五、真空环境下的协同工作机制</w:t>
      </w:r>
    </w:p>
    <w:p w14:paraId="5ADE85E4">
      <w:pPr>
        <w:pStyle w:val="4"/>
      </w:pPr>
      <w:r>
        <w:t>5.1 真空环境对计量泵工作的特殊要求</w:t>
      </w:r>
    </w:p>
    <w:p w14:paraId="14B0CDD7">
      <w:r>
        <w:t>真空浇注环境（真空度≤50Pa）对计量泵的工作性能提出特殊挑战，主要体现在吸入能力、密封性和流量稳定性三个方面。吸入能力方面，由于系统处于负压状态，计量泵需在泵腔形成更低的压力才能将介质吸入，这要求泵头具有更高的真空度耐受性（≤10Pa）和更强的自吸能力。为此，吸入阀组采用大流通面积设计（阀座直径≥柱塞直径的1.5倍），并减小弹簧预紧力（≤0.02MPa），降低吸入阻力；同时，吸入管路缩短至≤2m，管径增大至≥泵头入口直径的1.2倍，减少沿程阻力损失。某试验数据显示，优化后的吸入系统在真空度50Pa时，自吸高度可达1.5m，满足高粘度介质（2000mPa·s）的吸入需求。</w:t>
      </w:r>
    </w:p>
    <w:p w14:paraId="6470610A">
      <w:r>
        <w:t>密封性方面，真空环境下任何微小泄漏都会破坏系统真空度，同时导致空气进入泵腔形成气泡，影响计量精度。计量泵采用多级密封措施：柱塞式泵头的填料密封升级为双端面机械密封，动环采用碳化硅材质，静环采用石墨浸渍树脂，密封面比压控制在0.3-0.5MPa，确保轴封处泄漏率≤1×10⁻⁶Pa·m³/s；隔膜式泵头采用双隔膜结构，两层隔膜之间设置压力监测腔，当内层隔膜破裂时，监测腔压力变化触发报警，防止介质泄漏污染液压油和真空系统；吸入/排出管路接口采用真空法兰连接，密封垫片选用丁腈橡胶或氟橡胶，确保管路连接处无泄漏。</w:t>
      </w:r>
    </w:p>
    <w:p w14:paraId="0860FE59">
      <w:r>
        <w:t>流量稳定性方面，真空度波动会导致介质中溶解气体逸出，形成气泡，造成泵腔“气缚”，表现为流量忽大忽小。为解决该问题，计量泵入口前增设真空脱气装置，通过加热（60-70℃）和真空（≤100Pa）双重作用，去除介质中的溶解气体（脱气效率≥99%）；泵头出口安装脉动阻尼器，内置弹性隔膜和气囊，吸收流量脉动（脉动衰减率≥90%），使输出流量波动控制在±1%以内。此外，PLC控制系统实时监测真空度变化，当真空度波动超过±10Pa时，自动调整泵的转速和行程，补偿气泡对流量的影响，例如真空度升高10Pa，流量增加0.5%，维持实际输送量稳定。</w:t>
      </w:r>
    </w:p>
    <w:p w14:paraId="2F4A96A6">
      <w:pPr>
        <w:pStyle w:val="4"/>
      </w:pPr>
      <w:r>
        <w:t>5.2 与真空系统的联动控制逻辑</w:t>
      </w:r>
    </w:p>
    <w:p w14:paraId="2F4285CB">
      <w:r>
        <w:t>计量泵与真空系统的联动控制以PLC为协调中心，通过数字量输入/输出和模拟量信号实现实时数据交互与动作联锁。系统启动阶段，真空系统首先进入工作状态：PLC发送启动指令至真空机组控制器→真空泵启动（罗茨泵+机械泵组合）→真空度传感器实时采集真空箱压力→当真空度达到第一级阈值（≤200Pa）时，PLC启动脱气装置→脱气完成后，真空度继续降至第二级阈值（≤50Pa）→PLC向计量泵控制器发送“允许启动”信号→计量泵进行预排气（空运行3个循环）→预排气完成后开始正式输送。整个启动过程时序由PLC严格控制，各阶段转换设有延时确认（如真空度达标后延时3秒再允许计量泵启动），防止误动作。</w:t>
      </w:r>
    </w:p>
    <w:p w14:paraId="1AF1388A">
      <w:r>
        <w:t>运行阶段的联动控制主要包括真空度-流量动态补偿和异常联锁保护。真空度-流量补偿采用比例调节算法：当真空度从设定值50Pa升高至60Pa（波动+10Pa）时，PLC根据预设的补偿系数（0.05%/Pa）计算流量补偿量（+0.5%），并向计量泵控制器发送流量增加指令；反之，真空度降低时流量相应减小。补偿过程中，流量变化率限制在≤0.5%/s，避免流量剧烈波动。异常联锁保护机制包括：真空度超高联锁（＞100Pa时立即停泵）、真空度下降速率联锁（10秒内下降＞50Pa时停泵）、计量泵故障联锁（流量异常、压力异常时真空系统延时停机）。例如，当计量泵出口压力突然降至0（管路破裂），PLC立即切断计量泵电源，同时向真空机组发送“故障停机”信号，真空机组执行正常停机程序（先关闭主泵，开启破空阀，再停前级泵）。</w:t>
      </w:r>
    </w:p>
    <w:p w14:paraId="17F1E932">
      <w:r>
        <w:t>停止阶段的联动控制确保工艺完整性：当浇注达到设定重量或时间时，PLC首先发出“流量递减”指令，计量泵流量在5秒内从100%降至0→出口阀门关闭→计量泵电机停转→PLC向真空机组发送“保压延时”指令（保压30秒，防止介质倒流）→保压结束→真空机组开始破空（充入干燥氮气至常压）→真空箱门解锁。整个停止过程中，各设备动作通过PLC的顺序控制指令严格执行，动作间隔时间可通过触摸屏设置（默认1-5秒），满足不同模具的工艺需求。</w:t>
      </w:r>
    </w:p>
    <w:p w14:paraId="3B812ED3">
      <w:pPr>
        <w:pStyle w:val="4"/>
      </w:pPr>
      <w:r>
        <w:t>5.3 真空密封与防泄漏设计</w:t>
      </w:r>
    </w:p>
    <w:p w14:paraId="7352B3E8">
      <w:r>
        <w:t>计量泵在真空环境下的密封设计需同时满足介质密封和真空密封双重要求，核心技术包括动密封、静密封和泄漏监测三个方面。动密封针对柱塞或隔膜的往复运动部位，柱塞式采用双端面机械密封结构，由动环、静环、弹簧和辅助密封圈组成。动环与柱塞过盈配合，随柱塞一起运动；静环固定在泵体上，与动环形成密封面。密封面采用碳化硅（动环）与石墨浸渍金属（静环）配对，硬度高（HV1000）且摩擦系数低（≤0.1），在弹簧力（0.3-0.5MPa）作用下保持紧密接触，密封介质的同时阻止外界空气进入真空系统。为延长使用寿命，密封腔通入清洁的氮气（压力0.05-0.1MPa），形成“气封”，隔离介质中的颗粒杂质对密封面的磨损。</w:t>
      </w:r>
    </w:p>
    <w:p w14:paraId="2E21069B">
      <w:r>
        <w:t>隔膜式泵头采用无动密封设计，通过隔膜将介质与液压油完全隔离，从根本上消除动密封泄漏风险。隔膜材料根据介质特性选择：输送环氧树脂时选用丁腈橡胶夹布隔膜（耐温≤120℃，耐油）；输送含强腐蚀性填料时选用PTFE隔膜（耐温≤200℃，耐酸碱）。隔膜厚度3-5mm，设计使用寿命≥8000小时，通过疲劳强度测试（往复次数≥10⁷次无破裂）。为监测隔膜完整性，双隔膜结构中设置监测腔，腔内充入0.1MPa氮气，当内层隔膜破裂时，介质进入监测腔，压力传感器检测到压力变化（升高或降低），立即触发声光报警并停机，防止介质泄漏至液压系统或真空环境。</w:t>
      </w:r>
    </w:p>
    <w:p w14:paraId="7BB85430">
      <w:r>
        <w:t>静密封主要针对泵体各部件连接面和管路接口，采用真空密封标准设计。泵体端盖与泵腔的连接采用螺栓紧固，密封垫片选用氟橡胶O型圈（硬度70 Shore A），压缩量控制在25%-30%，确保密封面无间隙；吸入/排出法兰采用ISO-KF真空法兰标准，密封槽深度与垫片厚度匹配（垫片厚度2mm，槽深1.5mm），法兰螺栓均匀拧紧（扭矩5-8N·m），避免局部泄漏；液压油加注口和排气口采用带阀芯的真空阀，关闭时阀芯通过弹簧力压紧密封面，确保接口处密封可靠。</w:t>
      </w:r>
    </w:p>
    <w:p w14:paraId="035A6928">
      <w:r>
        <w:t>泄漏监测系统实时监控关键密封部位的状态，由压力传感器、真空计和PLC组成。双隔膜监测腔压力传感器（测量范围0-0.2MPa）每100ms采集一次数据，当压力变化超过±0.02MPa时判定为隔膜破裂；机械密封腔设置微量泄漏传感器，检测到泄漏量＞1滴/小时时发出预警；真空系统配备高精度真空计（测量范围10⁻³-10⁵Pa），实时监测系统真空度，若真空度异常升高且排除真空机组故障，则判定为计量泵或管路泄漏。所有监测数据通过PLC处理后在触摸屏显示，故障时弹窗提示具体泄漏部位（如“左泵隔膜破裂”“机械密封泄漏”）及处理建议，指导维护人员快速排查。</w:t>
      </w:r>
    </w:p>
    <w:p w14:paraId="095E5D65">
      <w:pPr>
        <w:pStyle w:val="3"/>
      </w:pPr>
      <w:r>
        <w:t>六、操作与维护规程</w:t>
      </w:r>
    </w:p>
    <w:p w14:paraId="632CB9DB">
      <w:pPr>
        <w:pStyle w:val="4"/>
      </w:pPr>
      <w:r>
        <w:t>6.1 安全操作规范</w:t>
      </w:r>
    </w:p>
    <w:p w14:paraId="2D71EAC8">
      <w:r>
        <w:t>计量泵的安全操作需严格遵循设备操作规程，确保人身安全和设备正常运行。启动前准备工作包括：检查电源电压（380V±10%）和接地是否可靠，用万用表测量电机绝缘电阻≥5MΩ；检查液压油位，确保油位在油标刻度2/3以上，油质清澈无杂质（若油色发黑或乳化需更换）；确认吸入管路阀门全开，过滤器清洁无堵塞（滤网目数≥80目），排出管路阀门处于半开状态（避免启动瞬间压力冲击）；检查真空系统状态，确保真空箱密封良好，真空度可达设定值（≤50Pa）；清理设备周围杂物，确保操作空间畅通，紧急停机按钮功能正常（按下后能切断主电源）。</w:t>
      </w:r>
    </w:p>
    <w:p w14:paraId="4D6DDA2B">
      <w:r>
        <w:t>启动操作步骤：首先在触摸屏上选择“手动”或“自动”运行模式，手动模式下需逐项确认参数（流量、压力、温度），自动模式可直接调用工艺配方；按下“启动”按钮，系统进入自检程序（检查电机、传感器、阀门状态），自检通过后真空机组启动；待真空度达到设定值并稳定3秒后，计量泵自动进行预排气（空运行3个循环），排出泵腔内空气；预排气完成后，计量泵开始正式输送，逐渐打开排出管路阀门至全开，观察出口压力是否稳定在设定值（0.3-0.5MPa）；运行过程中，操作人员需密切监控触摸屏显示的流量、压力、温度及真空度参数，每小时记录一次关键数据，发现异常立即处理。</w:t>
      </w:r>
    </w:p>
    <w:p w14:paraId="399FD494">
      <w:r>
        <w:t>停机操作分为正常停机和紧急停机。正常停机步骤：在触摸屏上按下“停止”按钮，计量泵流量逐渐降至0，同时关闭排出管路阀门；计量泵完全停止后，真空系统继续运行30秒（保压），然后开始破空（充入氮气至常压）；真空箱压力恢复常压后，关闭真空机组电源；最后关闭计量泵总电源，清理设备表面和管路残留介质。紧急停机适用于发生泄漏、超压、电机异响等突发故障时，立即按下设备旁的红色紧急停机按钮，切断主电源，同时关闭吸入管路阀门，防止介质倒流；故障排除后，需按启动前准备步骤重新检查，确认无误后方可再次启动。</w:t>
      </w:r>
    </w:p>
    <w:p w14:paraId="4017E9B2">
      <w:r>
        <w:t>运行中的安全注意事项：严禁在运行时拆卸管路或泵头部件，防止介质喷射伤人；禁止在未停机的情况下调整行程调节手轮，避免机械伤害；当处理腐蚀性介质时，操作人员必须佩戴耐酸碱手套、护目镜和防护服；设备运行时若发生异常震动（振幅＞0.5mm）或噪音（＞85dB），应立即停机检查；定期检查电机温度（≤75℃）和轴承温度（≤65℃），超过限值时停机降温；雷雨天气应关闭设备总电源，防止雷击损坏控制系统。</w:t>
      </w:r>
    </w:p>
    <w:p w14:paraId="117B9B8B">
      <w:pPr>
        <w:pStyle w:val="4"/>
      </w:pPr>
      <w:r>
        <w:t>6.2 日常维护与保养</w:t>
      </w:r>
    </w:p>
    <w:p w14:paraId="4308091C">
      <w:r>
        <w:t>计量泵的日常维护与保养是确保设备长期稳定运行的关键，需按日、周、月制定周期性维护计划。每日维护项目包括：班前检查油位（液压油和齿轮箱油），确保在油标刻度范围内，不足时添加同型号油品（液压油推荐N46抗磨液压油，齿轮箱油推荐N320极压齿轮油）；检查密封部位有无泄漏（机械密封、法兰接口、隔膜腔），发现滴漏时及时处理（调节填料压盖或更换密封件）；清理过滤器滤网，去除杂质（每周至少一次），防止堵塞影响吸入性能；运行中监测流量、压力、温度等参数，与历史数据对比，发现异常及时排查原因。</w:t>
      </w:r>
    </w:p>
    <w:p w14:paraId="6C727022">
      <w:r>
        <w:t>每周维护项目包括：检查行程调节机构灵活性，旋转调节手轮从0%至100%，感觉无卡滞或异响，调节后行程指示与实际流量偏差≤±1%；测试安全阀功能，缓慢升高系统压力至安全阀设定值（通常为工作压力的1.1倍），安全阀应能自动开启泄压，压力降低后关闭，无卡滞；检查电机和轴承温度，用红外测温仪测量，电机外壳温度≤75℃，轴承温度≤65℃；紧固各部位连接螺栓（泵头、电机、管路法兰），防止松动导致振动和泄漏；清洁设备表面和散热通风口，去除灰尘和油污（用中性清洁剂，禁止用水直接冲洗电气柜）。</w:t>
      </w:r>
    </w:p>
    <w:p w14:paraId="782F36C8">
      <w:r>
        <w:t>每月维护项目包括：更换液压油和齿轮箱油（首次运行500小时后更换，以后每2000小时更换一次），换油时需放空旧油，用新油冲洗油腔2-3次，再加入新油至规定油位；检查隔膜老化情况（隔膜式泵），观察膜片表面有无裂纹、鼓包或变硬现象，若存在则更换新隔膜（建议每5000小时预防性更换）；校准流量传感器和压力变送器，使用标准流量计和压力表进行比对，误差超过±1%时进行参数修正；检查单向阀密封性，关闭吸入阀，手动盘车使泵腔加压至工作压力的50%，观察压力下降速度≤0.05MPa/分钟，否则研磨或更换阀球、阀座；测试PLC控制系统的联锁功能（真空度联锁、温度联锁、液位联锁），确保触发条件满足时能正确动作。</w:t>
      </w:r>
    </w:p>
    <w:p w14:paraId="08FF7BC0">
      <w:r>
        <w:t>长期停机（超过1个月）保养：彻底清洗泵腔和管路，用溶剂（如丙酮或专用清洗剂）冲洗3-5次，去除残留介质，防止固化堵塞；将柱塞或隔膜调至“0”行程位置，释放泵腔压力；排空液压油和齿轮箱油，密封油口，防止潮气进入；拆除易损件（如隔膜、密封件），清洁后涂防锈油保存；设备表面涂防锈剂，用防尘罩覆盖；定期（每2周）通电开机空运行30分钟，防止电机受潮和轴承生锈。</w:t>
      </w:r>
    </w:p>
    <w:p w14:paraId="6424CB86">
      <w:pPr>
        <w:pStyle w:val="4"/>
      </w:pPr>
      <w:r>
        <w:t>6.3 定期检修项目与标准</w:t>
      </w:r>
    </w:p>
    <w:p w14:paraId="3C9A0A68">
      <w:r>
        <w:t>计量泵的定期检修分为小修、中修和大修，根据运行时间和设备状态制定检修计划，确保设备性能符合工艺要求。小修周期为6个月或运行1000小时，主要检修内容包括：解体泵头，检查柱塞或隔膜表面状况，柱塞镀铬层磨损≤0.01mm，无划痕或腐蚀斑点；检查单向阀组件，阀球与阀座密封面无凹坑或磨损，配合间隙≤0.02mm，弹簧弹性良好（自由长度偏差≤1mm）；清洗液压油腔，去除油泥和杂质，更换液压油滤芯（过滤精度10μm）；校准行程调节机构，调节精度≤±0.5%，线性度误差≤±1%；测试电机绝缘电阻≥10MΩ，轴承温升≤40K（环境温度25℃时表面温度≤65℃）。</w:t>
      </w:r>
    </w:p>
    <w:p w14:paraId="1D222FAC">
      <w:r>
        <w:t>中修周期为12个月或运行3000小时，在小修基础上增加以下项目：解体传动箱，检查蜗杆蜗轮啮合情况，齿面接触斑点面积≥70%，齿厚磨损≤0.1mm，侧隙0.1-0.2mm；更换轴承（驱动端和从动端），新轴承游隙0.01-0.03mm，转动灵活无异响；检查十字头与导轨配合间隙，间隙超过0.1mm时更换导轨或十字头；校准伺服电机和变频调速器，伺服电机定位精度≤±0.1%，变频调速器转速精度≤±0.5%；测试控制系统响应时间，从指令发出到执行机构动作完成≤500ms，无滞后或超调。</w:t>
      </w:r>
    </w:p>
    <w:p w14:paraId="47E64DA4">
      <w:r>
        <w:t>大修周期为24个月或运行6000小时，进行全面解体检修：更换所有密封件（机械密封、O型圈、隔膜、填料），新密封件材质和尺寸符合原厂标准；更换磨损的传动部件（蜗杆、蜗轮、曲轴、连杆），新部件硬度≥HRC55，表面粗糙度Ra≤1.6μm；泵头内表面进行研磨修复，表面粗糙度Ra≤0.8μm，圆柱度误差≤0.01mm；液压系统全面清洗，更换液压油泵、补液阀和泄压阀，测试液压系统压力波动≤±0.5%；控制系统升级或更换老化模块（如PLC电池、传感器），重新标定所有参数，确保系统运行稳定可靠。</w:t>
      </w:r>
    </w:p>
    <w:p w14:paraId="4CED75FE">
      <w:r>
        <w:t>检修后的性能测试标准：流量精度测试在10%、50%、100%额定流量点进行，实测流量与设定值偏差≤±1%；压力测试在额定压力下运行30分钟，压力波动≤±2%，无泄漏；噪音测试在距离设备1米处测量，噪音≤85dB（A计权）；振动测试在泵体轴承座处测量，振幅≤0.1mm（峰峰值）；连续运行试验在额定工况下连续运行24小时，各项参数稳定，无异常停机。检修记录需详细填写检修项目、更换部件型号、测试数据等信息，存入设备档案，作为下次检修的依据。</w:t>
      </w:r>
    </w:p>
    <w:p w14:paraId="49850A5B">
      <w:pPr>
        <w:pStyle w:val="3"/>
      </w:pPr>
      <w:r>
        <w:t>七、常见故障诊断与排除</w:t>
      </w:r>
    </w:p>
    <w:p w14:paraId="483C7EB1">
      <w:pPr>
        <w:pStyle w:val="4"/>
      </w:pPr>
      <w:r>
        <w:t>7.1 流量异常故障</w:t>
      </w:r>
    </w:p>
    <w:p w14:paraId="472F2690">
      <w:r>
        <w:t>流量异常是计量泵最常见的故障，主要表现为流量不足、流量波动或无流量，其成因涉及机械、电气和工艺多个方面。流量不足的典型原因包括吸入系统故障和排出系统阻力过大。吸入系统故障中，过滤器堵塞是最常见因素，当滤网被填料颗粒或介质杂质堵塞时，吸入阻力增大，泵腔无法充满介质，表现为流量降至额定值的50%以下，同时伴有吸入真空度升高（＞-0.05MPa）。此时需拆卸过滤器，用清水或溶剂冲洗滤网（目数80-100目），严重堵塞时更换滤网。吸入阀卡涩或关闭不严也会导致流量不足，阀球被杂质卡住或阀座磨损会使介质回流，可通过拆解吸入阀组，清除杂质，研磨阀座密封面（平面度≤0.002mm）或更换阀球解决。</w:t>
      </w:r>
    </w:p>
    <w:p w14:paraId="06F5947B">
      <w:r>
        <w:t>排出系统阻力过大通常源于排出阀堵塞或管路局部狭窄，排出阀因介质固化或杂质沉积导致阀口开度减小，流量随之下降，同时出口压力升高（超过额定压力1.2倍）。此时需拆卸排出阀组，清理阀腔和阀座，检查阀球运动灵活性；若管路存在“缩颈”现象（如法兰垫片错位、管路弯曲过度），需重新安装垫片或更换管路，确保流通截面积≥泵头出口截面积。电气方面，主驱动电机转速不足会导致往复频率降低，流量同比下降，需检查变频调速器输出频率是否与设定值一致（如设定50Hz，实测45Hz），调整变频器参数或检查电源电压（确保380V±10%）。</w:t>
      </w:r>
    </w:p>
    <w:p w14:paraId="7578E51F">
      <w:r>
        <w:t>流量波动表现为实际流量在设定值上下周期性变化（波动幅度＞±2%），主要成因包括介质含气、柱塞/隔膜运动不均匀和传感器信号干扰。介质含气时，泵腔中气泡随柱塞/隔膜运动被压缩或膨胀，导致流量波动，此时需检查真空脱气装置是否正常工作（脱气温度60-70℃，真空度≤100Pa），延长脱气时间或提高脱气温度，去除介质中的溶解气体。柱塞/隔膜运动不均匀多因传动机构磨损，如蜗杆蜗轮啮合间隙过大（超过0.2mm）或十字头导轨磨损（间隙＞0.1mm），导致往复运动时快时慢，需调整蜗轮轴向间隙或更换导轨，确保运动平稳。传感器信号干扰表现为流量显示波动但实际流量稳定，多因传感器线缆未屏蔽或接地不良，需将传感器线缆穿金属管并单端接地，远离动力电缆（间距≥30cm），消除电磁干扰。</w:t>
      </w:r>
    </w:p>
    <w:p w14:paraId="3E253782">
      <w:r>
        <w:t>无流量故障多发生在启动阶段，原因包括泵腔进气、电机反转或行程调节机构卡滞。泵腔进气时，吸入管路连接处泄漏（如法兰垫片破损、接头松动），空气进入泵腔形成“气缚”，需检查吸入管路各接口，重新紧固或更换密封垫片，然后进行手动排气（打开泵头排气阀，盘车数圈）。电机反转会导致柱塞/隔膜运动方向相反，吸入和排出过程颠倒，流量为零，需交换电机任意两相电源线，纠正转向。行程调节机构卡滞时，调节螺杆因积尘或锈蚀无法移动，行程始终为零，需拆卸调节机构，清理螺杆和螺母上的污垢，涂抹润滑脂（如二硫化钼锂基脂），确保行程可从0-100%自由调节。</w:t>
      </w:r>
    </w:p>
    <w:p w14:paraId="2A6512C8">
      <w:pPr>
        <w:pStyle w:val="4"/>
      </w:pPr>
      <w:r>
        <w:t>7.2 压力不足故障</w:t>
      </w:r>
    </w:p>
    <w:p w14:paraId="5A72B771">
      <w:r>
        <w:t>计量泵压力不足表现为出口压力低于设定值（＜0.3MPa），无法满足介质输送至模具型腔的压力需求，其成因主要包括压力控制元件失效、流量损失过大和动力传递不足。压力控制元件失效中，安全阀设定压力过低是常见原因，安全阀作为系统超压保护装置，若设定压力低于工作压力（如工作压力0.4MPa，安全阀设定0.35MPa），会导致介质提前泄压回流，出口压力无法升高。此时需按说明书重新调整安全阀，顺时针旋转调节螺杆提高设定压力，调试时逐步升压至工作压力的1.1倍，确保安全阀在超压时可靠开启，正常工作时关闭严密。</w:t>
      </w:r>
    </w:p>
    <w:p w14:paraId="653C7BC4">
      <w:r>
        <w:t>液压系统压力不足会导致隔膜式计量泵输出压力下降，液压油不足或泄漏会使液压腔无法建立足够压力推动隔膜，表现为出口压力随流量增大而降低。需检查液压油位（低于油标1/2时添加N46抗磨液压油），检查液压管路和接头有无泄漏（如补液阀、泄压阀密封不良），更换泄漏的密封件，然后通过手动补液阀补充液压油，排除液压腔空气。动力传递不足多因电机输出扭矩不够，当介质粘度突然增大（如温度降低导致粘度从2000mPa·s升至5000mPa·s）时，电机负载增加，转速下降，压力降低。此时需降低流量（减小行程或转速），或提高介质温度（60-80℃）降低粘度，必要时更换大功率电机（如从1.5kW增至2.2kW）。</w:t>
      </w:r>
    </w:p>
    <w:p w14:paraId="59DDC175">
      <w:r>
        <w:t>流量损失过大导致的压力不足源于系统泄漏或单向阀密封不良。吸入/排出管路泄漏（如法兰垫片破损、焊接裂缝）会使部分介质流失，出口压力降低，同时伴有管路振动和噪音。需用肥皂水涂抹管路接口，观察有无气泡产生，更换破损垫片或补焊裂缝；单向阀密封不良时，介质在排出阶段回流，导致有效输出压力下降，可通过关闭排出阀，测定泵腔压力上升速度（正常应在10秒内升至额定压力），若升压缓慢则拆解单向阀，研磨阀球和阀座（表面粗糙度Ra≤0.8μm）或更换新阀组。此外，背压阀设定压力过低也会导致出口压力无法维持，背压阀用于稳定管路压力，防止介质倒流，设定压力应比工作压力低0.05-0.1MPa，若设定过低（如工作压力0.4MPa，背压阀设定0.2MPa），需顺时针旋转调节旋钮提高设定值，确保出口压力稳定。</w:t>
      </w:r>
    </w:p>
    <w:p w14:paraId="243DAC14">
      <w:pPr>
        <w:pStyle w:val="4"/>
      </w:pPr>
      <w:r>
        <w:t>7.3 泄漏故障</w:t>
      </w:r>
    </w:p>
    <w:p w14:paraId="13957BE4">
      <w:r>
        <w:t>计量泵的泄漏故障根据泄漏部位可分为泵头泄漏、液压系统泄漏和传动系统泄漏，不同部位的泄漏原因和排除方法各异。泵头泄漏是最常见类型，柱塞式泵头主要表现为轴封处滴漏，由填料密封磨损或压盖松动引起。当填料环因长期往复运动磨损后，密封性能下降，介质从柱塞与填料之间的间隙渗出，初期为微量滴漏（＜5滴/小时），严重时形成流束。排除方法：首先均匀拧紧填料压盖螺栓（扭矩2-3N·m），压缩填料补偿磨损，若仍泄漏则需拆卸压盖，取出旧填料环，更换新填料（石墨或PTFE材质，切口45°斜接），安装时相邻填料切口错开90°，确保密封均匀。</w:t>
      </w:r>
    </w:p>
    <w:p w14:paraId="7226B681">
      <w:r>
        <w:t>隔膜式泵头泄漏分为介质侧泄漏和液压油侧泄漏。介质侧泄漏表现为泵头外部有介质渗出或从排气孔滴落，多因隔膜破裂或隔膜与泵腔密封面损坏，需拆卸泵头，检查隔膜表面有无裂纹、穿孔或老化变硬现象，更换新隔膜（注意安装方向，标记面朝向介质侧），同时检查泵腔密封槽有无划伤，必要时研磨修复（平面度≤0.002mm）。液压油侧泄漏表现为液压油从泵头与液压腔连接处渗出，通常是密封圈老化或螺栓松动，需更换耐油橡胶O型圈（硬度70 Shore A），均匀拧紧连接螺栓（扭矩5-8N·m），防止局部密封不严。</w:t>
      </w:r>
    </w:p>
    <w:p w14:paraId="16507492">
      <w:r>
        <w:t>液压系统泄漏主要发生在液压油泵、管路接头和控制阀组。液压油泵轴封泄漏时，齿轮箱内液压油减少，同时泵轴下方出现油滴，需更换油泵机械密封（动环材质碳化硅，静环材质石墨），安装时确保密封面清洁无划痕，弹簧压缩量符合要求（自由长度30mm，压缩后25mm）。管路接头泄漏多因接头松动或密封圈损坏，检查接头螺纹是否滑丝，更换锥形密封圈（材质丁腈橡胶），用扳手均匀拧紧（扭矩8-10N·m），避免过度拧紧导致螺纹断裂。控制阀组中，补液阀和泄压阀的阀芯密封不良会导致液压油内漏，表现为液压系统压力建立缓慢，需拆解阀门，清理阀芯和阀座上的杂质，研磨密封面或更换阀芯弹簧（弹性系数偏差≤5%）。</w:t>
      </w:r>
    </w:p>
    <w:p w14:paraId="0450676E">
      <w:r>
        <w:t>传动系统泄漏主要是齿轮箱润滑油泄漏，源于油封老化或箱体结合面密封不良。输入轴或输出轴油封泄漏时，润滑油从轴端滴落，需更换骨架油封（型号根据轴径选择，如轴径30mm选用TC30×45×10），安装时用专用工具压入，避免唇口损伤；箱体结合面泄漏表现为上下箱体连接处渗油，多因密封垫老化或螺栓紧固不均，需拆卸箱体，清理结合面，更换耐油密封垫（厚度2mm），均匀拧紧螺栓（扭矩10-15N·m，按对角顺序分三次拧紧）。泄漏故障排除后，需重新检查油位，补充相应油品，运行30分钟后确认无新的泄漏点，方可投入正常使用。</w:t>
      </w:r>
    </w:p>
    <w:p w14:paraId="51AED84C">
      <w:pPr>
        <w:pStyle w:val="4"/>
      </w:pPr>
      <w:r>
        <w:t>7.4 异常噪音与振动故障</w:t>
      </w:r>
    </w:p>
    <w:p w14:paraId="5F240176">
      <w:r>
        <w:t>计量泵的异常噪音与振动通常源于机械部件异常、流体流动紊乱或安装不当，需通过听、看、测相结合的方法诊断原因。机械噪音表现为规律性的“咔嗒声”“尖叫声”或“嗡嗡声”，主要由传动部件磨损或装配不良引起。蜗杆蜗轮啮合不良时，会产生周期性“咔嗒声”，噪音频率与蜗轮转速一致（72.5次/分钟），原因包括蜗轮蜗杆齿面磨损（齿厚磨损＞0.1mm）、啮合间隙过大（＞0.2mm）或润滑油不足，需拆解传动箱，检查齿面接触斑点（应≥70%），调整蜗轮轴向间隙（0.1-0.15mm），补充N320极压齿轮油至油标2/3处。</w:t>
      </w:r>
    </w:p>
    <w:p w14:paraId="689F237D">
      <w:r>
        <w:t>轴承磨损会产生“沙沙声”或“尖叫声”，噪音随转速升高而增大，用听诊器接触轴承座可听到明显异响，同时伴有轴承温度升高（超过环境温度40℃）。需更换轴承（型号根据轴径选择，如6205深沟球轴承），新轴承游隙应控制在0.01-0.03mm，安装时用铜棒敲击内圈，避免直接冲击滚动体。曲轴连杆机构松动表现为“哐当”冲击声，因连杆大头瓦磨损（间隙＞0.1mm）或十字头销松动，导致往复运动时产生冲击，需更换连杆瓦（按轴颈配瓦，间隙0.05-0.08mm），紧固十字头销螺母并防松（涂抹螺纹锁固胶）。</w:t>
      </w:r>
    </w:p>
    <w:p w14:paraId="726CF5DB">
      <w:r>
        <w:t>流体噪音表现为“咕噜声”或“喘息声”，由介质中气泡或流动紊乱引起。气穴现象是常见原因，当吸入压力过低（＜-0.08MPa）时，介质在泵腔入口处汽化形成气泡，气泡破裂时产生“咕噜”声，同时伴有流量波动。需提高吸入液位（使吸入管路正压），缩短吸入管路长度（≤2m），或降低泵的转速（减少吸液速度），避免气穴产生。管路振动引发的噪音多因流量脉动未被吸收，当泵出口无脉动阻尼器或阻尼器失效时，流量脉动会导致管路剧烈振动（振幅＞0.5mm），产生低频噪音。需在泵头出口安装脉动阻尼器，充氮气至工作压力的60%-70%（如工作压力0.4MPa，充气压力0.24-0.28MPa），吸收流量脉动（衰减率≥90%），同时检查管路支架是否牢固，增加固定支架减少振动。</w:t>
      </w:r>
    </w:p>
    <w:p w14:paraId="71CE6DD3">
      <w:r>
        <w:t>安装不当导致的振动表现为设备整体晃动，振幅＞0.2mm，主要原因包括地基不平、地脚螺栓松动或泵与电机对中不良。地基不平会使泵体倾斜，运行时产生附加力矩，需用水平仪调整泵体水平（水平度≤0.1mm/m），在底座下垫铁片找平；地脚螺栓松动时，泵体与地基之间产生间隙，振动加剧，需均匀拧紧螺栓（扭矩20-25N·m），并加装防松螺母；泵与电机对中不良会导致联轴器偏摆，产生径向力，引起轴承过热和振动，需用百分表校正联轴器同轴度（径向偏差≤0.05mm，端面偏差≤0.02mm），调整电机位置使两半联轴器完全对中。</w:t>
      </w:r>
    </w:p>
    <w:p w14:paraId="032097AA">
      <w:pPr>
        <w:pStyle w:val="3"/>
      </w:pPr>
      <w:r>
        <w:t>八、技术参数与选型指南</w:t>
      </w:r>
    </w:p>
    <w:p w14:paraId="1DD8E173">
      <w:pPr>
        <w:pStyle w:val="4"/>
      </w:pPr>
      <w:r>
        <w:t>8.1 主要技术参数</w:t>
      </w:r>
    </w:p>
    <w:p w14:paraId="3D2F013D">
      <w:r>
        <w:t>干变浇注设备中常用计量泵的主要技术参数包括流量范围、压力等级、计量精度、调节范围等，不同类型泵的参数差异如下：柱塞式计量泵的流量范围通常为0.1-2000L/h（单头），压力等级0.6-350MPa，计量精度±1%（30%-100%流量），调节范围0-100%行程，适用介质粘度1-10000mm²/s，电机功率0.75-15kW，进出口口径DN15-DN50。例如浙江爱力浦J-X系列柱塞泵，型号J-X300/1.0，流量300L/h，压力1.0MPa，行程调节0-100%，电机功率2.2kW，进出口法兰DN25，适合输送含高比例填料的环氧树脂（粘度5000-8000mm²/s）。</w:t>
      </w:r>
    </w:p>
    <w:p w14:paraId="310C1C54">
      <w:r>
        <w:t>机械隔膜式计量泵的流量范围0.01-500L/h，压力等级0.1-2MPa，计量精度±5%（40%-100%流量），调节范围10-100%行程，适用介质粘度1-1000mm²/s，电机功率0.25-5.5kW，进出口口径DN8-DN32。东莞市双丰150系列机械隔膜泵，型号150/0.6，流量150L/h，压力0.6MPa，隔膜材质丁腈橡胶，电机功率1.1kW，适合输送纯环氧树脂或低填料含量介质（粘度＜2000mm²/s）。</w:t>
      </w:r>
    </w:p>
    <w:p w14:paraId="6B507592">
      <w:r>
        <w:t>液压隔膜式计量泵的流量范围0.1-1000L/h，压力等级0.6-35MPa，计量精度±1%（10%-100%流量），调节范围0-100%行程，适用介质粘度1-20000mm²/s，电机功率0.75-11kW，进出口口径DN15-DN40，配备双隔膜及破裂报警装置。上海上诚SC-HY80液压隔膜泵，型号SC-HY80/4.0，流量80L/h，压力4.0MPa，液压油腔带温度监测，电机功率3.0kW，适合输送腐蚀性或有毒介质（如含阻燃剂的特种树脂），真空环境下密封性能优异。</w:t>
      </w:r>
    </w:p>
    <w:p w14:paraId="716B5B6F">
      <w:r>
        <w:t>通用技术参数还包括：往复频率10-150次/分钟，调节方式手动/电动/变频，控制信号4-20mA/0-10V，电源380V 50Hz（三相），防护等级IP55（户外型IP65），环境温度-10-50℃，相对湿度≤90%（无凝露）。泵头材质根据介质特性选择：普通介质用304不锈钢，腐蚀性介质用316不锈钢或PVC，高粘度磨蚀性介质用陶瓷或哈氏合金。</w:t>
      </w:r>
    </w:p>
    <w:p w14:paraId="1A5A04AE">
      <w:pPr>
        <w:pStyle w:val="4"/>
      </w:pPr>
      <w:r>
        <w:t>8.2 不同类型计量泵选型对比</w:t>
      </w:r>
    </w:p>
    <w:p w14:paraId="064C49D8">
      <w:r>
        <w:t>基于干变浇注工艺的介质特性和工况要求，柱塞式、机械隔膜式和液压隔膜式计量泵的选型对比需从介质适应性、工艺精度、维护成本和运行可靠性四个维度综合评估。介质适应性方面，柱塞式泵头因结构刚性强，能输送高粘度（≤10000mm²/s）、高含固率（≤80%）的介质，如含氧化铝或石英粉的环氧树脂，但其填料密封允许微量泄漏，不适合剧毒或高纯度介质；机械隔膜式泵头通过隔膜隔离介质，实现零泄漏，适合低粘度（≤1000mm²/s）、低磨蚀性介质，但隔膜寿命短（3000-5000小时），不适合连续运行；液压隔膜式泵头兼具高压（≤35MPa）、高粘度（≤20000mm²/s）和零泄漏特性，双隔膜设计提高安全性，适合各类复杂介质，尤其适用于真空浇注中的高密封性要求。</w:t>
      </w:r>
    </w:p>
    <w:p w14:paraId="1C33C632">
      <w:r>
        <w:t>工艺精度方面，柱塞式和液压隔膜式计量泵的计量精度可达±1%，能满足环氧树脂与固化剂的精确配比（如100:15），适合对制品性能要求高的高压绝缘件（如110kV互感器）；机械隔膜式精度±5%，仅适用于对配比要求不严格的普通干式变压器浇注。调节性能上，柱塞式和液压隔膜式支持0-100%行程调节，线性度好，流量波动小（±1%）；机械隔膜式在10%以下行程时精度显著下降，需控制在40%-100%行程运行。</w:t>
      </w:r>
    </w:p>
    <w:p w14:paraId="10B74F45">
      <w:r>
        <w:t>维护成本方面，机械隔膜式初期投资最低（约为柱塞式的60%），但隔膜更换频繁（每3000-5000小时更换，费用约占泵价10%），长期维护成本高；柱塞式需定期更换填料（每1000-2000小时，费用低），维护简单；液压隔膜式初期投资最高（约为柱塞式的1.5倍），但隔膜寿命长（8000-10000小时），液压系统维护周期长（2000小时换油），长期综合成本反而较低。</w:t>
      </w:r>
    </w:p>
    <w:p w14:paraId="2619B095">
      <w:r>
        <w:t>运行可靠性方面，柱塞式结构简单，故障率低（平均无故障时间8000小时），但密封件磨损可能导致意外停机；液压隔膜式配备完善的监测报警功能（隔膜破裂、液压油位低、超压等），可提前预警故障，平均无故障时间12000小时，适合连续化生产线；机械隔膜式因隔膜易疲劳破裂，故障率较高（平均无故障时间5000小时），适合间歇式生产。</w:t>
      </w:r>
    </w:p>
    <w:p w14:paraId="4A02DDB3">
      <w:r>
        <w:t>选型决策流程：首先确定介质特性（粘度、含固率、腐蚀性）→根据压力和流量需求初步筛选泵型→评估工艺精度要求（配比精度、流量波动）→结合预算和维护能力确定最终型号。例如输送含70%氧化铝的环氧树脂（粘度8000mm²/s，压力1.0MPa，流量300L/h），应选择柱塞式计量泵；输送剧毒阻燃树脂（粘度5000mm²/s，压力4.0MPa，流量80L/h），液压隔膜式为首选；预算有限且输送纯环氧树脂（粘度1000mm²/s，压力0.6MPa），机械隔膜式可作为经济选择。</w:t>
      </w:r>
    </w:p>
    <w:p w14:paraId="1A37494E">
      <w:pPr>
        <w:pStyle w:val="4"/>
      </w:pPr>
      <w:r>
        <w:t>8.3 选型注意事项与案例参考</w:t>
      </w:r>
    </w:p>
    <w:p w14:paraId="3B5F967C">
      <w:r>
        <w:t>计量泵选型时需综合考虑工艺适配性、系统兼容性和长期运行成本，避免因选型不当导致设备运行异常或维护困难。工艺适配性方面，需重点关注介质粘度与泵型匹配，当介质粘度超过800mm²/s时，机械隔膜式泵的流量精度会下降5%-10%，应优先选择柱塞式或液压隔膜式；含固率＞50%时，需选择大流通面积的单向阀（阀座直径≥柱塞直径1.5倍）和耐磨泵头材质（如陶瓷、哈氏合金），防止填料颗粒磨损密封面或堵塞阀口。例如某案例中，用户选用机械隔膜式泵输送含60%石英粉的环氧树脂（粘度6000mm²/s），运行100小时后因阀座磨损导致流量下降30%，更换为柱塞式泵后问题解决。</w:t>
      </w:r>
    </w:p>
    <w:p w14:paraId="5F8C05EC">
      <w:r>
        <w:t>系统兼容性方面，需确保计量泵与真空系统、温控系统的参数匹配。真空环境下，泵的出口压力需能克服系统负压（通常设计压差≥0.3MPa），例如真空度50Pa时，泵出口压力应≥0.3MPa，防止介质无法注入模具；与温控系统联动时，泵的流量调节范围需覆盖温度变化导致的粘度波动（温度每变化10℃，粘度变化约20%-30%），因此调节范围应≥10:1，确保通过流量补偿维持实际输送量稳定。某真空浇注线中，计量泵调节范围仅5:1，当介质温度从60℃升至70℃（粘度降低25%）时，流量超出上限，需更换为10:1调节范围的泵型。</w:t>
      </w:r>
    </w:p>
    <w:p w14:paraId="1FEF6558">
      <w:r>
        <w:t>安装空间与维护便利性也需考虑，柱塞式泵的传动箱和泵头尺寸较大，需预留足够的检修空间（泵头周围≥500mm）；液压隔膜式泵需定期检查液压油位和隔膜状态，安装位置应便于观察和操作；机械隔膜式泵重量轻，可安装在狭小空间，但更换隔膜时需拆卸泵头，应避免安装在管路密集处。此外，电源和控制信号兼容性不容忽视，确保泵的电机电压（380V）与现场电源一致，控制信号（4-20mA/Modbus）能接入现有PLC系统，避免额外增加转换模块。</w:t>
      </w:r>
    </w:p>
    <w:p w14:paraId="3A98FD02">
      <w:r>
        <w:t>典型选型案例参考：某110kV干式变压器浇注线，需输送A/B组份环氧树脂（A组份含70%氧化铝，粘度8000mm²/s；B组份为固化剂，粘度1000mm²/s），配比100:15，流量A组份300L/h，B组份45L/h，压力1.0MPa，真空度≤50Pa。选型过程：A组份粘度高、含固率大→选择柱塞式计量泵（浙江爱力浦J-X300/1.0）；B组份粘度低、流量小→选择液压隔膜式计量泵（上海上诚SC-HY50/1.0）；控制系统要求与真空系统联锁→选用带Profinet通讯接口的型号，实现真空度-流量联动调节。运行结果：配比精度±0.5%，流量波动±0.8%，满足高压绝缘件浇注要求，设备连续运行6个月无故障。</w:t>
      </w:r>
    </w:p>
    <w:p w14:paraId="76965A9A">
      <w:r>
        <w:t>另一案例：某互感器小批量生产，输送纯环氧树脂（粘度2000mm²/s），流量50L/h，压力0.6MPa，预算有限。选型结果：机械隔膜式泵（东莞市双丰150/0.6），成本仅为液压隔膜式的60%，运行中需每3个月更换一次隔膜（费用约500元），适合间歇式生产（每日运行8小时）。使用注意事项：启动前需充分排气，运行时控制行程在40%-100%范围，定期清洗过滤器，避免杂质堵塞阀组。</w:t>
      </w:r>
    </w:p>
    <w:p w14:paraId="2DCA9BE2">
      <w:pPr>
        <w:pStyle w:val="31"/>
        <w:bidi w:val="0"/>
        <w:rPr>
          <w:rFonts w:hint="eastAsia"/>
          <w:lang w:val="en-US" w:eastAsia="zh-CN"/>
        </w:rPr>
      </w:pPr>
    </w:p>
    <w:bookmarkEnd w:id="0"/>
    <w:bookmarkEnd w:id="1"/>
    <w:sectPr>
      <w:pgBorders>
        <w:top w:val="none" w:sz="0" w:space="0"/>
        <w:left w:val="none" w:sz="0" w:space="0"/>
        <w:bottom w:val="none" w:sz="0" w:space="0"/>
        <w:right w:val="none" w:sz="0" w:space="0"/>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微软雅黑">
    <w:altName w:val="汉仪旗黑KW 55S"/>
    <w:panose1 w:val="020B0503020204020204"/>
    <w:charset w:val="86"/>
    <w:family w:val="auto"/>
    <w:pitch w:val="default"/>
    <w:sig w:usb0="00000000" w:usb1="00000000" w:usb2="00000016" w:usb3="00000000" w:csb0="0004001F" w:csb1="00000000"/>
  </w:font>
  <w:font w:name="汉仪旗黑KW 55S">
    <w:panose1 w:val="00020600040101010101"/>
    <w:charset w:val="86"/>
    <w:family w:val="auto"/>
    <w:pitch w:val="default"/>
    <w:sig w:usb0="A00002BF" w:usb1="3ACF7CFA" w:usb2="00000016" w:usb3="00000000" w:csb0="0004009F" w:csb1="DFD70000"/>
  </w:font>
  <w:font w:name="Cambria">
    <w:altName w:val="Georgia"/>
    <w:panose1 w:val="02040503050406030204"/>
    <w:charset w:val="86"/>
    <w:family w:val="auto"/>
    <w:pitch w:val="default"/>
    <w:sig w:usb0="00000000" w:usb1="00000000" w:usb2="02000000" w:usb3="00000000" w:csb0="2000019F" w:csb1="00000000"/>
  </w:font>
  <w:font w:name="Georgia">
    <w:panose1 w:val="02040502050405020303"/>
    <w:charset w:val="00"/>
    <w:family w:val="auto"/>
    <w:pitch w:val="default"/>
    <w:sig w:usb0="00000287" w:usb1="00000000" w:usb2="00000000" w:usb3="00000000" w:csb0="2000009F" w:csb1="00000000"/>
  </w:font>
  <w:font w:name="Copperplate">
    <w:altName w:val="仓耳屏显楷体 W04"/>
    <w:panose1 w:val="02000504000000020004"/>
    <w:charset w:val="00"/>
    <w:family w:val="auto"/>
    <w:pitch w:val="default"/>
    <w:sig w:usb0="00000000" w:usb1="00000000" w:usb2="00000000" w:usb3="00000000" w:csb0="20000111" w:csb1="40000000"/>
  </w:font>
  <w:font w:name="仓耳屏显楷体 W04">
    <w:panose1 w:val="02020400000000000000"/>
    <w:charset w:val="86"/>
    <w:family w:val="auto"/>
    <w:pitch w:val="default"/>
    <w:sig w:usb0="80000003" w:usb1="08012000" w:usb2="00000012"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ind w:firstLine="480"/>
      </w:pPr>
      <w:r>
        <w:separator/>
      </w:r>
    </w:p>
  </w:footnote>
  <w:footnote w:type="continuationSeparator" w:id="1">
    <w:p>
      <w:pPr>
        <w:spacing w:before="0" w:after="0"/>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7E456F9"/>
    <w:multiLevelType w:val="singleLevel"/>
    <w:tmpl w:val="A7E456F9"/>
    <w:lvl w:ilvl="0" w:tentative="0">
      <w:start w:val="1"/>
      <w:numFmt w:val="decimal"/>
      <w:pStyle w:val="37"/>
      <w:lvlText w:val="%1."/>
      <w:lvlJc w:val="left"/>
      <w:pPr>
        <w:tabs>
          <w:tab w:val="left" w:pos="2040"/>
        </w:tabs>
        <w:ind w:left="2040" w:hanging="360"/>
      </w:pPr>
    </w:lvl>
  </w:abstractNum>
  <w:abstractNum w:abstractNumId="1">
    <w:nsid w:val="B1B9B92F"/>
    <w:multiLevelType w:val="singleLevel"/>
    <w:tmpl w:val="B1B9B92F"/>
    <w:lvl w:ilvl="0" w:tentative="0">
      <w:start w:val="1"/>
      <w:numFmt w:val="bullet"/>
      <w:pStyle w:val="15"/>
      <w:lvlText w:val=""/>
      <w:lvlJc w:val="left"/>
      <w:pPr>
        <w:tabs>
          <w:tab w:val="left" w:pos="1620"/>
        </w:tabs>
        <w:ind w:left="1620" w:hanging="360"/>
      </w:pPr>
      <w:rPr>
        <w:rFonts w:hint="default" w:ascii="Wingdings" w:hAnsi="Wingdings"/>
      </w:rPr>
    </w:lvl>
  </w:abstractNum>
  <w:abstractNum w:abstractNumId="2">
    <w:nsid w:val="B7BA28C9"/>
    <w:multiLevelType w:val="singleLevel"/>
    <w:tmpl w:val="B7BA28C9"/>
    <w:lvl w:ilvl="0" w:tentative="0">
      <w:start w:val="1"/>
      <w:numFmt w:val="decimal"/>
      <w:pStyle w:val="28"/>
      <w:lvlText w:val="%1."/>
      <w:lvlJc w:val="left"/>
      <w:pPr>
        <w:tabs>
          <w:tab w:val="left" w:pos="1620"/>
        </w:tabs>
        <w:ind w:left="1620" w:hanging="360"/>
      </w:pPr>
    </w:lvl>
  </w:abstractNum>
  <w:abstractNum w:abstractNumId="3">
    <w:nsid w:val="F47960A0"/>
    <w:multiLevelType w:val="singleLevel"/>
    <w:tmpl w:val="F47960A0"/>
    <w:lvl w:ilvl="0" w:tentative="0">
      <w:start w:val="1"/>
      <w:numFmt w:val="decimal"/>
      <w:pStyle w:val="22"/>
      <w:lvlText w:val="%1."/>
      <w:lvlJc w:val="left"/>
      <w:pPr>
        <w:tabs>
          <w:tab w:val="left" w:pos="1200"/>
        </w:tabs>
        <w:ind w:left="1200" w:hanging="360"/>
      </w:pPr>
    </w:lvl>
  </w:abstractNum>
  <w:abstractNum w:abstractNumId="4">
    <w:nsid w:val="FEB58EF3"/>
    <w:multiLevelType w:val="singleLevel"/>
    <w:tmpl w:val="FEB58EF3"/>
    <w:lvl w:ilvl="0" w:tentative="0">
      <w:start w:val="1"/>
      <w:numFmt w:val="bullet"/>
      <w:pStyle w:val="18"/>
      <w:lvlText w:val=""/>
      <w:lvlJc w:val="left"/>
      <w:pPr>
        <w:tabs>
          <w:tab w:val="left" w:pos="360"/>
        </w:tabs>
        <w:ind w:left="360" w:hanging="360"/>
      </w:pPr>
      <w:rPr>
        <w:rFonts w:hint="default" w:ascii="Wingdings" w:hAnsi="Wingdings"/>
      </w:rPr>
    </w:lvl>
  </w:abstractNum>
  <w:abstractNum w:abstractNumId="5">
    <w:nsid w:val="FF9BA098"/>
    <w:multiLevelType w:val="singleLevel"/>
    <w:tmpl w:val="FF9BA098"/>
    <w:lvl w:ilvl="0" w:tentative="0">
      <w:start w:val="1"/>
      <w:numFmt w:val="bullet"/>
      <w:pStyle w:val="26"/>
      <w:lvlText w:val=""/>
      <w:lvlJc w:val="left"/>
      <w:pPr>
        <w:tabs>
          <w:tab w:val="left" w:pos="780"/>
        </w:tabs>
        <w:ind w:left="780" w:hanging="360"/>
      </w:pPr>
      <w:rPr>
        <w:rFonts w:hint="default" w:ascii="Wingdings" w:hAnsi="Wingdings"/>
      </w:rPr>
    </w:lvl>
  </w:abstractNum>
  <w:abstractNum w:abstractNumId="6">
    <w:nsid w:val="FFA86893"/>
    <w:multiLevelType w:val="singleLevel"/>
    <w:tmpl w:val="FFA86893"/>
    <w:lvl w:ilvl="0" w:tentative="0">
      <w:start w:val="1"/>
      <w:numFmt w:val="bullet"/>
      <w:pStyle w:val="27"/>
      <w:lvlText w:val=""/>
      <w:lvlJc w:val="left"/>
      <w:pPr>
        <w:tabs>
          <w:tab w:val="left" w:pos="2040"/>
        </w:tabs>
        <w:ind w:left="2040" w:hanging="360"/>
      </w:pPr>
      <w:rPr>
        <w:rFonts w:hint="default" w:ascii="Wingdings" w:hAnsi="Wingdings"/>
      </w:rPr>
    </w:lvl>
  </w:abstractNum>
  <w:abstractNum w:abstractNumId="7">
    <w:nsid w:val="052FBF93"/>
    <w:multiLevelType w:val="singleLevel"/>
    <w:tmpl w:val="052FBF93"/>
    <w:lvl w:ilvl="0" w:tentative="0">
      <w:start w:val="1"/>
      <w:numFmt w:val="decimal"/>
      <w:pStyle w:val="16"/>
      <w:lvlText w:val="%1."/>
      <w:lvlJc w:val="left"/>
      <w:pPr>
        <w:tabs>
          <w:tab w:val="left" w:pos="360"/>
        </w:tabs>
        <w:ind w:left="360" w:hanging="360"/>
      </w:pPr>
    </w:lvl>
  </w:abstractNum>
  <w:abstractNum w:abstractNumId="8">
    <w:nsid w:val="1FFE05E1"/>
    <w:multiLevelType w:val="singleLevel"/>
    <w:tmpl w:val="1FFE05E1"/>
    <w:lvl w:ilvl="0" w:tentative="0">
      <w:start w:val="1"/>
      <w:numFmt w:val="bullet"/>
      <w:pStyle w:val="24"/>
      <w:lvlText w:val=""/>
      <w:lvlJc w:val="left"/>
      <w:pPr>
        <w:ind w:left="420" w:hanging="420"/>
      </w:pPr>
      <w:rPr>
        <w:rFonts w:hint="default" w:ascii="Wingdings" w:hAnsi="Wingdings"/>
      </w:rPr>
    </w:lvl>
  </w:abstractNum>
  <w:abstractNum w:abstractNumId="9">
    <w:nsid w:val="29AA8454"/>
    <w:multiLevelType w:val="multilevel"/>
    <w:tmpl w:val="29AA8454"/>
    <w:lvl w:ilvl="0" w:tentative="0">
      <w:start w:val="1"/>
      <w:numFmt w:val="chineseCounting"/>
      <w:suff w:val="nothing"/>
      <w:lvlText w:val="%1、"/>
      <w:lvlJc w:val="left"/>
      <w:pPr>
        <w:tabs>
          <w:tab w:val="left" w:pos="0"/>
        </w:tabs>
        <w:ind w:left="0" w:firstLine="0"/>
      </w:pPr>
      <w:rPr>
        <w:rFonts w:hint="eastAsia" w:ascii="黑体" w:hAnsi="黑体" w:eastAsia="黑体"/>
      </w:rPr>
    </w:lvl>
    <w:lvl w:ilvl="1" w:tentative="0">
      <w:start w:val="1"/>
      <w:numFmt w:val="chineseCounting"/>
      <w:suff w:val="nothing"/>
      <w:lvlText w:val="（%2）"/>
      <w:lvlJc w:val="left"/>
      <w:pPr>
        <w:tabs>
          <w:tab w:val="left" w:pos="0"/>
        </w:tabs>
        <w:ind w:left="0" w:firstLine="0"/>
      </w:pPr>
      <w:rPr>
        <w:rFonts w:hint="eastAsia" w:ascii="黑体" w:hAnsi="黑体" w:eastAsia="黑体"/>
      </w:rPr>
    </w:lvl>
    <w:lvl w:ilvl="2" w:tentative="0">
      <w:start w:val="1"/>
      <w:numFmt w:val="decimal"/>
      <w:suff w:val="nothing"/>
      <w:lvlText w:val="%3．"/>
      <w:lvlJc w:val="left"/>
      <w:pPr>
        <w:tabs>
          <w:tab w:val="left" w:pos="0"/>
        </w:tabs>
        <w:ind w:left="0" w:firstLine="400"/>
      </w:pPr>
      <w:rPr>
        <w:rFonts w:hint="eastAsia" w:ascii="黑体" w:hAnsi="黑体" w:eastAsia="黑体"/>
      </w:rPr>
    </w:lvl>
    <w:lvl w:ilvl="3" w:tentative="0">
      <w:start w:val="1"/>
      <w:numFmt w:val="decimal"/>
      <w:suff w:val="nothing"/>
      <w:lvlText w:val="（%4）"/>
      <w:lvlJc w:val="left"/>
      <w:pPr>
        <w:tabs>
          <w:tab w:val="left" w:pos="0"/>
        </w:tabs>
        <w:ind w:left="0" w:firstLine="402"/>
      </w:pPr>
      <w:rPr>
        <w:rFonts w:hint="eastAsia" w:ascii="黑体" w:hAnsi="黑体" w:eastAsia="黑体"/>
      </w:rPr>
    </w:lvl>
    <w:lvl w:ilvl="4" w:tentative="0">
      <w:start w:val="1"/>
      <w:numFmt w:val="decimalEnclosedCircleChinese"/>
      <w:pStyle w:val="6"/>
      <w:suff w:val="nothing"/>
      <w:lvlText w:val="%5"/>
      <w:lvlJc w:val="left"/>
      <w:pPr>
        <w:tabs>
          <w:tab w:val="left" w:pos="0"/>
        </w:tabs>
        <w:ind w:left="0" w:firstLine="402"/>
      </w:pPr>
      <w:rPr>
        <w:rFonts w:hint="eastAsia" w:ascii="黑体" w:hAnsi="黑体" w:eastAsia="黑体"/>
      </w:rPr>
    </w:lvl>
    <w:lvl w:ilvl="5" w:tentative="0">
      <w:start w:val="1"/>
      <w:numFmt w:val="decimal"/>
      <w:pStyle w:val="8"/>
      <w:suff w:val="nothing"/>
      <w:lvlText w:val="%6）"/>
      <w:lvlJc w:val="left"/>
      <w:pPr>
        <w:ind w:left="0" w:firstLine="402"/>
      </w:pPr>
      <w:rPr>
        <w:rFonts w:hint="eastAsia"/>
      </w:rPr>
    </w:lvl>
    <w:lvl w:ilvl="6" w:tentative="0">
      <w:start w:val="1"/>
      <w:numFmt w:val="lowerLetter"/>
      <w:pStyle w:val="9"/>
      <w:suff w:val="nothing"/>
      <w:lvlText w:val="%7．"/>
      <w:lvlJc w:val="left"/>
      <w:pPr>
        <w:ind w:left="0" w:firstLine="402"/>
      </w:pPr>
      <w:rPr>
        <w:rFonts w:hint="eastAsia"/>
      </w:rPr>
    </w:lvl>
    <w:lvl w:ilvl="7" w:tentative="0">
      <w:start w:val="1"/>
      <w:numFmt w:val="lowerLetter"/>
      <w:pStyle w:val="10"/>
      <w:suff w:val="nothing"/>
      <w:lvlText w:val="%8）"/>
      <w:lvlJc w:val="left"/>
      <w:pPr>
        <w:ind w:left="0" w:firstLine="402"/>
      </w:pPr>
      <w:rPr>
        <w:rFonts w:hint="eastAsia"/>
      </w:rPr>
    </w:lvl>
    <w:lvl w:ilvl="8" w:tentative="0">
      <w:start w:val="1"/>
      <w:numFmt w:val="lowerRoman"/>
      <w:pStyle w:val="11"/>
      <w:suff w:val="nothing"/>
      <w:lvlText w:val="%9 "/>
      <w:lvlJc w:val="left"/>
      <w:pPr>
        <w:ind w:left="0" w:firstLine="402"/>
      </w:pPr>
      <w:rPr>
        <w:rFonts w:hint="eastAsia"/>
      </w:rPr>
    </w:lvl>
  </w:abstractNum>
  <w:abstractNum w:abstractNumId="10">
    <w:nsid w:val="6FFE7285"/>
    <w:multiLevelType w:val="singleLevel"/>
    <w:tmpl w:val="6FFE7285"/>
    <w:lvl w:ilvl="0" w:tentative="0">
      <w:start w:val="1"/>
      <w:numFmt w:val="bullet"/>
      <w:pStyle w:val="21"/>
      <w:lvlText w:val=""/>
      <w:lvlJc w:val="left"/>
      <w:pPr>
        <w:tabs>
          <w:tab w:val="left" w:pos="1200"/>
        </w:tabs>
        <w:ind w:left="1200" w:hanging="360"/>
      </w:pPr>
      <w:rPr>
        <w:rFonts w:hint="default" w:ascii="Wingdings" w:hAnsi="Wingdings"/>
      </w:rPr>
    </w:lvl>
  </w:abstractNum>
  <w:abstractNum w:abstractNumId="11">
    <w:nsid w:val="7EFB0518"/>
    <w:multiLevelType w:val="singleLevel"/>
    <w:tmpl w:val="7EFB0518"/>
    <w:lvl w:ilvl="0" w:tentative="0">
      <w:start w:val="1"/>
      <w:numFmt w:val="decimal"/>
      <w:pStyle w:val="13"/>
      <w:lvlText w:val="%1."/>
      <w:lvlJc w:val="left"/>
      <w:pPr>
        <w:tabs>
          <w:tab w:val="left" w:pos="780"/>
        </w:tabs>
        <w:ind w:left="780" w:hanging="360"/>
      </w:pPr>
    </w:lvl>
  </w:abstractNum>
  <w:num w:numId="1">
    <w:abstractNumId w:val="9"/>
  </w:num>
  <w:num w:numId="2">
    <w:abstractNumId w:val="11"/>
  </w:num>
  <w:num w:numId="3">
    <w:abstractNumId w:val="1"/>
  </w:num>
  <w:num w:numId="4">
    <w:abstractNumId w:val="7"/>
  </w:num>
  <w:num w:numId="5">
    <w:abstractNumId w:val="4"/>
  </w:num>
  <w:num w:numId="6">
    <w:abstractNumId w:val="10"/>
  </w:num>
  <w:num w:numId="7">
    <w:abstractNumId w:val="3"/>
  </w:num>
  <w:num w:numId="8">
    <w:abstractNumId w:val="8"/>
  </w:num>
  <w:num w:numId="9">
    <w:abstractNumId w:val="5"/>
  </w:num>
  <w:num w:numId="10">
    <w:abstractNumId w:val="6"/>
  </w:num>
  <w:num w:numId="11">
    <w:abstractNumId w:val="2"/>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splitPgBreakAndParaMark/>
    <w:compatSetting w:name="compatibilityMode" w:uri="http://schemas.microsoft.com/office/word" w:val="12"/>
  </w:compat>
  <w:docVars>
    <w:docVar w:name="commondata" w:val="eyJoZGlkIjoiOTgxM2RjOGM4NmFhZTkyOTlkMmE4MWQ0Zjg2YjZhY2IifQ=="/>
  </w:docVars>
  <w:rsids>
    <w:rsidRoot w:val="00000000"/>
    <w:rsid w:val="01503613"/>
    <w:rsid w:val="0E925DBF"/>
    <w:rsid w:val="0FE732EF"/>
    <w:rsid w:val="0FFBC21C"/>
    <w:rsid w:val="15205ED3"/>
    <w:rsid w:val="17872A04"/>
    <w:rsid w:val="18A902D0"/>
    <w:rsid w:val="1A442B9B"/>
    <w:rsid w:val="1A5F56EF"/>
    <w:rsid w:val="1D7E21F5"/>
    <w:rsid w:val="1E896318"/>
    <w:rsid w:val="1F4965EB"/>
    <w:rsid w:val="25C83238"/>
    <w:rsid w:val="26CA0473"/>
    <w:rsid w:val="2B924E09"/>
    <w:rsid w:val="2CE307C7"/>
    <w:rsid w:val="2F436F36"/>
    <w:rsid w:val="31994BEB"/>
    <w:rsid w:val="3FEA17AB"/>
    <w:rsid w:val="3FF2F4D6"/>
    <w:rsid w:val="410B542B"/>
    <w:rsid w:val="41A71B16"/>
    <w:rsid w:val="427B35B9"/>
    <w:rsid w:val="435B43F6"/>
    <w:rsid w:val="45B00A41"/>
    <w:rsid w:val="4FD75668"/>
    <w:rsid w:val="55426F5C"/>
    <w:rsid w:val="55853555"/>
    <w:rsid w:val="575278AD"/>
    <w:rsid w:val="5DA12EF6"/>
    <w:rsid w:val="5DE3706A"/>
    <w:rsid w:val="608A7C71"/>
    <w:rsid w:val="61615C49"/>
    <w:rsid w:val="6401649C"/>
    <w:rsid w:val="653D4140"/>
    <w:rsid w:val="65907A54"/>
    <w:rsid w:val="665629F7"/>
    <w:rsid w:val="69F47232"/>
    <w:rsid w:val="6A2B7DCF"/>
    <w:rsid w:val="6B550DD6"/>
    <w:rsid w:val="6FE07705"/>
    <w:rsid w:val="6FFD907A"/>
    <w:rsid w:val="74A83031"/>
    <w:rsid w:val="76962A74"/>
    <w:rsid w:val="7B77B008"/>
    <w:rsid w:val="7FF6C12C"/>
    <w:rsid w:val="BCB98261"/>
    <w:rsid w:val="F3EB132D"/>
    <w:rsid w:val="FEF70171"/>
    <w:rsid w:val="FFCF9603"/>
  </w:rsids>
  <m:mathPr>
    <m:mathFont m:val="Cambria Math"/>
    <m:brkBin m:val="before"/>
    <m:brkBinSub m:val="--"/>
    <m:smallFrac m:val="0"/>
    <m:dispDef/>
    <m:lMargin m:val="0"/>
    <m:rMargin m:val="0"/>
    <m:defJc m:val="centerGroup"/>
    <m:wrapRight m:val="1"/>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qFormat="1" w:unhideWhenUsed="0" w:uiPriority="0" w:semiHidden="0" w:name="index 1"/>
    <w:lsdException w:qFormat="1"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unhideWhenUsed="0" w:uiPriority="0" w:semiHidden="0" w:name="List Continue 4"/>
    <w:lsdException w:unhideWhenUsed="0" w:uiPriority="0" w:semiHidden="0" w:name="List Continue 5"/>
    <w:lsdException w:qFormat="1"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ind w:firstLine="601" w:firstLineChars="200"/>
      <w:jc w:val="both"/>
    </w:pPr>
    <w:rPr>
      <w:rFonts w:ascii="微软雅黑" w:hAnsi="微软雅黑" w:eastAsia="微软雅黑" w:cstheme="minorBidi"/>
      <w:sz w:val="24"/>
      <w:szCs w:val="24"/>
      <w:lang w:val="en-US" w:eastAsia="en-US" w:bidi="ar-SA"/>
    </w:rPr>
  </w:style>
  <w:style w:type="paragraph" w:styleId="2">
    <w:name w:val="heading 1"/>
    <w:basedOn w:val="1"/>
    <w:next w:val="1"/>
    <w:qFormat/>
    <w:uiPriority w:val="0"/>
    <w:pPr>
      <w:keepNext/>
      <w:keepLines/>
      <w:spacing w:before="260" w:beforeLines="0" w:beforeAutospacing="0" w:after="260" w:afterLines="0" w:afterAutospacing="0" w:line="413" w:lineRule="auto"/>
      <w:jc w:val="center"/>
      <w:outlineLvl w:val="0"/>
    </w:pPr>
    <w:rPr>
      <w:b/>
      <w:kern w:val="44"/>
      <w:sz w:val="30"/>
    </w:rPr>
  </w:style>
  <w:style w:type="paragraph" w:styleId="3">
    <w:name w:val="heading 2"/>
    <w:next w:val="1"/>
    <w:unhideWhenUsed/>
    <w:qFormat/>
    <w:uiPriority w:val="0"/>
    <w:pPr>
      <w:keepNext/>
      <w:keepLines/>
      <w:spacing w:before="260" w:beforeLines="0" w:beforeAutospacing="0" w:after="260" w:afterLines="0" w:afterAutospacing="0" w:line="413" w:lineRule="auto"/>
      <w:outlineLvl w:val="1"/>
    </w:pPr>
    <w:rPr>
      <w:rFonts w:ascii="Arial" w:hAnsi="Arial" w:eastAsia="微软雅黑" w:cs="Times New Roman"/>
      <w:b/>
      <w:sz w:val="28"/>
    </w:rPr>
  </w:style>
  <w:style w:type="paragraph" w:styleId="4">
    <w:name w:val="heading 3"/>
    <w:next w:val="1"/>
    <w:unhideWhenUsed/>
    <w:qFormat/>
    <w:uiPriority w:val="0"/>
    <w:pPr>
      <w:keepNext/>
      <w:keepLines/>
      <w:numPr>
        <w:ilvl w:val="0"/>
        <w:numId w:val="0"/>
      </w:numPr>
      <w:spacing w:before="260" w:beforeLines="0" w:beforeAutospacing="0" w:after="260" w:afterLines="0" w:afterAutospacing="0" w:line="413" w:lineRule="auto"/>
      <w:outlineLvl w:val="2"/>
    </w:pPr>
    <w:rPr>
      <w:rFonts w:ascii="Times New Roman" w:hAnsi="Times New Roman" w:eastAsia="微软雅黑" w:cs="Times New Roman"/>
      <w:b/>
      <w:sz w:val="24"/>
    </w:rPr>
  </w:style>
  <w:style w:type="paragraph" w:styleId="5">
    <w:name w:val="heading 4"/>
    <w:next w:val="1"/>
    <w:unhideWhenUsed/>
    <w:qFormat/>
    <w:uiPriority w:val="0"/>
    <w:pPr>
      <w:keepNext/>
      <w:keepLines/>
      <w:numPr>
        <w:ilvl w:val="0"/>
        <w:numId w:val="0"/>
      </w:numPr>
      <w:spacing w:before="280" w:beforeLines="0" w:beforeAutospacing="0" w:after="290" w:afterLines="0" w:afterAutospacing="0" w:line="372" w:lineRule="auto"/>
      <w:outlineLvl w:val="3"/>
    </w:pPr>
    <w:rPr>
      <w:rFonts w:ascii="Arial" w:hAnsi="Arial" w:eastAsia="微软雅黑" w:cs="Times New Roman"/>
      <w:i/>
      <w:sz w:val="24"/>
    </w:rPr>
  </w:style>
  <w:style w:type="paragraph" w:styleId="6">
    <w:name w:val="heading 5"/>
    <w:basedOn w:val="1"/>
    <w:next w:val="7"/>
    <w:unhideWhenUsed/>
    <w:qFormat/>
    <w:uiPriority w:val="9"/>
    <w:pPr>
      <w:keepNext/>
      <w:keepLines/>
      <w:numPr>
        <w:ilvl w:val="4"/>
        <w:numId w:val="1"/>
      </w:numPr>
      <w:spacing w:before="200" w:after="0"/>
      <w:ind w:firstLine="402"/>
      <w:outlineLvl w:val="4"/>
    </w:pPr>
    <w:rPr>
      <w:rFonts w:ascii="微软雅黑" w:hAnsi="微软雅黑" w:eastAsia="微软雅黑" w:cstheme="majorBidi"/>
      <w:iCs/>
      <w:color w:val="auto"/>
    </w:rPr>
  </w:style>
  <w:style w:type="paragraph" w:styleId="8">
    <w:name w:val="heading 6"/>
    <w:basedOn w:val="1"/>
    <w:next w:val="7"/>
    <w:unhideWhenUsed/>
    <w:qFormat/>
    <w:uiPriority w:val="9"/>
    <w:pPr>
      <w:keepNext/>
      <w:keepLines/>
      <w:numPr>
        <w:ilvl w:val="5"/>
        <w:numId w:val="1"/>
      </w:numPr>
      <w:spacing w:before="200" w:after="0"/>
      <w:ind w:firstLine="402"/>
      <w:outlineLvl w:val="5"/>
    </w:pPr>
    <w:rPr>
      <w:rFonts w:ascii="微软雅黑" w:hAnsi="微软雅黑" w:eastAsia="微软雅黑" w:cstheme="majorBidi"/>
      <w:color w:val="auto"/>
    </w:rPr>
  </w:style>
  <w:style w:type="paragraph" w:styleId="9">
    <w:name w:val="heading 7"/>
    <w:basedOn w:val="1"/>
    <w:next w:val="7"/>
    <w:unhideWhenUsed/>
    <w:qFormat/>
    <w:uiPriority w:val="9"/>
    <w:pPr>
      <w:keepNext/>
      <w:keepLines/>
      <w:numPr>
        <w:ilvl w:val="6"/>
        <w:numId w:val="1"/>
      </w:numPr>
      <w:spacing w:before="200" w:after="0"/>
      <w:ind w:firstLine="402"/>
      <w:outlineLvl w:val="6"/>
    </w:pPr>
    <w:rPr>
      <w:rFonts w:ascii="微软雅黑" w:hAnsi="微软雅黑" w:eastAsia="微软雅黑" w:cstheme="majorBidi"/>
      <w:color w:val="auto"/>
    </w:rPr>
  </w:style>
  <w:style w:type="paragraph" w:styleId="10">
    <w:name w:val="heading 8"/>
    <w:basedOn w:val="1"/>
    <w:next w:val="7"/>
    <w:unhideWhenUsed/>
    <w:qFormat/>
    <w:uiPriority w:val="9"/>
    <w:pPr>
      <w:keepNext/>
      <w:keepLines/>
      <w:numPr>
        <w:ilvl w:val="7"/>
        <w:numId w:val="1"/>
      </w:numPr>
      <w:spacing w:before="200" w:after="0"/>
      <w:ind w:firstLine="402"/>
      <w:outlineLvl w:val="7"/>
    </w:pPr>
    <w:rPr>
      <w:rFonts w:ascii="微软雅黑" w:hAnsi="微软雅黑" w:eastAsia="微软雅黑" w:cstheme="majorBidi"/>
      <w:color w:val="auto"/>
    </w:rPr>
  </w:style>
  <w:style w:type="paragraph" w:styleId="11">
    <w:name w:val="heading 9"/>
    <w:basedOn w:val="1"/>
    <w:next w:val="7"/>
    <w:unhideWhenUsed/>
    <w:qFormat/>
    <w:uiPriority w:val="9"/>
    <w:pPr>
      <w:keepNext/>
      <w:keepLines/>
      <w:numPr>
        <w:ilvl w:val="8"/>
        <w:numId w:val="1"/>
      </w:numPr>
      <w:spacing w:before="200" w:after="0"/>
      <w:ind w:firstLine="402"/>
      <w:outlineLvl w:val="8"/>
    </w:pPr>
    <w:rPr>
      <w:rFonts w:ascii="微软雅黑" w:hAnsi="微软雅黑" w:eastAsia="微软雅黑" w:cstheme="majorBidi"/>
      <w:color w:val="auto"/>
    </w:rPr>
  </w:style>
  <w:style w:type="character" w:default="1" w:styleId="51">
    <w:name w:val="Default Paragraph Font"/>
    <w:semiHidden/>
    <w:qFormat/>
    <w:uiPriority w:val="0"/>
  </w:style>
  <w:style w:type="table" w:default="1" w:styleId="50">
    <w:name w:val="Normal Table"/>
    <w:qFormat/>
    <w:uiPriority w:val="0"/>
    <w:tblPr>
      <w:tblCellMar>
        <w:top w:w="0" w:type="dxa"/>
        <w:left w:w="108" w:type="dxa"/>
        <w:bottom w:w="0" w:type="dxa"/>
        <w:right w:w="108" w:type="dxa"/>
      </w:tblCellMar>
    </w:tblPr>
  </w:style>
  <w:style w:type="paragraph" w:styleId="7">
    <w:name w:val="Body Text"/>
    <w:basedOn w:val="1"/>
    <w:link w:val="57"/>
    <w:qFormat/>
    <w:uiPriority w:val="0"/>
    <w:pPr>
      <w:spacing w:before="180" w:after="180"/>
      <w:ind w:firstLine="560" w:firstLineChars="200"/>
      <w:jc w:val="both"/>
    </w:pPr>
  </w:style>
  <w:style w:type="paragraph" w:styleId="12">
    <w:name w:val="List 3"/>
    <w:basedOn w:val="1"/>
    <w:qFormat/>
    <w:uiPriority w:val="0"/>
    <w:pPr>
      <w:ind w:left="100" w:leftChars="400" w:hanging="200" w:hangingChars="200"/>
    </w:pPr>
  </w:style>
  <w:style w:type="paragraph" w:styleId="13">
    <w:name w:val="List Number 2"/>
    <w:basedOn w:val="1"/>
    <w:qFormat/>
    <w:uiPriority w:val="0"/>
    <w:pPr>
      <w:numPr>
        <w:ilvl w:val="0"/>
        <w:numId w:val="2"/>
      </w:numPr>
    </w:pPr>
  </w:style>
  <w:style w:type="paragraph" w:styleId="14">
    <w:name w:val="table of authorities"/>
    <w:basedOn w:val="1"/>
    <w:next w:val="1"/>
    <w:qFormat/>
    <w:uiPriority w:val="0"/>
    <w:pPr>
      <w:ind w:left="420" w:leftChars="200"/>
    </w:pPr>
  </w:style>
  <w:style w:type="paragraph" w:styleId="15">
    <w:name w:val="List Bullet 4"/>
    <w:basedOn w:val="1"/>
    <w:qFormat/>
    <w:uiPriority w:val="0"/>
    <w:pPr>
      <w:numPr>
        <w:ilvl w:val="0"/>
        <w:numId w:val="3"/>
      </w:numPr>
    </w:pPr>
  </w:style>
  <w:style w:type="paragraph" w:styleId="16">
    <w:name w:val="List Number"/>
    <w:basedOn w:val="1"/>
    <w:qFormat/>
    <w:uiPriority w:val="0"/>
    <w:pPr>
      <w:numPr>
        <w:ilvl w:val="0"/>
        <w:numId w:val="4"/>
      </w:numPr>
    </w:pPr>
  </w:style>
  <w:style w:type="paragraph" w:styleId="17">
    <w:name w:val="caption"/>
    <w:basedOn w:val="1"/>
    <w:qFormat/>
    <w:uiPriority w:val="0"/>
    <w:pPr>
      <w:spacing w:before="0" w:after="120"/>
    </w:pPr>
    <w:rPr>
      <w:i/>
    </w:rPr>
  </w:style>
  <w:style w:type="paragraph" w:styleId="18">
    <w:name w:val="List Bullet"/>
    <w:basedOn w:val="1"/>
    <w:qFormat/>
    <w:uiPriority w:val="0"/>
    <w:pPr>
      <w:numPr>
        <w:ilvl w:val="0"/>
        <w:numId w:val="5"/>
      </w:numPr>
      <w:ind w:left="0" w:firstLine="0" w:firstLineChars="0"/>
    </w:pPr>
  </w:style>
  <w:style w:type="paragraph" w:styleId="19">
    <w:name w:val="Document Map"/>
    <w:basedOn w:val="1"/>
    <w:qFormat/>
    <w:uiPriority w:val="0"/>
    <w:pPr>
      <w:shd w:val="clear" w:color="auto" w:fill="000080"/>
    </w:pPr>
  </w:style>
  <w:style w:type="paragraph" w:styleId="20">
    <w:name w:val="annotation text"/>
    <w:basedOn w:val="1"/>
    <w:qFormat/>
    <w:uiPriority w:val="0"/>
    <w:pPr>
      <w:jc w:val="left"/>
    </w:pPr>
  </w:style>
  <w:style w:type="paragraph" w:styleId="21">
    <w:name w:val="List Bullet 3"/>
    <w:basedOn w:val="1"/>
    <w:qFormat/>
    <w:uiPriority w:val="0"/>
    <w:pPr>
      <w:numPr>
        <w:ilvl w:val="0"/>
        <w:numId w:val="6"/>
      </w:numPr>
    </w:pPr>
  </w:style>
  <w:style w:type="paragraph" w:styleId="22">
    <w:name w:val="List Number 3"/>
    <w:basedOn w:val="1"/>
    <w:qFormat/>
    <w:uiPriority w:val="0"/>
    <w:pPr>
      <w:numPr>
        <w:ilvl w:val="0"/>
        <w:numId w:val="7"/>
      </w:numPr>
    </w:pPr>
  </w:style>
  <w:style w:type="paragraph" w:styleId="23">
    <w:name w:val="List 2"/>
    <w:basedOn w:val="1"/>
    <w:qFormat/>
    <w:uiPriority w:val="0"/>
    <w:pPr>
      <w:ind w:left="100" w:leftChars="200" w:hanging="200" w:hangingChars="200"/>
    </w:pPr>
  </w:style>
  <w:style w:type="paragraph" w:styleId="24">
    <w:name w:val="List Continue"/>
    <w:basedOn w:val="1"/>
    <w:qFormat/>
    <w:uiPriority w:val="0"/>
    <w:pPr>
      <w:numPr>
        <w:ilvl w:val="0"/>
        <w:numId w:val="8"/>
      </w:numPr>
      <w:spacing w:after="120" w:afterLines="0" w:afterAutospacing="0"/>
      <w:ind w:left="0" w:leftChars="200" w:firstLine="0" w:firstLineChars="0"/>
    </w:pPr>
  </w:style>
  <w:style w:type="paragraph" w:styleId="25">
    <w:name w:val="Block Text"/>
    <w:basedOn w:val="7"/>
    <w:next w:val="7"/>
    <w:unhideWhenUsed/>
    <w:qFormat/>
    <w:uiPriority w:val="9"/>
    <w:pPr>
      <w:spacing w:before="100" w:after="100"/>
      <w:ind w:left="480" w:right="480" w:firstLine="0"/>
    </w:pPr>
  </w:style>
  <w:style w:type="paragraph" w:styleId="26">
    <w:name w:val="List Bullet 2"/>
    <w:basedOn w:val="1"/>
    <w:qFormat/>
    <w:uiPriority w:val="0"/>
    <w:pPr>
      <w:numPr>
        <w:ilvl w:val="0"/>
        <w:numId w:val="9"/>
      </w:numPr>
    </w:pPr>
  </w:style>
  <w:style w:type="paragraph" w:styleId="27">
    <w:name w:val="List Bullet 5"/>
    <w:basedOn w:val="1"/>
    <w:qFormat/>
    <w:uiPriority w:val="0"/>
    <w:pPr>
      <w:numPr>
        <w:ilvl w:val="0"/>
        <w:numId w:val="10"/>
      </w:numPr>
    </w:pPr>
  </w:style>
  <w:style w:type="paragraph" w:styleId="28">
    <w:name w:val="List Number 4"/>
    <w:basedOn w:val="1"/>
    <w:qFormat/>
    <w:uiPriority w:val="0"/>
    <w:pPr>
      <w:numPr>
        <w:ilvl w:val="0"/>
        <w:numId w:val="11"/>
      </w:numPr>
    </w:pPr>
  </w:style>
  <w:style w:type="paragraph" w:styleId="29">
    <w:name w:val="Date"/>
    <w:next w:val="7"/>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styleId="30">
    <w:name w:val="endnote text"/>
    <w:basedOn w:val="1"/>
    <w:qFormat/>
    <w:uiPriority w:val="0"/>
    <w:pPr>
      <w:snapToGrid w:val="0"/>
      <w:jc w:val="left"/>
    </w:pPr>
  </w:style>
  <w:style w:type="paragraph" w:styleId="31">
    <w:name w:val="Balloon Text"/>
    <w:basedOn w:val="1"/>
    <w:qFormat/>
    <w:uiPriority w:val="0"/>
    <w:pPr>
      <w:ind w:firstLine="0" w:firstLineChars="0"/>
    </w:pPr>
    <w:rPr>
      <w:sz w:val="18"/>
    </w:rPr>
  </w:style>
  <w:style w:type="paragraph" w:styleId="32">
    <w:name w:val="footer"/>
    <w:basedOn w:val="1"/>
    <w:qFormat/>
    <w:uiPriority w:val="0"/>
    <w:pPr>
      <w:tabs>
        <w:tab w:val="center" w:pos="4153"/>
        <w:tab w:val="right" w:pos="8306"/>
      </w:tabs>
      <w:snapToGrid w:val="0"/>
      <w:jc w:val="left"/>
    </w:pPr>
    <w:rPr>
      <w:sz w:val="18"/>
    </w:rPr>
  </w:style>
  <w:style w:type="paragraph" w:styleId="3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34">
    <w:name w:val="toc 1"/>
    <w:basedOn w:val="1"/>
    <w:next w:val="1"/>
    <w:qFormat/>
    <w:uiPriority w:val="0"/>
  </w:style>
  <w:style w:type="paragraph" w:styleId="35">
    <w:name w:val="Subtitle"/>
    <w:basedOn w:val="36"/>
    <w:next w:val="7"/>
    <w:qFormat/>
    <w:uiPriority w:val="0"/>
    <w:pPr>
      <w:keepNext/>
      <w:keepLines/>
      <w:spacing w:before="240" w:after="240"/>
      <w:jc w:val="center"/>
    </w:pPr>
    <w:rPr>
      <w:rFonts w:ascii="微软雅黑" w:hAnsi="微软雅黑"/>
      <w:sz w:val="30"/>
      <w:szCs w:val="30"/>
    </w:rPr>
  </w:style>
  <w:style w:type="paragraph" w:styleId="36">
    <w:name w:val="Title"/>
    <w:basedOn w:val="1"/>
    <w:qFormat/>
    <w:uiPriority w:val="0"/>
    <w:pPr>
      <w:spacing w:before="240" w:beforeLines="0" w:beforeAutospacing="0" w:after="60" w:afterLines="0" w:afterAutospacing="0"/>
      <w:jc w:val="center"/>
      <w:outlineLvl w:val="0"/>
    </w:pPr>
    <w:rPr>
      <w:rFonts w:ascii="Arial" w:hAnsi="Arial"/>
      <w:b/>
      <w:sz w:val="32"/>
    </w:rPr>
  </w:style>
  <w:style w:type="paragraph" w:styleId="37">
    <w:name w:val="List Number 5"/>
    <w:basedOn w:val="1"/>
    <w:qFormat/>
    <w:uiPriority w:val="0"/>
    <w:pPr>
      <w:numPr>
        <w:ilvl w:val="0"/>
        <w:numId w:val="12"/>
      </w:numPr>
    </w:pPr>
  </w:style>
  <w:style w:type="paragraph" w:styleId="38">
    <w:name w:val="List"/>
    <w:basedOn w:val="1"/>
    <w:qFormat/>
    <w:uiPriority w:val="0"/>
    <w:pPr>
      <w:ind w:left="200" w:hanging="200" w:hangingChars="200"/>
    </w:pPr>
  </w:style>
  <w:style w:type="paragraph" w:styleId="39">
    <w:name w:val="footnote text"/>
    <w:basedOn w:val="1"/>
    <w:unhideWhenUsed/>
    <w:qFormat/>
    <w:uiPriority w:val="9"/>
    <w:rPr>
      <w:rFonts w:ascii="微软雅黑" w:hAnsi="微软雅黑" w:eastAsia="微软雅黑"/>
    </w:rPr>
  </w:style>
  <w:style w:type="paragraph" w:styleId="40">
    <w:name w:val="List 5"/>
    <w:basedOn w:val="1"/>
    <w:qFormat/>
    <w:uiPriority w:val="0"/>
    <w:pPr>
      <w:ind w:left="100" w:leftChars="800" w:hanging="200" w:hangingChars="200"/>
    </w:pPr>
  </w:style>
  <w:style w:type="paragraph" w:styleId="41">
    <w:name w:val="table of figures"/>
    <w:basedOn w:val="1"/>
    <w:next w:val="1"/>
    <w:qFormat/>
    <w:uiPriority w:val="0"/>
    <w:pPr>
      <w:ind w:leftChars="0" w:firstLine="0" w:firstLineChars="0"/>
      <w:jc w:val="left"/>
    </w:pPr>
    <w:rPr>
      <w:rFonts w:ascii="微软雅黑" w:hAnsi="微软雅黑" w:eastAsia="微软雅黑"/>
    </w:rPr>
  </w:style>
  <w:style w:type="paragraph" w:styleId="42">
    <w:name w:val="List 4"/>
    <w:basedOn w:val="1"/>
    <w:qFormat/>
    <w:uiPriority w:val="0"/>
    <w:pPr>
      <w:ind w:left="100" w:leftChars="600" w:hanging="200" w:hangingChars="200"/>
    </w:pPr>
  </w:style>
  <w:style w:type="paragraph" w:styleId="43">
    <w:name w:val="List Continue 2"/>
    <w:basedOn w:val="1"/>
    <w:qFormat/>
    <w:uiPriority w:val="0"/>
    <w:pPr>
      <w:spacing w:after="120" w:afterLines="0" w:afterAutospacing="0"/>
      <w:ind w:left="840" w:leftChars="400"/>
    </w:pPr>
  </w:style>
  <w:style w:type="paragraph" w:styleId="4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sz w:val="24"/>
    </w:rPr>
  </w:style>
  <w:style w:type="paragraph" w:styleId="45">
    <w:name w:val="Normal (Web)"/>
    <w:basedOn w:val="1"/>
    <w:qFormat/>
    <w:uiPriority w:val="0"/>
    <w:pPr>
      <w:spacing w:before="-2147483648" w:beforeAutospacing="1" w:after="-2147483648" w:afterAutospacing="1"/>
      <w:ind w:left="0" w:right="0" w:firstLine="560" w:firstLineChars="200"/>
      <w:jc w:val="both"/>
    </w:pPr>
    <w:rPr>
      <w:rFonts w:ascii="微软雅黑" w:hAnsi="微软雅黑" w:eastAsia="微软雅黑"/>
      <w:lang w:eastAsia="zh-CN" w:bidi="ar"/>
    </w:rPr>
  </w:style>
  <w:style w:type="paragraph" w:styleId="46">
    <w:name w:val="List Continue 3"/>
    <w:basedOn w:val="1"/>
    <w:qFormat/>
    <w:uiPriority w:val="0"/>
    <w:pPr>
      <w:spacing w:after="120" w:afterLines="0" w:afterAutospacing="0"/>
      <w:ind w:left="1260" w:leftChars="600"/>
    </w:pPr>
  </w:style>
  <w:style w:type="paragraph" w:styleId="47">
    <w:name w:val="index 1"/>
    <w:basedOn w:val="1"/>
    <w:next w:val="1"/>
    <w:qFormat/>
    <w:uiPriority w:val="0"/>
  </w:style>
  <w:style w:type="paragraph" w:styleId="48">
    <w:name w:val="index 2"/>
    <w:basedOn w:val="1"/>
    <w:next w:val="1"/>
    <w:qFormat/>
    <w:uiPriority w:val="0"/>
    <w:pPr>
      <w:ind w:left="200" w:leftChars="200"/>
    </w:pPr>
  </w:style>
  <w:style w:type="paragraph" w:styleId="49">
    <w:name w:val="annotation subject"/>
    <w:basedOn w:val="20"/>
    <w:next w:val="20"/>
    <w:qFormat/>
    <w:uiPriority w:val="0"/>
    <w:rPr>
      <w:b/>
    </w:rPr>
  </w:style>
  <w:style w:type="character" w:styleId="52">
    <w:name w:val="endnote reference"/>
    <w:basedOn w:val="51"/>
    <w:qFormat/>
    <w:uiPriority w:val="0"/>
    <w:rPr>
      <w:vertAlign w:val="superscript"/>
    </w:rPr>
  </w:style>
  <w:style w:type="character" w:styleId="53">
    <w:name w:val="page number"/>
    <w:basedOn w:val="51"/>
    <w:qFormat/>
    <w:uiPriority w:val="0"/>
  </w:style>
  <w:style w:type="character" w:styleId="54">
    <w:name w:val="Emphasis"/>
    <w:basedOn w:val="51"/>
    <w:qFormat/>
    <w:uiPriority w:val="0"/>
    <w:rPr>
      <w:i/>
    </w:rPr>
  </w:style>
  <w:style w:type="character" w:styleId="55">
    <w:name w:val="line number"/>
    <w:basedOn w:val="51"/>
    <w:qFormat/>
    <w:uiPriority w:val="0"/>
  </w:style>
  <w:style w:type="character" w:styleId="56">
    <w:name w:val="Hyperlink"/>
    <w:basedOn w:val="57"/>
    <w:qFormat/>
    <w:uiPriority w:val="0"/>
    <w:rPr>
      <w:color w:val="0070C0"/>
      <w:u w:val="single"/>
    </w:rPr>
  </w:style>
  <w:style w:type="character" w:customStyle="1" w:styleId="57">
    <w:name w:val="Body Text Char"/>
    <w:basedOn w:val="51"/>
    <w:link w:val="7"/>
    <w:qFormat/>
    <w:uiPriority w:val="0"/>
    <w:rPr>
      <w:rFonts w:ascii="微软雅黑" w:hAnsi="微软雅黑" w:eastAsia="微软雅黑"/>
    </w:rPr>
  </w:style>
  <w:style w:type="character" w:styleId="58">
    <w:name w:val="annotation reference"/>
    <w:basedOn w:val="51"/>
    <w:qFormat/>
    <w:uiPriority w:val="0"/>
    <w:rPr>
      <w:sz w:val="21"/>
    </w:rPr>
  </w:style>
  <w:style w:type="character" w:styleId="59">
    <w:name w:val="footnote reference"/>
    <w:basedOn w:val="57"/>
    <w:qFormat/>
    <w:uiPriority w:val="0"/>
    <w:rPr>
      <w:vertAlign w:val="superscript"/>
    </w:rPr>
  </w:style>
  <w:style w:type="paragraph" w:customStyle="1" w:styleId="60">
    <w:name w:val="First Paragraph"/>
    <w:basedOn w:val="7"/>
    <w:next w:val="7"/>
    <w:qFormat/>
    <w:uiPriority w:val="0"/>
    <w:pPr>
      <w:ind w:firstLine="720" w:firstLineChars="200"/>
      <w:jc w:val="both"/>
    </w:pPr>
  </w:style>
  <w:style w:type="paragraph" w:customStyle="1" w:styleId="61">
    <w:name w:val="Compact"/>
    <w:basedOn w:val="7"/>
    <w:qFormat/>
    <w:uiPriority w:val="0"/>
    <w:pPr>
      <w:spacing w:before="36" w:after="36"/>
    </w:pPr>
  </w:style>
  <w:style w:type="paragraph" w:customStyle="1" w:styleId="62">
    <w:name w:val="Author"/>
    <w:next w:val="7"/>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customStyle="1" w:styleId="63">
    <w:name w:val="Abstract Title"/>
    <w:basedOn w:val="1"/>
    <w:next w:val="64"/>
    <w:qFormat/>
    <w:uiPriority w:val="0"/>
    <w:pPr>
      <w:keepNext/>
      <w:keepLines/>
      <w:spacing w:before="300" w:after="0"/>
      <w:jc w:val="center"/>
    </w:pPr>
    <w:rPr>
      <w:b/>
      <w:color w:val="345A8A"/>
      <w:sz w:val="20"/>
      <w:szCs w:val="20"/>
    </w:rPr>
  </w:style>
  <w:style w:type="paragraph" w:customStyle="1" w:styleId="64">
    <w:name w:val="Abstract"/>
    <w:basedOn w:val="1"/>
    <w:next w:val="7"/>
    <w:qFormat/>
    <w:uiPriority w:val="0"/>
    <w:pPr>
      <w:keepNext/>
      <w:keepLines/>
      <w:spacing w:before="100" w:after="300"/>
    </w:pPr>
    <w:rPr>
      <w:rFonts w:ascii="微软雅黑" w:hAnsi="微软雅黑" w:eastAsia="微软雅黑"/>
      <w:sz w:val="20"/>
      <w:szCs w:val="20"/>
    </w:rPr>
  </w:style>
  <w:style w:type="paragraph" w:customStyle="1" w:styleId="65">
    <w:name w:val="Bibliography"/>
    <w:basedOn w:val="1"/>
    <w:qFormat/>
    <w:uiPriority w:val="0"/>
  </w:style>
  <w:style w:type="paragraph" w:customStyle="1" w:styleId="66">
    <w:name w:val="Footnote Block Text"/>
    <w:unhideWhenUsed/>
    <w:qFormat/>
    <w:uiPriority w:val="9"/>
    <w:pPr>
      <w:spacing w:before="100" w:after="100"/>
      <w:ind w:left="480" w:right="480" w:firstLine="0"/>
    </w:pPr>
    <w:rPr>
      <w:rFonts w:asciiTheme="minorHAnsi" w:hAnsiTheme="minorHAnsi" w:eastAsiaTheme="minorHAnsi" w:cstheme="minorBidi"/>
      <w:sz w:val="24"/>
      <w:szCs w:val="24"/>
      <w:lang w:val="en-US" w:eastAsia="en-US" w:bidi="ar-SA"/>
    </w:rPr>
  </w:style>
  <w:style w:type="table" w:customStyle="1" w:styleId="6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68">
    <w:name w:val="Definition Term"/>
    <w:basedOn w:val="1"/>
    <w:next w:val="69"/>
    <w:qFormat/>
    <w:uiPriority w:val="0"/>
    <w:pPr>
      <w:keepNext/>
      <w:keepLines/>
      <w:spacing w:after="0"/>
    </w:pPr>
    <w:rPr>
      <w:rFonts w:ascii="微软雅黑" w:hAnsi="微软雅黑" w:eastAsia="微软雅黑"/>
      <w:b/>
    </w:rPr>
  </w:style>
  <w:style w:type="paragraph" w:customStyle="1" w:styleId="69">
    <w:name w:val="Definition"/>
    <w:basedOn w:val="1"/>
    <w:qFormat/>
    <w:uiPriority w:val="0"/>
    <w:rPr>
      <w:rFonts w:ascii="微软雅黑" w:hAnsi="微软雅黑" w:eastAsia="微软雅黑"/>
    </w:rPr>
  </w:style>
  <w:style w:type="paragraph" w:customStyle="1" w:styleId="70">
    <w:name w:val="Table Caption"/>
    <w:basedOn w:val="17"/>
    <w:qFormat/>
    <w:uiPriority w:val="0"/>
    <w:pPr>
      <w:keepNext/>
    </w:pPr>
    <w:rPr>
      <w:rFonts w:ascii="微软雅黑" w:hAnsi="微软雅黑" w:eastAsia="微软雅黑"/>
    </w:rPr>
  </w:style>
  <w:style w:type="paragraph" w:customStyle="1" w:styleId="71">
    <w:name w:val="Image Caption"/>
    <w:basedOn w:val="17"/>
    <w:qFormat/>
    <w:uiPriority w:val="0"/>
    <w:rPr>
      <w:rFonts w:ascii="微软雅黑" w:hAnsi="微软雅黑" w:eastAsia="微软雅黑"/>
    </w:rPr>
  </w:style>
  <w:style w:type="paragraph" w:customStyle="1" w:styleId="72">
    <w:name w:val="Figure"/>
    <w:basedOn w:val="1"/>
    <w:qFormat/>
    <w:uiPriority w:val="0"/>
  </w:style>
  <w:style w:type="paragraph" w:customStyle="1" w:styleId="73">
    <w:name w:val="Captioned Figure"/>
    <w:basedOn w:val="72"/>
    <w:qFormat/>
    <w:uiPriority w:val="0"/>
    <w:pPr>
      <w:keepNext/>
    </w:pPr>
  </w:style>
  <w:style w:type="character" w:customStyle="1" w:styleId="74">
    <w:name w:val="Verbatim Char"/>
    <w:basedOn w:val="57"/>
    <w:qFormat/>
    <w:uiPriority w:val="0"/>
    <w:rPr>
      <w:rFonts w:ascii="Copperplate" w:hAnsi="Copperplate"/>
      <w:sz w:val="22"/>
    </w:rPr>
  </w:style>
  <w:style w:type="character" w:customStyle="1" w:styleId="75">
    <w:name w:val="Section Number"/>
    <w:basedOn w:val="57"/>
    <w:qFormat/>
    <w:uiPriority w:val="0"/>
  </w:style>
  <w:style w:type="paragraph" w:customStyle="1" w:styleId="76">
    <w:name w:val="TOC Heading"/>
    <w:basedOn w:val="2"/>
    <w:next w:val="7"/>
    <w:unhideWhenUsed/>
    <w:qFormat/>
    <w:uiPriority w:val="39"/>
    <w:pPr>
      <w:tabs>
        <w:tab w:val="left" w:pos="0"/>
      </w:tabs>
      <w:spacing w:before="240" w:line="259" w:lineRule="auto"/>
      <w:outlineLvl w:val="9"/>
    </w:pPr>
    <w:rPr>
      <w:rFonts w:asciiTheme="majorHAnsi" w:hAnsiTheme="majorHAnsi" w:eastAsiaTheme="majorEastAsia" w:cstheme="majorBidi"/>
      <w:b w:val="0"/>
      <w:color w:val="366091" w:themeColor="accent1" w:themeShade="BF"/>
    </w:rPr>
  </w:style>
  <w:style w:type="paragraph" w:customStyle="1" w:styleId="77">
    <w:name w:val="Source Code"/>
    <w:qFormat/>
    <w:uiPriority w:val="0"/>
    <w:pPr>
      <w:wordWrap w:val="0"/>
    </w:pPr>
    <w:rPr>
      <w:rFonts w:asciiTheme="minorHAnsi" w:hAnsiTheme="minorHAnsi" w:eastAsiaTheme="minorHAnsi" w:cstheme="minorBidi"/>
    </w:rPr>
  </w:style>
  <w:style w:type="character" w:customStyle="1" w:styleId="78">
    <w:name w:val="KeywordTok"/>
    <w:qFormat/>
    <w:uiPriority w:val="0"/>
    <w:rPr>
      <w:b/>
      <w:color w:val="007020"/>
    </w:rPr>
  </w:style>
  <w:style w:type="character" w:customStyle="1" w:styleId="79">
    <w:name w:val="DataTypeTok"/>
    <w:qFormat/>
    <w:uiPriority w:val="0"/>
    <w:rPr>
      <w:color w:val="902000"/>
    </w:rPr>
  </w:style>
  <w:style w:type="character" w:customStyle="1" w:styleId="80">
    <w:name w:val="DecValTok"/>
    <w:qFormat/>
    <w:uiPriority w:val="0"/>
    <w:rPr>
      <w:color w:val="40A070"/>
    </w:rPr>
  </w:style>
  <w:style w:type="character" w:customStyle="1" w:styleId="81">
    <w:name w:val="BaseNTok"/>
    <w:qFormat/>
    <w:uiPriority w:val="0"/>
    <w:rPr>
      <w:color w:val="40A070"/>
    </w:rPr>
  </w:style>
  <w:style w:type="character" w:customStyle="1" w:styleId="82">
    <w:name w:val="FloatTok"/>
    <w:qFormat/>
    <w:uiPriority w:val="0"/>
    <w:rPr>
      <w:color w:val="40A070"/>
    </w:rPr>
  </w:style>
  <w:style w:type="character" w:customStyle="1" w:styleId="83">
    <w:name w:val="ConstantTok"/>
    <w:qFormat/>
    <w:uiPriority w:val="0"/>
    <w:rPr>
      <w:color w:val="880000"/>
    </w:rPr>
  </w:style>
  <w:style w:type="character" w:customStyle="1" w:styleId="84">
    <w:name w:val="CharTok"/>
    <w:qFormat/>
    <w:uiPriority w:val="0"/>
    <w:rPr>
      <w:color w:val="4070A0"/>
    </w:rPr>
  </w:style>
  <w:style w:type="character" w:customStyle="1" w:styleId="85">
    <w:name w:val="SpecialCharTok"/>
    <w:qFormat/>
    <w:uiPriority w:val="0"/>
    <w:rPr>
      <w:color w:val="4070A0"/>
    </w:rPr>
  </w:style>
  <w:style w:type="character" w:customStyle="1" w:styleId="86">
    <w:name w:val="StringTok"/>
    <w:qFormat/>
    <w:uiPriority w:val="0"/>
    <w:rPr>
      <w:color w:val="4070A0"/>
    </w:rPr>
  </w:style>
  <w:style w:type="character" w:customStyle="1" w:styleId="87">
    <w:name w:val="VerbatimStringTok"/>
    <w:qFormat/>
    <w:uiPriority w:val="0"/>
    <w:rPr>
      <w:color w:val="4070A0"/>
    </w:rPr>
  </w:style>
  <w:style w:type="character" w:customStyle="1" w:styleId="88">
    <w:name w:val="SpecialStringTok"/>
    <w:qFormat/>
    <w:uiPriority w:val="0"/>
    <w:rPr>
      <w:color w:val="BB6688"/>
    </w:rPr>
  </w:style>
  <w:style w:type="character" w:customStyle="1" w:styleId="89">
    <w:name w:val="ImportTok"/>
    <w:qFormat/>
    <w:uiPriority w:val="0"/>
    <w:rPr>
      <w:b/>
      <w:color w:val="008000"/>
    </w:rPr>
  </w:style>
  <w:style w:type="character" w:customStyle="1" w:styleId="90">
    <w:name w:val="CommentTok"/>
    <w:qFormat/>
    <w:uiPriority w:val="0"/>
    <w:rPr>
      <w:i/>
      <w:color w:val="60A0B0"/>
    </w:rPr>
  </w:style>
  <w:style w:type="character" w:customStyle="1" w:styleId="91">
    <w:name w:val="DocumentationTok"/>
    <w:qFormat/>
    <w:uiPriority w:val="0"/>
    <w:rPr>
      <w:i/>
      <w:color w:val="BA2121"/>
    </w:rPr>
  </w:style>
  <w:style w:type="character" w:customStyle="1" w:styleId="92">
    <w:name w:val="AnnotationTok"/>
    <w:qFormat/>
    <w:uiPriority w:val="0"/>
    <w:rPr>
      <w:b/>
      <w:i/>
      <w:color w:val="60A0B0"/>
    </w:rPr>
  </w:style>
  <w:style w:type="character" w:customStyle="1" w:styleId="93">
    <w:name w:val="CommentVarTok"/>
    <w:qFormat/>
    <w:uiPriority w:val="0"/>
    <w:rPr>
      <w:b/>
      <w:i/>
      <w:color w:val="60A0B0"/>
    </w:rPr>
  </w:style>
  <w:style w:type="character" w:customStyle="1" w:styleId="94">
    <w:name w:val="OtherTok"/>
    <w:qFormat/>
    <w:uiPriority w:val="0"/>
    <w:rPr>
      <w:color w:val="007020"/>
    </w:rPr>
  </w:style>
  <w:style w:type="character" w:customStyle="1" w:styleId="95">
    <w:name w:val="FunctionTok"/>
    <w:qFormat/>
    <w:uiPriority w:val="0"/>
    <w:rPr>
      <w:color w:val="06287E"/>
    </w:rPr>
  </w:style>
  <w:style w:type="character" w:customStyle="1" w:styleId="96">
    <w:name w:val="VariableTok"/>
    <w:qFormat/>
    <w:uiPriority w:val="0"/>
    <w:rPr>
      <w:color w:val="19177C"/>
    </w:rPr>
  </w:style>
  <w:style w:type="character" w:customStyle="1" w:styleId="97">
    <w:name w:val="ControlFlowTok"/>
    <w:qFormat/>
    <w:uiPriority w:val="0"/>
    <w:rPr>
      <w:b/>
      <w:color w:val="007020"/>
    </w:rPr>
  </w:style>
  <w:style w:type="character" w:customStyle="1" w:styleId="98">
    <w:name w:val="OperatorTok"/>
    <w:qFormat/>
    <w:uiPriority w:val="0"/>
    <w:rPr>
      <w:color w:val="666666"/>
    </w:rPr>
  </w:style>
  <w:style w:type="character" w:customStyle="1" w:styleId="99">
    <w:name w:val="BuiltInTok"/>
    <w:qFormat/>
    <w:uiPriority w:val="0"/>
    <w:rPr>
      <w:color w:val="008000"/>
    </w:rPr>
  </w:style>
  <w:style w:type="character" w:customStyle="1" w:styleId="100">
    <w:name w:val="ExtensionTok"/>
    <w:qFormat/>
    <w:uiPriority w:val="0"/>
  </w:style>
  <w:style w:type="character" w:customStyle="1" w:styleId="101">
    <w:name w:val="PreprocessorTok"/>
    <w:qFormat/>
    <w:uiPriority w:val="0"/>
    <w:rPr>
      <w:color w:val="BC7A00"/>
    </w:rPr>
  </w:style>
  <w:style w:type="character" w:customStyle="1" w:styleId="102">
    <w:name w:val="AttributeTok"/>
    <w:qFormat/>
    <w:uiPriority w:val="0"/>
    <w:rPr>
      <w:color w:val="7D9029"/>
    </w:rPr>
  </w:style>
  <w:style w:type="character" w:customStyle="1" w:styleId="103">
    <w:name w:val="RegionMarkerTok"/>
    <w:qFormat/>
    <w:uiPriority w:val="0"/>
  </w:style>
  <w:style w:type="character" w:customStyle="1" w:styleId="104">
    <w:name w:val="InformationTok"/>
    <w:qFormat/>
    <w:uiPriority w:val="0"/>
    <w:rPr>
      <w:b/>
      <w:i/>
      <w:color w:val="60A0B0"/>
    </w:rPr>
  </w:style>
  <w:style w:type="character" w:customStyle="1" w:styleId="105">
    <w:name w:val="WarningTok"/>
    <w:qFormat/>
    <w:uiPriority w:val="0"/>
    <w:rPr>
      <w:b/>
      <w:i/>
      <w:color w:val="60A0B0"/>
    </w:rPr>
  </w:style>
  <w:style w:type="character" w:customStyle="1" w:styleId="106">
    <w:name w:val="AlertTok"/>
    <w:qFormat/>
    <w:uiPriority w:val="0"/>
    <w:rPr>
      <w:b/>
      <w:color w:val="FF0000"/>
    </w:rPr>
  </w:style>
  <w:style w:type="character" w:customStyle="1" w:styleId="107">
    <w:name w:val="ErrorTok"/>
    <w:qFormat/>
    <w:uiPriority w:val="0"/>
    <w:rPr>
      <w:b/>
      <w:color w:val="FF0000"/>
    </w:rPr>
  </w:style>
  <w:style w:type="character" w:customStyle="1" w:styleId="108">
    <w:name w:val="NormalTok"/>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10</Pages>
  <Words>450</Words>
  <Characters>502</Characters>
  <Lines>12</Lines>
  <Paragraphs>8</Paragraphs>
  <TotalTime>12</TotalTime>
  <ScaleCrop>false</ScaleCrop>
  <LinksUpToDate>false</LinksUpToDate>
  <CharactersWithSpaces>502</CharactersWithSpaces>
  <Application>WPS Office WWO_wpscloud_20250925191819-314b3f48ed</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2024-11-15T15:05:00Z</dcterms:created>
  <dc:creator>bowen</dc:creator>
  <cp:lastModifiedBy>张运哲</cp:lastModifiedBy>
  <dcterms:modified xsi:type="dcterms:W3CDTF">2025-10-06T19:40:50Z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2052-12.9.0.23117</vt:lpwstr>
  </property>
  <property fmtid="{D5CDD505-2E9C-101B-9397-08002B2CF9AE}" pid="3" name="ICV">
    <vt:lpwstr>06CDA31E2F6C67BEC2AAE3688A3353BD_43</vt:lpwstr>
  </property>
  <property fmtid="{D5CDD505-2E9C-101B-9397-08002B2CF9AE}" pid="4" name="KSOTemplateDocerSaveRecord">
    <vt:lpwstr>eyJoZGlkIjoiNzI4YmNmYThhZjA0NTVhODllNDhjMGZiNmFkMDJjN2YiLCJ1c2VySWQiOiIxNjA5OTI0MDI0In0=</vt:lpwstr>
  </property>
</Properties>
</file>