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08BB7">
      <w:pPr>
        <w:pStyle w:val="2"/>
      </w:pPr>
    </w:p>
    <w:p w14:paraId="27C84186">
      <w:pPr>
        <w:pStyle w:val="2"/>
      </w:pPr>
      <w:r>
        <w:t>干变浇注车间真空浇注设备料罐技术手册</w:t>
      </w:r>
    </w:p>
    <w:p w14:paraId="2D7CD4B6">
      <w:pPr>
        <w:pStyle w:val="3"/>
      </w:pPr>
      <w:r>
        <w:t>一、料罐结构组成与功能分析</w:t>
      </w:r>
    </w:p>
    <w:p w14:paraId="00901C7B">
      <w:pPr>
        <w:pStyle w:val="4"/>
      </w:pPr>
      <w:r>
        <w:t>1.1 料罐系统整体结构概述</w:t>
      </w:r>
    </w:p>
    <w:p w14:paraId="2764F5F1">
      <w:r>
        <w:t>干变浇注车间真空浇注设备的料罐系统是环氧树脂与填料混合、脱气及输送的核心单元，采用“预混-终混”串联架构，由树脂-填料预混料罐、固化剂-填料预混料罐、最终混料罐及辅助功能模块组成。系统整体布局遵循物料流动逻辑，各罐体通过不锈钢管路与气动阀门连接，实现物料的自动化传输。</w:t>
      </w:r>
    </w:p>
    <w:p w14:paraId="34B117C9">
      <w:r>
        <w:t>核心罐体均采用双层不锈钢（304或316材质）结构，内层厚度≥8mm，表面经镜面抛光（Ra≤0.8μm）以减少物料残留；外层为保温夹层，填充硅酸铝保温棉（厚度50mm），配合加热装置实现温度精准控制。罐体设计压力为-0.1~0.6MPa（真空工况与加压工况兼顾），耐压等级符合GB 150.1-2011《压力容器》标准。</w:t>
      </w:r>
    </w:p>
    <w:p w14:paraId="130F7A8B">
      <w:r>
        <w:t>辅助功能模块包括真空系统接口（与旋片式真空泵组连接）、氮气加压装置（0.2-0.4MPa）、物料计量单元（高精度电子秤，计量精度±0.5%）及清洗回路（配备溶剂喷射装置）。系统布局采用模块化设计，预混料罐与终混料罐呈阶梯式排列，利用重力辅助物料输送，减少动力损耗。典型3吨/批次生产线中，预混料罐容积通常为1000L，终混料罐为1500L，确保预留30%的搅拌空间。</w:t>
      </w:r>
    </w:p>
    <w:p w14:paraId="7CB36A03">
      <w:pPr>
        <w:pStyle w:val="4"/>
      </w:pPr>
      <w:r>
        <w:t>1.2 核心罐体类型及功能特性</w:t>
      </w:r>
    </w:p>
    <w:p w14:paraId="22377469">
      <w:pPr>
        <w:pStyle w:val="5"/>
      </w:pPr>
      <w:r>
        <w:t>1.2.1 树脂-填料预混料罐</w:t>
      </w:r>
    </w:p>
    <w:p w14:paraId="23F4A792">
      <w:r>
        <w:t>主要功能为环氧树脂与硅微粉等填料的初步混合及脱气处理，容积规格根据生产规模分为500L、1000L、2000L三个等级。结构上集成螺旋提料器与薄膜脱气装置：螺旋提料器（螺距150mm，转速25rpm）将底部物料提升至顶部脱气伞，物料沿伞面（锥角60°）形成0.5-1mm厚的薄膜状流动，扩大比表面积以加速气泡逸出。真空接口位于罐体顶部侧面，采用KF50法兰连接，配备氟橡胶密封圈（硬度70 Shore A），确保真空度稳定≤50Pa。</w:t>
      </w:r>
    </w:p>
    <w:p w14:paraId="12035BE7">
      <w:r>
        <w:t>该罐体加热方式以电加热为主，罐壁均匀布置6组电加热板（单组功率1.5kW），温度控制范围60-80℃，温控精度±2℃。搅拌装置采用锚式搅拌桨（桨叶直径为罐体内径的0.8倍），配合底部刮壁设计，防止填料沉降堆积，搅拌转速可通过变频调节（10-40rpm），满足不同粘度物料的混合需求。</w:t>
      </w:r>
    </w:p>
    <w:p w14:paraId="09E9D7EC">
      <w:pPr>
        <w:pStyle w:val="5"/>
      </w:pPr>
      <w:r>
        <w:t>1.2.2 固化剂-填料预混料罐</w:t>
      </w:r>
    </w:p>
    <w:p w14:paraId="04F43D3B">
      <w:r>
        <w:t>功能与树脂预混料罐类似，但针对固化剂（如HK-021）易吸潮、活性高的特性，在结构上增加防潮氮气保护系统（持续通入纯度≥99.9%的氮气，维持微正压0.02MPa）。容积通常为树脂预混料罐的1/3（如300L匹配1000L树脂罐），以适应典型树脂:固化剂=3:1的配比要求。</w:t>
      </w:r>
    </w:p>
    <w:p w14:paraId="246C578E">
      <w:r>
        <w:t>加热系统采用油循环加热（导热油型号L-QB300），避免电加热局部高温导致固化剂提前反应，温度控制范围40-60℃，精度±3℃。搅拌桨为推进式（三叶桨，倾角45°），转速20-50rpm，确保固化剂与填料（如活性硅微粉）均匀分散，防止局部浓度过高引发暴聚。</w:t>
      </w:r>
    </w:p>
    <w:p w14:paraId="0D75B503">
      <w:pPr>
        <w:pStyle w:val="5"/>
      </w:pPr>
      <w:r>
        <w:t>1.2.3 最终混料罐</w:t>
      </w:r>
    </w:p>
    <w:p w14:paraId="0ACD29A5">
      <w:r>
        <w:t>作为浇注前的最后处理单元，核心功能是实现预混后的树脂、固化剂及添加剂的最终混合与精密脱气。容积需容纳全部混合料（如1500L罐处理1000L树脂+300L固化剂+700L填料），设计压力-0.1~0.4MPa，满足真空脱气与氮气加压输送需求。</w:t>
      </w:r>
    </w:p>
    <w:p w14:paraId="091F1A50">
      <w:r>
        <w:t>结构上配备双层搅拌系统：外层锚式桨（转速10-30rpm）实现整体混合，内层分散盘（直径200mm，转速500rpm）通过高速剪切破碎残留团聚体。顶部观察窗（直径200mm，石英玻璃材质）带LED照明，便于观察物料状态。真空系统采用“双级抽气”设计：先通过罗茨泵将压力降至-0.08MPa，再启动扩散泵达到≤10Pa的高真空度，确保混合料中气泡直径≤5μm。</w:t>
      </w:r>
    </w:p>
    <w:p w14:paraId="0001DAE3">
      <w:pPr>
        <w:pStyle w:val="4"/>
      </w:pPr>
      <w:r>
        <w:t>1.3 关键功能部件结构与技术参数</w:t>
      </w:r>
    </w:p>
    <w:p w14:paraId="633B6A1D">
      <w:pPr>
        <w:pStyle w:val="5"/>
      </w:pPr>
      <w:r>
        <w:t>1.3.1 搅拌装置</w:t>
      </w:r>
    </w:p>
    <w:p w14:paraId="14FD238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锚式搅拌器</w:t>
      </w:r>
      <w:r>
        <w:t>：材质316不锈钢，桨叶厚度10mm，与罐壁间隙≤3mm，避免死角残留。轴径50mm，采用机械密封（双端面碳化硅密封件），密封压力≤0.6MPa，使用寿命≥8000小时。</w:t>
      </w:r>
    </w:p>
    <w:p w14:paraId="341067A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螺旋提料器</w:t>
      </w:r>
      <w:r>
        <w:t>：螺杆直径80mm，导程150mm，材质2Cr13，表面镀铬（厚度0.05mm）防腐蚀。驱动电机功率1.5kW，变频调速（5-30Hz），提升量500kg/h。</w:t>
      </w:r>
    </w:p>
    <w:p w14:paraId="747B299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脱气伞</w:t>
      </w:r>
      <w:r>
        <w:t>：不锈钢304材质，锥角60°，伞面开有12个直径8mm的导流孔，确保物料均匀成膜，脱气效率提升40%。</w:t>
      </w:r>
    </w:p>
    <w:p w14:paraId="4553A71A">
      <w:pPr>
        <w:pStyle w:val="5"/>
      </w:pPr>
      <w:r>
        <w:t>1.3.2 加热系统</w:t>
      </w:r>
    </w:p>
    <w:p w14:paraId="06C7D39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电加热板</w:t>
      </w:r>
      <w:r>
        <w:t>：镍铬合金加热元件（Cr20Ni80），工作温度≤300℃，表面负荷2.5W/cm²，绝缘电阻≥100MΩ。每组加热板独立温控，支持分区加热（如罐底、罐壁、罐顶独立控制）。</w:t>
      </w:r>
    </w:p>
    <w:p w14:paraId="05CF2EF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油循环加热</w:t>
      </w:r>
      <w:r>
        <w:t>：导热油流量15m³/h，循环泵功率2.2kW，加热炉功率30kW，控温精度±1℃，配备油温超温保护（设定值90℃）。</w:t>
      </w:r>
    </w:p>
    <w:p w14:paraId="3E1459CC">
      <w:pPr>
        <w:pStyle w:val="5"/>
      </w:pPr>
      <w:r>
        <w:t>1.3.3 真空与计量组件</w:t>
      </w:r>
    </w:p>
    <w:p w14:paraId="67D5B0A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真空接口</w:t>
      </w:r>
      <w:r>
        <w:t>：KF50/KF100法兰（根据真空泵排量选择），配备手动蝶阀（通径DN50），开启时间≤10秒。密封垫片为氟橡胶（耐温-20~200℃），压缩量30%时密封效果最佳。</w:t>
      </w:r>
    </w:p>
    <w:p w14:paraId="4B3FB54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计量泵</w:t>
      </w:r>
      <w:r>
        <w:t>：柱塞式计量泵（型号J-Z系列），流量范围0-500L/h，计量精度±0.5%FS，进出口配备单向阀（PTFE阀芯），防止物料回流。</w:t>
      </w:r>
    </w:p>
    <w:p w14:paraId="1FB884C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液位传感器</w:t>
      </w:r>
      <w:r>
        <w:t>：雷达物位计（测量范围0.5-5m，精度±5mm），非接触式测量，适用于高粘度、易结晶物料，输出4-20mA模拟信号。</w:t>
      </w:r>
    </w:p>
    <w:p w14:paraId="08A51939">
      <w:pPr>
        <w:pStyle w:val="3"/>
      </w:pPr>
      <w:r>
        <w:t>二、机械原理与工作流程</w:t>
      </w:r>
    </w:p>
    <w:p w14:paraId="7F093924">
      <w:pPr>
        <w:pStyle w:val="4"/>
      </w:pPr>
      <w:r>
        <w:t>2.1 搅拌系统机械传动原理</w:t>
      </w:r>
    </w:p>
    <w:p w14:paraId="553A55BD">
      <w:r>
        <w:t>搅拌系统采用“变频电机-减速机-搅拌轴”三级传动结构，核心目标是为高固含量混合料（填料占比60%-70%）提供足够的剪切力与混合均匀度。</w:t>
      </w:r>
    </w:p>
    <w:p w14:paraId="3132ECDF">
      <w:r>
        <w:t>驱动单元选用异步变频电机（型号YVP2-132M-4），功率4kW，额定转速1440rpm，通过矢量变频器（如ABB ACS510系列）实现0-50Hz无级调速，调速精度±0.5%。电机输出轴通过弹性联轴器（梅花形橡胶垫，材质聚氨酯）与硬齿面减速机（型号ZLYJ112，减速比15:1）连接，传递扭矩≥250N·m，确保搅拌轴在62.1%硅微粉填料工况下稳定运行。</w:t>
      </w:r>
    </w:p>
    <w:p w14:paraId="40009987">
      <w:r>
        <w:t>减速机输出轴与搅拌轴通过键连接（平键规格8×70mm），配合轴肩定位，轴系同心度要求≤0.1mm/m，以减少振动（运行时振幅≤0.05mm）。搅拌轴密封采用集装式机械密封（型号212型），动环材质碳化硅，静环材质石墨，弹簧比压0.3MPa，确保在-0.1MPa真空度下无泄漏，密封寿命≥10000小时。</w:t>
      </w:r>
    </w:p>
    <w:p w14:paraId="78CF5F8C">
      <w:r>
        <w:t>针对不同混合阶段需求，转速控制逻辑为：预混阶段（树脂+填料）采用中高转速（35-40rpm），利用锚式桨的径向流将填料颗粒分散；终混阶段（加入固化剂后）降至低转速（15-20rpm），避免高剪切力导致气泡卷入；脱气阶段维持低速搅拌（10rpm），确保物料表面更新以促进气泡逸出。</w:t>
      </w:r>
    </w:p>
    <w:p w14:paraId="26C7418C">
      <w:pPr>
        <w:pStyle w:val="4"/>
      </w:pPr>
      <w:r>
        <w:t>2.2 物料混合与脱气机理</w:t>
      </w:r>
    </w:p>
    <w:p w14:paraId="5AD79B77">
      <w:pPr>
        <w:pStyle w:val="5"/>
      </w:pPr>
      <w:r>
        <w:t>2.2.1 薄膜脱气技术原理</w:t>
      </w:r>
    </w:p>
    <w:p w14:paraId="5156864D">
      <w:r>
        <w:t>预混料罐的薄膜脱气装置通过“提升-成膜-真空脱气”三步实现高效除气。螺旋提料器将底部物料输送至脱气伞顶部，物料沿伞面依靠重力流动，形成厚度0.5-1mm的薄膜，此时物料比表面积从传统搅拌的0.1m²/L提升至0.8m²/L。在真空度≤50Pa、温度65℃条件下，物料中溶解的气体（主要为空气、水汽）分压高于环境压力，气泡在30-40分钟内迅速膨胀逸出，脱气效率可达99.5%（残留气泡直径≤10μm）。</w:t>
      </w:r>
    </w:p>
    <w:p w14:paraId="3DDB1497">
      <w:r>
        <w:t>脱气效果受物料粘度影响显著：当环氧树脂在65℃时粘度为500-800mPa·s，成膜流动顺畅；若粘度超过1500mPa·s（如加热不足），薄膜易断裂形成液滴，脱气效率下降至70%以下。因此，需通过温度-粘度曲线实时调整加热功率，维持最佳成膜粘度。</w:t>
      </w:r>
    </w:p>
    <w:p w14:paraId="5D3D372C">
      <w:pPr>
        <w:pStyle w:val="5"/>
      </w:pPr>
      <w:r>
        <w:t>2.2.2 锚式搅拌混合机理</w:t>
      </w:r>
    </w:p>
    <w:p w14:paraId="77EDA5EA">
      <w:r>
        <w:t>锚式搅拌桨在旋转时形成“径向流为主、轴向流为辅”的流场：桨叶推动物料沿罐壁向上流动，顶部物料受重力作用向中心沉降，形成循环流（循环量约3次/分钟）。桨叶与罐壁的小间隙（≤3mm）产生高剪切速率（100-200s⁻¹），有效破碎填料团聚体（如硅微粉因范德华力形成的微米级团聚体）。</w:t>
      </w:r>
    </w:p>
    <w:p w14:paraId="1CB6FCCA">
      <w:r>
        <w:t>对于终混料罐的双层搅拌系统，高速分散盘（500rpm）产生局部湍流，剪切速率达500-1000s⁻¹，进一步细化残留团聚体至粒径≤5μm，确保混合料均匀度（变异系数≤2%）。混合均匀度通过取样检测验证：在罐内上、中、下三个位置取样，测试填料含量偏差应≤1%。</w:t>
      </w:r>
    </w:p>
    <w:p w14:paraId="04BA9931">
      <w:pPr>
        <w:pStyle w:val="5"/>
      </w:pPr>
      <w:r>
        <w:t>2.2.3 真空脱气热力学过程</w:t>
      </w:r>
    </w:p>
    <w:p w14:paraId="5F800615">
      <w:r>
        <w:t>真空脱气遵循亨利定律：气体在液体中的溶解度与压力成正比。当罐内真空度从常压降至-0.095MPa（绝对压力5kPa）时，气体溶解度降至原来的5%，过饱和气体以气泡形式析出。气泡生长速率与温度正相关，65℃时气泡直径从1μm增长至10μm仅需15秒，而40℃时需45秒，因此工艺中需将脱气温度控制在60-70℃，平衡脱气效率与树脂稳定性（温度超过80℃会加速树脂氧化）。</w:t>
      </w:r>
    </w:p>
    <w:p w14:paraId="2DA22A92">
      <w:pPr>
        <w:pStyle w:val="4"/>
      </w:pPr>
      <w:r>
        <w:t>2.3 真空浇注工艺流程详解</w:t>
      </w:r>
    </w:p>
    <w:p w14:paraId="3F876878">
      <w:pPr>
        <w:pStyle w:val="5"/>
      </w:pPr>
      <w:r>
        <w:t>2.3.1 上料准备阶段</w:t>
      </w:r>
    </w:p>
    <w:p w14:paraId="6A44CAC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填料预处理</w:t>
      </w:r>
      <w:r>
        <w:t>：硅微粉（型号HG-400）经解袋箱（带高效过滤器，过滤效率99.97%@0.3μm）倒入填料罐，通过螺旋输送机（输送能力1000kg/h）送至预混料罐上方电子秤（精度±0.1kg），按配方定量添加（如树脂:硅微粉=1:0.7）。</w:t>
      </w:r>
    </w:p>
    <w:p w14:paraId="7C82342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液态料上料</w:t>
      </w:r>
      <w:r>
        <w:t>：环氧树脂通过真空吸料系统（吸料管直径DN32，吸料时间≤5分钟/500L）从原料桶吸入树脂预混罐，吸料前需确认罐内真空度≥-0.08MPa，防止空气进入。固化剂采用氮气加压输送（压力0.2MPa），避免泵输送导致的剪切发热。</w:t>
      </w:r>
    </w:p>
    <w:p w14:paraId="6ED96EC0">
      <w:pPr>
        <w:pStyle w:val="5"/>
      </w:pPr>
      <w:r>
        <w:t>2.3.2 预混处理阶段</w:t>
      </w:r>
    </w:p>
    <w:p w14:paraId="270B775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树脂预混</w:t>
      </w:r>
      <w:r>
        <w:t>：关闭进料阀，启动加热系统将树脂升温至80℃（升温速率2℃/分钟），启动搅拌（35rpm），加入硅微粉后继续搅拌30分钟，期间开启真空系统（真空度≤50Pa）进行薄膜脱气，脱气时间40分钟。</w:t>
      </w:r>
    </w:p>
    <w:p w14:paraId="32646AB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固化剂预混</w:t>
      </w:r>
      <w:r>
        <w:t>：固化剂加热至65℃，加入促进剂（如DMP-30，添加量0.5%）后搅拌15分钟，维持氮气保护（微正压0.02MPa），防止吸潮变质。</w:t>
      </w:r>
    </w:p>
    <w:p w14:paraId="631390A7">
      <w:pPr>
        <w:pStyle w:val="5"/>
      </w:pPr>
      <w:r>
        <w:t>2.3.3 终混脱气阶段</w:t>
      </w:r>
    </w:p>
    <w:p w14:paraId="24D6E34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物料计量输送</w:t>
      </w:r>
      <w:r>
        <w:t>：通过计量泵将预混树脂（1000L）、固化剂（300L）按比例泵入终混罐，流量控制50L/min，确保配比精度±0.5%。</w:t>
      </w:r>
    </w:p>
    <w:p w14:paraId="57F3C85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最终混合</w:t>
      </w:r>
      <w:r>
        <w:t>：启动双层搅拌（外层锚式桨20rpm，内层分散盘300rpm），搅拌20分钟后取样检测粘度（65℃下控制在800-1000mPa·s）。</w:t>
      </w:r>
    </w:p>
    <w:p w14:paraId="473882E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高真空脱气</w:t>
      </w:r>
      <w:r>
        <w:t>：启动罗茨泵+扩散泵，将真空度降至≤10Pa，维持30分钟，期间通过观察窗确认无气泡逸出（最后5分钟无明显气泡升起）。</w:t>
      </w:r>
    </w:p>
    <w:p w14:paraId="6CAC18C2">
      <w:pPr>
        <w:pStyle w:val="5"/>
      </w:pPr>
      <w:r>
        <w:t>2.3.4 浇注输送阶段</w:t>
      </w:r>
    </w:p>
    <w:p w14:paraId="7CED1D3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模具准备</w:t>
      </w:r>
      <w:r>
        <w:t>：模具预热至120℃，抽真空至-0.08MPa，排除型腔空气。</w:t>
      </w:r>
    </w:p>
    <w:p w14:paraId="5D1F539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加压输送</w:t>
      </w:r>
      <w:r>
        <w:t>：终混罐通入氮气（压力0.3MPa），打开出料阀，混合料通过保温管路（温度65±2℃）以20L/min流量注入模具，全程维持罐内真空度-0.06MPa，避免新气泡产生。</w:t>
      </w:r>
    </w:p>
    <w:p w14:paraId="5A20195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补料保压</w:t>
      </w:r>
      <w:r>
        <w:t>：模具充满后降低流量至5L/min，保压5分钟，确保型腔完全填充，随后关闭出料阀，完成浇注。</w:t>
      </w:r>
    </w:p>
    <w:p w14:paraId="45B79870">
      <w:pPr>
        <w:pStyle w:val="3"/>
      </w:pPr>
      <w:r>
        <w:t>三、控制系统原理与操作规范</w:t>
      </w:r>
    </w:p>
    <w:p w14:paraId="24B6C2D6">
      <w:pPr>
        <w:pStyle w:val="4"/>
      </w:pPr>
      <w:r>
        <w:t>3.1 控制系统组成结构</w:t>
      </w:r>
    </w:p>
    <w:p w14:paraId="22955CB6">
      <w:r>
        <w:t>料罐控制系统采用“PLC+传感器+执行机构”三层架构，实现全流程自动化控制，核心配置如下：</w:t>
      </w:r>
    </w:p>
    <w:p w14:paraId="2EB03AAB">
      <w:pPr>
        <w:pStyle w:val="5"/>
      </w:pPr>
      <w:r>
        <w:t>3.1.1 PLC控制核心</w:t>
      </w:r>
    </w:p>
    <w:p w14:paraId="519310BB">
      <w:r>
        <w:t>选用西门子S7-1214C DC/DC/DC型PLC，配备14点DI、10点DO、4点AI、2点AO，支持PROFINET通信（速率100Mbps）。CPU处理速度0.1μs/指令，存储容量128KB，可同时运行20个工艺配方。扩展模块包括：SM 1231 AI 4×13位（模拟量输入，采集温度、压力信号）、SM 1232 AO 2×14位（模拟量输出，控制变频器、调节阀）、SM 1223 DI 8×DC 24V/DO 8×DC 24V（数字量I/O，连接限位开关、电磁阀）。</w:t>
      </w:r>
    </w:p>
    <w:p w14:paraId="0335E9E9">
      <w:pPr>
        <w:pStyle w:val="5"/>
      </w:pPr>
      <w:r>
        <w:t>3.1.2 传感器网络</w:t>
      </w:r>
    </w:p>
    <w:p w14:paraId="60A8E2E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温度传感器</w:t>
      </w:r>
      <w:r>
        <w:t>：PT100铂电阻（测量范围-50~200℃，精度A级±0.15℃），每个罐体布置3个（顶部、中部、底部），实时监测温度分布。</w:t>
      </w:r>
    </w:p>
    <w:p w14:paraId="3542FF1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压力传感器</w:t>
      </w:r>
      <w:r>
        <w:t>：绝压变送器（测量范围0~100kPa abs，精度±0.25%FS），安装于罐顶真空接口，监测真空度；表压变送器（-0.1~1MPa，精度±0.1%FS），监测氮气加压压力。</w:t>
      </w:r>
    </w:p>
    <w:p w14:paraId="22D9999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液位传感器</w:t>
      </w:r>
      <w:r>
        <w:t>：导波雷达物位计（测量范围0.3~5m，精度±3mm），用于连续液位监测；电容式液位开关（高低液位报警，响应时间≤1秒），防止溢料或空罐运行。</w:t>
      </w:r>
    </w:p>
    <w:p w14:paraId="0DB7E44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流量传感器</w:t>
      </w:r>
      <w:r>
        <w:t>：电磁流量计（测量范围0~1000L/h，精度±0.5%FS），安装于计量泵出口，累计流量用于配比控制。</w:t>
      </w:r>
    </w:p>
    <w:p w14:paraId="1F059A94">
      <w:pPr>
        <w:pStyle w:val="5"/>
      </w:pPr>
      <w:r>
        <w:t>3.1.3 执行机构</w:t>
      </w:r>
    </w:p>
    <w:p w14:paraId="3C3C272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真空系统</w:t>
      </w:r>
      <w:r>
        <w:t>：旋片式真空泵（型号2XZ-4，抽速4L/s）+罗茨泵（型号ZJ-300，抽速300m³/h），通过变频电机（功率7.5kW）控制抽气速率。</w:t>
      </w:r>
    </w:p>
    <w:p w14:paraId="2B95073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搅拌系统</w:t>
      </w:r>
      <w:r>
        <w:t>：变频电机（功率4kW，型号YVP2-132M）+减速机（减速比15:1），支持0-50Hz无级调速。</w:t>
      </w:r>
    </w:p>
    <w:p w14:paraId="445B260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加热系统</w:t>
      </w:r>
      <w:r>
        <w:t>：电加热通过固态继电器（SSR，型号JGX-1D4840，容量40A）控制；油加热通过比例调节阀（型号VY5120，调节精度±1%）控制导热油流量。</w:t>
      </w:r>
    </w:p>
    <w:p w14:paraId="269A4FA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阀门系统</w:t>
      </w:r>
      <w:r>
        <w:t>：气动球阀（型号Q641F-16P，通径DN25~DN80），由二位五通电磁阀（响应时间≤0.1秒）控制开关，阀位反馈通过接近开关实现。</w:t>
      </w:r>
    </w:p>
    <w:p w14:paraId="64C7096C">
      <w:pPr>
        <w:pStyle w:val="4"/>
      </w:pPr>
      <w:r>
        <w:t>3.2 控制逻辑与参数设置</w:t>
      </w:r>
    </w:p>
    <w:p w14:paraId="40CFC235">
      <w:pPr>
        <w:pStyle w:val="5"/>
      </w:pPr>
      <w:r>
        <w:t>3.2.1 温度闭环控制</w:t>
      </w:r>
    </w:p>
    <w:p w14:paraId="5ECFCBB1">
      <w:r>
        <w:t>采用PID算法实现温度精准控制，以树脂预混料罐为例，控制逻辑为：</w:t>
      </w:r>
    </w:p>
    <w:p w14:paraId="470C66B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测量值</w:t>
      </w:r>
      <w:r>
        <w:t>：3个PT100传感器的平均值（滤波时间常数5秒）。</w:t>
      </w:r>
    </w:p>
    <w:p w14:paraId="2D37782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设定值</w:t>
      </w:r>
      <w:r>
        <w:t>：工艺曲线设定（如升温阶段80℃/1.5小时，保温阶段80℃±2℃）。</w:t>
      </w:r>
    </w:p>
    <w:p w14:paraId="038F93D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PID参数</w:t>
      </w:r>
      <w:r>
        <w:t>：比例带P=30%，积分时间I=180s，微分时间D=30s，采用抗积分饱和策略（当输出达到100%或0%时暂停积分）。</w:t>
      </w:r>
    </w:p>
    <w:p w14:paraId="501D87E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执行输出</w:t>
      </w:r>
      <w:r>
        <w:t>：SSR触发脉冲宽度调制（PWM），占空比0-100%调节加热功率，避免温度超调（超调量≤3℃）。</w:t>
      </w:r>
    </w:p>
    <w:p w14:paraId="6AF8B6C7">
      <w:pPr>
        <w:pStyle w:val="5"/>
      </w:pPr>
      <w:r>
        <w:t>3.2.2 真空度阶梯控制</w:t>
      </w:r>
    </w:p>
    <w:p w14:paraId="6906F2EE">
      <w:r>
        <w:t>根据脱气阶段需求，分三级控制真空度：</w:t>
      </w:r>
    </w:p>
    <w:p w14:paraId="5D06D26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粗抽阶段</w:t>
      </w:r>
      <w:r>
        <w:t>（0-5分钟）：启动旋片泵，真空度从常压降至-0.08MPa，控制真空泵转速30Hz。</w:t>
      </w:r>
    </w:p>
    <w:p w14:paraId="399C1C1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精抽阶段</w:t>
      </w:r>
      <w:r>
        <w:t>（5-20分钟）：启动罗茨泵，真空度降至-0.095MPa，转速升至50Hz。</w:t>
      </w:r>
    </w:p>
    <w:p w14:paraId="1B22236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维持阶段</w:t>
      </w:r>
      <w:r>
        <w:t>（20-60分钟）：根据真空度波动调节罗茨泵转速（30-50Hz），保持真空度≤50Pa。</w:t>
      </w:r>
    </w:p>
    <w:p w14:paraId="4CD20ED9">
      <w:pPr>
        <w:pStyle w:val="5"/>
      </w:pPr>
      <w:r>
        <w:t>3.2.3 物料配比控制</w:t>
      </w:r>
    </w:p>
    <w:p w14:paraId="62AB13E1">
      <w:r>
        <w:t>通过计量泵与电子秤双重计量实现配比精度±0.5%：</w:t>
      </w:r>
    </w:p>
    <w:p w14:paraId="00332C5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预混阶段</w:t>
      </w:r>
      <w:r>
        <w:t>：电子秤计量填料添加量（如700kg硅微粉），精度±0.1kg。</w:t>
      </w:r>
    </w:p>
    <w:p w14:paraId="398DA3D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终混阶段</w:t>
      </w:r>
      <w:r>
        <w:t>：电磁流量计累计树脂、固化剂流量，当实际流量与设定值偏差≥1%时，调节计量泵转速（通过4-20mA信号控制变频器频率）。</w:t>
      </w:r>
    </w:p>
    <w:p w14:paraId="69EE63E4">
      <w:pPr>
        <w:pStyle w:val="5"/>
      </w:pPr>
      <w:r>
        <w:t>3.2.4 关键工艺参数设置规范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DABBD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9E030D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44EEE871">
            <w:pPr>
              <w:jc w:val="center"/>
              <w:rPr>
                <w:b/>
              </w:rPr>
            </w:pPr>
            <w:r>
              <w:rPr>
                <w:b/>
              </w:rPr>
              <w:t>树脂预混罐</w:t>
            </w:r>
          </w:p>
        </w:tc>
        <w:tc>
          <w:tcPr>
            <w:tcW w:w="0" w:type="auto"/>
            <w:vAlign w:val="center"/>
          </w:tcPr>
          <w:p w14:paraId="13D86206">
            <w:pPr>
              <w:jc w:val="center"/>
              <w:rPr>
                <w:b/>
              </w:rPr>
            </w:pPr>
            <w:r>
              <w:rPr>
                <w:b/>
              </w:rPr>
              <w:t>固化剂预混罐</w:t>
            </w:r>
          </w:p>
        </w:tc>
        <w:tc>
          <w:tcPr>
            <w:tcW w:w="0" w:type="auto"/>
            <w:vAlign w:val="center"/>
          </w:tcPr>
          <w:p w14:paraId="0207AA67">
            <w:pPr>
              <w:jc w:val="center"/>
              <w:rPr>
                <w:b/>
              </w:rPr>
            </w:pPr>
            <w:r>
              <w:rPr>
                <w:b/>
              </w:rPr>
              <w:t>终混罐</w:t>
            </w:r>
          </w:p>
        </w:tc>
      </w:tr>
      <w:tr w14:paraId="72E22D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F9B2C7">
            <w:r>
              <w:t>加热温度</w:t>
            </w:r>
          </w:p>
        </w:tc>
        <w:tc>
          <w:tcPr>
            <w:tcW w:w="0" w:type="auto"/>
            <w:vAlign w:val="center"/>
          </w:tcPr>
          <w:p w14:paraId="6153081C">
            <w:r>
              <w:t>80±2℃</w:t>
            </w:r>
          </w:p>
        </w:tc>
        <w:tc>
          <w:tcPr>
            <w:tcW w:w="0" w:type="auto"/>
            <w:vAlign w:val="center"/>
          </w:tcPr>
          <w:p w14:paraId="2220BDF3">
            <w:r>
              <w:t>65±3℃</w:t>
            </w:r>
          </w:p>
        </w:tc>
        <w:tc>
          <w:tcPr>
            <w:tcW w:w="0" w:type="auto"/>
            <w:vAlign w:val="center"/>
          </w:tcPr>
          <w:p w14:paraId="495F38CF">
            <w:r>
              <w:t>65±2℃</w:t>
            </w:r>
          </w:p>
        </w:tc>
      </w:tr>
      <w:tr w14:paraId="7E00C7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731080">
            <w:r>
              <w:t>搅拌转速</w:t>
            </w:r>
          </w:p>
        </w:tc>
        <w:tc>
          <w:tcPr>
            <w:tcW w:w="0" w:type="auto"/>
            <w:vAlign w:val="center"/>
          </w:tcPr>
          <w:p w14:paraId="20A163C5">
            <w:r>
              <w:t>35rpm</w:t>
            </w:r>
          </w:p>
        </w:tc>
        <w:tc>
          <w:tcPr>
            <w:tcW w:w="0" w:type="auto"/>
            <w:vAlign w:val="center"/>
          </w:tcPr>
          <w:p w14:paraId="78B9EA24">
            <w:r>
              <w:t>25rpm</w:t>
            </w:r>
          </w:p>
        </w:tc>
        <w:tc>
          <w:tcPr>
            <w:tcW w:w="0" w:type="auto"/>
            <w:vAlign w:val="center"/>
          </w:tcPr>
          <w:p w14:paraId="39573289">
            <w:r>
              <w:t>20rpm（外层）</w:t>
            </w:r>
          </w:p>
        </w:tc>
      </w:tr>
      <w:tr w14:paraId="0BFCF367">
        <w:tc>
          <w:tcPr>
            <w:tcW w:w="0" w:type="auto"/>
            <w:vAlign w:val="center"/>
          </w:tcPr>
          <w:p w14:paraId="1327661E">
            <w:r>
              <w:t>真空度</w:t>
            </w:r>
          </w:p>
        </w:tc>
        <w:tc>
          <w:tcPr>
            <w:tcW w:w="0" w:type="auto"/>
            <w:vAlign w:val="center"/>
          </w:tcPr>
          <w:p w14:paraId="71BDB5D9">
            <w:r>
              <w:t>≤50Pa</w:t>
            </w:r>
          </w:p>
        </w:tc>
        <w:tc>
          <w:tcPr>
            <w:tcW w:w="0" w:type="auto"/>
            <w:vAlign w:val="center"/>
          </w:tcPr>
          <w:p w14:paraId="0FBF2576">
            <w:r>
              <w:t>≤100Pa</w:t>
            </w:r>
          </w:p>
        </w:tc>
        <w:tc>
          <w:tcPr>
            <w:tcW w:w="0" w:type="auto"/>
            <w:vAlign w:val="center"/>
          </w:tcPr>
          <w:p w14:paraId="14B04228">
            <w:r>
              <w:t>≤10Pa</w:t>
            </w:r>
          </w:p>
        </w:tc>
      </w:tr>
      <w:tr w14:paraId="778C5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345564">
            <w:r>
              <w:t>搅拌时间</w:t>
            </w:r>
          </w:p>
        </w:tc>
        <w:tc>
          <w:tcPr>
            <w:tcW w:w="0" w:type="auto"/>
            <w:vAlign w:val="center"/>
          </w:tcPr>
          <w:p w14:paraId="4029A9B9">
            <w:r>
              <w:t>60分钟</w:t>
            </w:r>
          </w:p>
        </w:tc>
        <w:tc>
          <w:tcPr>
            <w:tcW w:w="0" w:type="auto"/>
            <w:vAlign w:val="center"/>
          </w:tcPr>
          <w:p w14:paraId="39A0A0E5">
            <w:r>
              <w:t>30分钟</w:t>
            </w:r>
          </w:p>
        </w:tc>
        <w:tc>
          <w:tcPr>
            <w:tcW w:w="0" w:type="auto"/>
            <w:vAlign w:val="center"/>
          </w:tcPr>
          <w:p w14:paraId="4130799C">
            <w:r>
              <w:t>20分钟</w:t>
            </w:r>
          </w:p>
        </w:tc>
      </w:tr>
      <w:tr w14:paraId="33C1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AD3A0A">
            <w:r>
              <w:t>脱气时间</w:t>
            </w:r>
          </w:p>
        </w:tc>
        <w:tc>
          <w:tcPr>
            <w:tcW w:w="0" w:type="auto"/>
            <w:vAlign w:val="center"/>
          </w:tcPr>
          <w:p w14:paraId="4F6D69AF">
            <w:r>
              <w:t>40分钟</w:t>
            </w:r>
          </w:p>
        </w:tc>
        <w:tc>
          <w:tcPr>
            <w:tcW w:w="0" w:type="auto"/>
            <w:vAlign w:val="center"/>
          </w:tcPr>
          <w:p w14:paraId="609E45CC">
            <w:r>
              <w:t>20分钟</w:t>
            </w:r>
          </w:p>
        </w:tc>
        <w:tc>
          <w:tcPr>
            <w:tcW w:w="0" w:type="auto"/>
            <w:vAlign w:val="center"/>
          </w:tcPr>
          <w:p w14:paraId="5EF6E963">
            <w:r>
              <w:t>30分钟</w:t>
            </w:r>
          </w:p>
        </w:tc>
      </w:tr>
    </w:tbl>
    <w:p w14:paraId="22DC79FA">
      <w:pPr>
        <w:pStyle w:val="4"/>
      </w:pPr>
      <w:r>
        <w:t>3.3 安全操作与工艺规范</w:t>
      </w:r>
    </w:p>
    <w:p w14:paraId="72CB7C9F">
      <w:pPr>
        <w:pStyle w:val="5"/>
      </w:pPr>
      <w:r>
        <w:t>3.3.1 开机前检查</w:t>
      </w:r>
    </w:p>
    <w:p w14:paraId="38045F9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：搅拌轴手动盘车应灵活无卡滞，轴承座温升≤40K；密封件无老化裂纹，压缩量符合要求（30%±5%）。</w:t>
      </w:r>
    </w:p>
    <w:p w14:paraId="3AF2DAA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：急停按钮功能正常（按下后切断所有动力电源）；接地电阻≤4Ω，绝缘电阻≥1MΩ。</w:t>
      </w:r>
    </w:p>
    <w:p w14:paraId="2A34EAC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真空系统</w:t>
      </w:r>
      <w:r>
        <w:t>：真空泵油位在油窗1/2-2/3处，油质清澈无乳化（水分含量≤0.05%）；真空管路阀门开闭顺畅，无泄漏。</w:t>
      </w:r>
    </w:p>
    <w:p w14:paraId="5433249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物料准备</w:t>
      </w:r>
      <w:r>
        <w:t>：树脂、固化剂有效期内（树脂保质期6个月，固化剂3个月）；硅微粉干燥度合格（水分含量≤0.1%，通过120℃烘干8小时预处理）。</w:t>
      </w:r>
    </w:p>
    <w:p w14:paraId="03A41CCF">
      <w:pPr>
        <w:pStyle w:val="5"/>
      </w:pPr>
      <w:r>
        <w:t>3.3.2 运行中监控</w:t>
      </w:r>
    </w:p>
    <w:p w14:paraId="1F41CF3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参数监控</w:t>
      </w:r>
      <w:r>
        <w:t>：每15分钟记录温度、真空度、搅拌转速，偏差超限时立即停机检查（如温度超±5℃、真空度回升＞10Pa/分钟）。</w:t>
      </w:r>
    </w:p>
    <w:p w14:paraId="11779A4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物料状态</w:t>
      </w:r>
      <w:r>
        <w:t>：通过观察窗检查物料是否均匀（无分层、无明显气泡），发现异物或变色立即停止搅拌，排出物料。</w:t>
      </w:r>
    </w:p>
    <w:p w14:paraId="6C9171B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设备状态</w:t>
      </w:r>
      <w:r>
        <w:t>：监听电机、减速机有无异响（正常运行噪音≤85dB）；触摸轴承座温度（≤70℃），超过时停机检查润滑。</w:t>
      </w:r>
    </w:p>
    <w:p w14:paraId="73559833">
      <w:pPr>
        <w:pStyle w:val="5"/>
      </w:pPr>
      <w:r>
        <w:t>3.3.3 停机后处理</w:t>
      </w:r>
    </w:p>
    <w:p w14:paraId="558F8A2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物料清空</w:t>
      </w:r>
      <w:r>
        <w:t>：浇注完成后，打开罐底排污阀，将残留物料排入专用回收桶（残留量≤5kg）。</w:t>
      </w:r>
    </w:p>
    <w:p w14:paraId="394C81B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清洗程序</w:t>
      </w:r>
      <w:r>
        <w:t>：启动清洗回路，注入丙酮（用量为罐体容积的10%），搅拌（20rpm）30分钟后排放，重复2次，最后用氮气吹干（压力0.4MPa，时间15分钟）。</w:t>
      </w:r>
    </w:p>
    <w:p w14:paraId="363F12E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设备保养</w:t>
      </w:r>
      <w:r>
        <w:t>：关闭总电源、气源，清理观察窗污渍；填写设备运行记录，记录故障及处理情况。</w:t>
      </w:r>
    </w:p>
    <w:p w14:paraId="7BE76B5F">
      <w:pPr>
        <w:pStyle w:val="5"/>
      </w:pPr>
      <w:r>
        <w:t>3.3.4 安全注意事项</w:t>
      </w:r>
    </w:p>
    <w:p w14:paraId="705862A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真空操作</w:t>
      </w:r>
      <w:r>
        <w:t>：罐内真空时严禁打开罐盖，需先破真空至常压（通入氮气或空气）；破真空速率≤0.02MPa/分钟，防止物料暴沸。</w:t>
      </w:r>
    </w:p>
    <w:p w14:paraId="541B60B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化学品防护</w:t>
      </w:r>
      <w:r>
        <w:t>：接触环氧树脂需戴丁腈手套（耐化学腐蚀），固化剂溅到皮肤立即用酒精清洗，再用清水冲洗。</w:t>
      </w:r>
    </w:p>
    <w:p w14:paraId="635704D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火灾防范</w:t>
      </w:r>
      <w:r>
        <w:t>：清洗用丙酮远离火源（闪点-17℃），车间配备防爆型通风设备及ABC干粉灭火器（每50m²至少1具）。</w:t>
      </w:r>
    </w:p>
    <w:p w14:paraId="717C8922">
      <w:pPr>
        <w:pStyle w:val="3"/>
      </w:pPr>
      <w:r>
        <w:t>四、常见故障类型及成因分析</w:t>
      </w:r>
    </w:p>
    <w:p w14:paraId="58A707E7">
      <w:pPr>
        <w:pStyle w:val="4"/>
      </w:pPr>
      <w:r>
        <w:t>4.1 真空系统故障</w:t>
      </w:r>
    </w:p>
    <w:p w14:paraId="75AD3F7A">
      <w:pPr>
        <w:pStyle w:val="5"/>
      </w:pPr>
      <w:r>
        <w:t>4.1.1 真空度无法达到设定值（占比35%）</w:t>
      </w:r>
    </w:p>
    <w:p w14:paraId="7201C69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：抽真空30分钟后，真空度仅能达到-0.08MPa（目标-0.095MPa），且回升速率＞5kPa/30分钟。</w:t>
      </w:r>
    </w:p>
    <w:p w14:paraId="1F44B9D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36C82867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管路泄漏</w:t>
      </w:r>
      <w:r>
        <w:t>：法兰密封垫片老化（氟橡胶密封圈使用超过6个月，硬度降至≤60 Shore A）或螺栓松动（扭矩＜25N·m），泄漏点多位于真空接口、罐门密封面。</w:t>
      </w:r>
    </w:p>
    <w:p w14:paraId="303C6A31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真空泵故障</w:t>
      </w:r>
      <w:r>
        <w:t>：真空泵油乳化（水分含量≥0.1%）导致抽气效率下降；泵内叶片磨损（间隙＞0.1mm），极限真空度从＜20Pa升至＞50Pa。</w:t>
      </w:r>
    </w:p>
    <w:p w14:paraId="1B092B8D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物料挥发污染</w:t>
      </w:r>
      <w:r>
        <w:t>：树脂蒸汽进入真空泵，在泵内冷凝形成油泥，堵塞排气阀（尤其未安装油气分离器时）。</w:t>
      </w:r>
    </w:p>
    <w:p w14:paraId="5FD40EF7">
      <w:pPr>
        <w:pStyle w:val="5"/>
      </w:pPr>
      <w:r>
        <w:t>4.1.2 真空度回升过快（占比20%）</w:t>
      </w:r>
    </w:p>
    <w:p w14:paraId="6FFB5DA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：达到设定真空度后，关闭真空泵，10分钟内压力回升＞10kPa。</w:t>
      </w:r>
    </w:p>
    <w:p w14:paraId="0054CE2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03D13AFC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阀门内漏</w:t>
      </w:r>
      <w:r>
        <w:t>：真空蝶阀阀芯与阀座密封面磨损（划痕深度＞0.05mm），或气动阀门未完全关闭（电磁阀故障导致阀芯卡滞）。</w:t>
      </w:r>
    </w:p>
    <w:p w14:paraId="3FB06B54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传感器漂移</w:t>
      </w:r>
      <w:r>
        <w:t>：压力变送器零点漂移（误差＞±0.5%FS），显示值低于实际真空度，误判为回升过快。</w:t>
      </w:r>
    </w:p>
    <w:p w14:paraId="07DB5F0A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罐体泄漏</w:t>
      </w:r>
      <w:r>
        <w:t>：焊接缺陷（如夹层焊缝沙眼）或观察窗密封不良（密封圈压缩量不足20%）。</w:t>
      </w:r>
    </w:p>
    <w:p w14:paraId="6DB3C4BA">
      <w:pPr>
        <w:pStyle w:val="4"/>
      </w:pPr>
      <w:r>
        <w:t>4.2 温度控制故障</w:t>
      </w:r>
    </w:p>
    <w:p w14:paraId="1B49538F">
      <w:pPr>
        <w:pStyle w:val="5"/>
      </w:pPr>
      <w:r>
        <w:t>4.2.1 加热不均（占比25%）</w:t>
      </w:r>
    </w:p>
    <w:p w14:paraId="3E723DF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：罐内上下温差＞10℃（如顶部65℃，底部80℃），导致物料粘度分层（上层1500mPa·s，下层500mPa·s）。</w:t>
      </w:r>
    </w:p>
    <w:p w14:paraId="2C66E75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45FEC64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加热管损坏</w:t>
      </w:r>
      <w:r>
        <w:t>：电加热板局部断路（如3组中1组损坏），加热功率下降33%，形成局部低温区。</w:t>
      </w:r>
    </w:p>
    <w:p w14:paraId="69B7D40D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导热油循环不良</w:t>
      </w:r>
      <w:r>
        <w:t>：油循环加热系统中，循环泵流量不足（低于10m³/h）或过滤器堵塞（压差＞0.1MPa），导致导热油流速慢，传热效率低。</w:t>
      </w:r>
    </w:p>
    <w:p w14:paraId="72BD1177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搅拌死角</w:t>
      </w:r>
      <w:r>
        <w:t>：锚式桨与罐底间隙＞5mm，底部物料流动缓慢，热量交换不充分。</w:t>
      </w:r>
    </w:p>
    <w:p w14:paraId="22532DFA">
      <w:pPr>
        <w:pStyle w:val="5"/>
      </w:pPr>
      <w:r>
        <w:t>4.2.2 超温报警（占比15%）</w:t>
      </w:r>
    </w:p>
    <w:p w14:paraId="5B460C9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：温度超过设定值5℃以上，触发超温保护停机（报警代码E01）。</w:t>
      </w:r>
    </w:p>
    <w:p w14:paraId="6E3536B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4F8F280B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传感器故障</w:t>
      </w:r>
      <w:r>
        <w:t>：PT100热电阻断路或短路，PLC接收错误温度信号（如显示150℃实际80℃）。</w:t>
      </w:r>
    </w:p>
    <w:p w14:paraId="56548864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温控逻辑缺陷</w:t>
      </w:r>
      <w:r>
        <w:t>：PID参数设置错误（如比例带P=10%导致超调量达8℃），或未启用温度上限保护（设定值+5℃）。</w:t>
      </w:r>
    </w:p>
    <w:p w14:paraId="79EF819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加热系统失控</w:t>
      </w:r>
      <w:r>
        <w:t>：固态继电器粘连（触点无法断开），加热管持续加热，导致温度失控。</w:t>
      </w:r>
    </w:p>
    <w:p w14:paraId="66CFD888">
      <w:pPr>
        <w:pStyle w:val="4"/>
      </w:pPr>
      <w:r>
        <w:t>4.3 搅拌系统故障</w:t>
      </w:r>
    </w:p>
    <w:p w14:paraId="73AAD4AB">
      <w:pPr>
        <w:pStyle w:val="5"/>
      </w:pPr>
      <w:r>
        <w:t>4.3.1 搅拌轴卡滞（占比20%）</w:t>
      </w:r>
    </w:p>
    <w:p w14:paraId="2A354C4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：搅拌启动时电机电流超过额定值2倍（额定电流8.5A，实测18A），触发过载保护停机。</w:t>
      </w:r>
    </w:p>
    <w:p w14:paraId="7D101BA3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237DFDDA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轴承磨损</w:t>
      </w:r>
      <w:r>
        <w:t>：搅拌轴轴承（型号6310）缺油或润滑脂老化（使用超过2000小时未更换），径向游隙＞0.15mm，导致轴系偏心卡滞。</w:t>
      </w:r>
    </w:p>
    <w:p w14:paraId="1123EDD0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物料结晶堵塞</w:t>
      </w:r>
      <w:r>
        <w:t>：停机后未及时清洗，树脂在轴封处固化（尤其环境温度＜15℃时），形成硬质结晶层，阻碍轴转动。</w:t>
      </w:r>
    </w:p>
    <w:p w14:paraId="6623ABD1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减速机故障</w:t>
      </w:r>
      <w:r>
        <w:t>：齿轮箱齿轮磨损（齿厚磨损量＞0.2mm）或轴承损坏，输出扭矩下降，无法带动搅拌轴。</w:t>
      </w:r>
    </w:p>
    <w:p w14:paraId="2DC000B1">
      <w:pPr>
        <w:pStyle w:val="5"/>
      </w:pPr>
      <w:r>
        <w:t>4.3.2 混合不均（占比15%）</w:t>
      </w:r>
    </w:p>
    <w:p w14:paraId="27E2E52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：取样检测显示填料含量偏差＞2%（如顶部硅微粉含量60%，底部65%）。</w:t>
      </w:r>
    </w:p>
    <w:p w14:paraId="2148A6E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6A053BD8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桨叶角度偏差</w:t>
      </w:r>
      <w:r>
        <w:t>：锚式桨叶安装角度偏差＞5°，轴向推力不足，导致上下物料循环不畅。</w:t>
      </w:r>
    </w:p>
    <w:p w14:paraId="7604FE92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转速与粘度不匹配</w:t>
      </w:r>
      <w:r>
        <w:t>：物料粘度超过1500mPa·s时仍使用35rpm转速，搅拌流场变为层流，混合效率下降50%。</w:t>
      </w:r>
    </w:p>
    <w:p w14:paraId="7476BE66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脱气伞堵塞</w:t>
      </w:r>
      <w:r>
        <w:t>：脱气伞导流孔被大颗粒填料（粒径＞100μm）堵塞，物料成膜不均匀，局部混合死角增加。</w:t>
      </w:r>
    </w:p>
    <w:p w14:paraId="0EB1F064">
      <w:pPr>
        <w:pStyle w:val="4"/>
      </w:pPr>
      <w:r>
        <w:t>4.4 物料输送与计量故障</w:t>
      </w:r>
    </w:p>
    <w:p w14:paraId="49379B49">
      <w:pPr>
        <w:pStyle w:val="5"/>
      </w:pPr>
      <w:r>
        <w:t>4.4.1 计量泵精度超差（占比25%）</w:t>
      </w:r>
    </w:p>
    <w:p w14:paraId="04B0EE7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：实际输送量与设定值偏差＞±1%（如设定500L，实际490L）。</w:t>
      </w:r>
    </w:p>
    <w:p w14:paraId="24C6893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063F4E4F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单向阀磨损</w:t>
      </w:r>
      <w:r>
        <w:t>：计量泵进出口单向阀阀芯（PTFE材质）磨损（密封面划痕＞0.02mm），导致回流量增加，容积效率从98%降至90%以下。</w:t>
      </w:r>
    </w:p>
    <w:p w14:paraId="35C9A30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液压油污染</w:t>
      </w:r>
      <w:r>
        <w:t>：柱塞式计量泵液压油混入树脂杂质，导致流量调节精度下降（调节误差＞±2%）。</w:t>
      </w:r>
    </w:p>
    <w:p w14:paraId="4CBEA9C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电机转速不稳</w:t>
      </w:r>
      <w:r>
        <w:t>：变频器受电磁干扰（接地不良），输出频率波动±1Hz，导致泵转速波动±2%。</w:t>
      </w:r>
    </w:p>
    <w:p w14:paraId="70884175">
      <w:pPr>
        <w:pStyle w:val="5"/>
      </w:pPr>
      <w:r>
        <w:t>4.4.2 管路堵塞（占比30%）</w:t>
      </w:r>
    </w:p>
    <w:p w14:paraId="1C2553F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：出料流量从20L/min降至5L/min以下，管路压力表显示压力＞1MPa（正常0.3MPa）。</w:t>
      </w:r>
    </w:p>
    <w:p w14:paraId="2B68354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2D58E5DB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树脂固化残留</w:t>
      </w:r>
      <w:r>
        <w:t>：浇注后未及时清洗管路，残留树脂在常温下固化（尤其冬季环境温度＜15℃时，固化时间缩短至2小时）。</w:t>
      </w:r>
    </w:p>
    <w:p w14:paraId="569CA973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填料沉降</w:t>
      </w:r>
      <w:r>
        <w:t>：硅微粉在水平管路中静置超过30分钟，形成沉降层（堆积高度＞管径1/3），缩小流通面积。</w:t>
      </w:r>
    </w:p>
    <w:p w14:paraId="45FA2FFC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阀门故障</w:t>
      </w:r>
      <w:r>
        <w:t>：气动球阀阀芯被异物卡住（如金属杂质），阀门开度仅能达到30%，流量受限。</w:t>
      </w:r>
    </w:p>
    <w:p w14:paraId="2B8BAED0">
      <w:pPr>
        <w:pStyle w:val="3"/>
      </w:pPr>
      <w:r>
        <w:t>五、故障诊断方法与处理对策</w:t>
      </w:r>
    </w:p>
    <w:p w14:paraId="44192F64">
      <w:pPr>
        <w:pStyle w:val="4"/>
      </w:pPr>
      <w:r>
        <w:t>5.1 故障诊断技术与工具</w:t>
      </w:r>
    </w:p>
    <w:p w14:paraId="698267AF">
      <w:pPr>
        <w:pStyle w:val="5"/>
      </w:pPr>
      <w:r>
        <w:t>5.1.1 真空泄漏检测</w:t>
      </w:r>
    </w:p>
    <w:p w14:paraId="096DC79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肥皂水涂抹法</w:t>
      </w:r>
      <w:r>
        <w:t>：对法兰接口、阀门、罐门密封面等可疑点涂抹肥皂水（浓度5%），观察是否产生气泡（气泡直径＞1mm即为泄漏点），适用于粗定位。</w:t>
      </w:r>
    </w:p>
    <w:p w14:paraId="3BF53B4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氦质谱检漏</w:t>
      </w:r>
      <w:r>
        <w:t>：将氦气充入罐内（压力0.05MPa），使用氦质谱检漏仪（最小可检漏率5×10⁻¹²Pa·m³/s）在外部扫描，泄漏率＞0.5Pa·m³/s时需修复。</w:t>
      </w:r>
    </w:p>
    <w:p w14:paraId="6E130BF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保压测试</w:t>
      </w:r>
      <w:r>
        <w:t>：关闭所有阀门，抽真空至-0.095MPa后关闭真空泵，记录30分钟压力回升值（≤5kPa为合格），回升值＞5kPa时判定存在泄漏。</w:t>
      </w:r>
    </w:p>
    <w:p w14:paraId="36C02D64">
      <w:pPr>
        <w:pStyle w:val="5"/>
      </w:pPr>
      <w:r>
        <w:t>5.1.2 温度场检测</w:t>
      </w:r>
    </w:p>
    <w:p w14:paraId="6F83C92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红外热像仪扫描</w:t>
      </w:r>
      <w:r>
        <w:t>：使用红外热像仪（分辨率640×512，测温范围-20~300℃）拍摄罐体外壁温度分布，正常情况下温差应≤5℃，局部低温区提示加热管损坏或导热不良。</w:t>
      </w:r>
    </w:p>
    <w:p w14:paraId="20A3206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多点测温法</w:t>
      </w:r>
      <w:r>
        <w:t>：在罐内不同高度（顶部、中部、底部）插入便携式温度计（精度±0.5℃），对比PLC显示温度，偏差＞3℃时校准传感器或检查测温回路。</w:t>
      </w:r>
    </w:p>
    <w:p w14:paraId="58EF1D95">
      <w:pPr>
        <w:pStyle w:val="5"/>
      </w:pPr>
      <w:r>
        <w:t>5.1.3 机械故障诊断</w:t>
      </w:r>
    </w:p>
    <w:p w14:paraId="03765A3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振动分析</w:t>
      </w:r>
      <w:r>
        <w:t>：使用振动分析仪（频率范围10-1000Hz）测量搅拌轴轴承座振动，正常振幅≤0.05mm/s，若出现1倍频（与转速同步）振动幅值＞0.1mm/s，提示轴系失衡；2倍频幅值异常提示不对中。</w:t>
      </w:r>
    </w:p>
    <w:p w14:paraId="71432140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电机电流监测</w:t>
      </w:r>
      <w:r>
        <w:t>：通过钳形电流表测量搅拌电机运行电流，空载电流应为额定电流的30%-50%（如4kW电机空载电流1.5-2.5A），满载电流接近额定值（8.5A），电流异常升高提示机械卡滞。</w:t>
      </w:r>
    </w:p>
    <w:p w14:paraId="1848DEC1">
      <w:pPr>
        <w:pStyle w:val="4"/>
      </w:pPr>
      <w:r>
        <w:t>5.2 典型故障处理流程与操作</w:t>
      </w:r>
    </w:p>
    <w:p w14:paraId="26083C37">
      <w:pPr>
        <w:pStyle w:val="5"/>
      </w:pPr>
      <w:r>
        <w:t>5.2.1 真空度不足故障处理</w:t>
      </w:r>
    </w:p>
    <w:p w14:paraId="6E3A998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故障定位</w:t>
      </w:r>
      <w:r>
        <w:t>：</w:t>
      </w:r>
    </w:p>
    <w:p w14:paraId="5359952B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检查真空泵油位及油色，若油位低于1/2或油色乳化（呈乳白色），判定为真空泵油问题。</w:t>
      </w:r>
    </w:p>
    <w:p w14:paraId="6571554D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关闭真空泵，保压测试30分钟，压力回升＞5kPa则进行泄漏检测。</w:t>
      </w:r>
    </w:p>
    <w:p w14:paraId="043BDAF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处理操作</w:t>
      </w:r>
      <w:r>
        <w:t>：</w:t>
      </w:r>
    </w:p>
    <w:p w14:paraId="67023D23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rPr>
          <w:b/>
        </w:rPr>
        <w:t>更换真空泵油</w:t>
      </w:r>
      <w:r>
        <w:t>：放出旧油，用专用清洗剂（如煤油）冲洗泵体，加入新油（型号N68真空泵油）至油窗2/3处，运行30分钟后再次更换（首次换油清除残留杂质）。</w:t>
      </w:r>
    </w:p>
    <w:p w14:paraId="17A7EDAE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rPr>
          <w:b/>
        </w:rPr>
        <w:t>修复泄漏点</w:t>
      </w:r>
      <w:r>
        <w:t>：拆卸法兰，更换氟橡胶密封圈（压缩量30%），螺栓对角均匀紧固（扭矩25-30N·m）；罐门密封面用800目砂纸打磨，去除划痕。</w:t>
      </w:r>
    </w:p>
    <w:p w14:paraId="760AA4A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验证效果</w:t>
      </w:r>
      <w:r>
        <w:t>：重新抽真空，30分钟内达到-0.095MPa，保压测试30分钟压力回升≤3kPa。</w:t>
      </w:r>
    </w:p>
    <w:p w14:paraId="6D325926">
      <w:pPr>
        <w:pStyle w:val="5"/>
      </w:pPr>
      <w:r>
        <w:t>5.2.2 搅拌轴卡滞故障处理</w:t>
      </w:r>
    </w:p>
    <w:p w14:paraId="69765DC8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故障定位</w:t>
      </w:r>
      <w:r>
        <w:t>：</w:t>
      </w:r>
    </w:p>
    <w:p w14:paraId="2553AE0E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断电后手动盘车，若无法转动，判定为物料堵塞或轴承卡滞；若能转动但阻力大，检查减速机及电机。</w:t>
      </w:r>
    </w:p>
    <w:p w14:paraId="210F9DEB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拆卸轴端盖，检查机械密封是否损坏（有无树脂泄漏痕迹）。</w:t>
      </w:r>
    </w:p>
    <w:p w14:paraId="3230738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处理操作</w:t>
      </w:r>
      <w:r>
        <w:t>：</w:t>
      </w:r>
    </w:p>
    <w:p w14:paraId="6836E759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rPr>
          <w:b/>
        </w:rPr>
        <w:t>清理物料堵塞</w:t>
      </w:r>
      <w:r>
        <w:t>：拆卸搅拌桨，用专用溶剂（丙酮）浸泡轴封处固化树脂，待软化后用铜棒轻轻敲击，去除结晶层；用压缩空气吹扫罐底残留物料。</w:t>
      </w:r>
    </w:p>
    <w:p w14:paraId="0A3D4B5F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rPr>
          <w:b/>
        </w:rPr>
        <w:t>更换轴承</w:t>
      </w:r>
      <w:r>
        <w:t>：拆卸减速机输出轴联轴器，取出搅拌轴，更换轴承（型号6310，加注锂基脂2号，填充量1/3-1/2轴承空间），测量轴系同心度≤0.1mm/m。</w:t>
      </w:r>
    </w:p>
    <w:p w14:paraId="6D7E289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验证效果</w:t>
      </w:r>
      <w:r>
        <w:t>：空载运行搅拌系统，电流≤2A，振动幅值≤0.05mm/s，运行30分钟无异常噪音。</w:t>
      </w:r>
    </w:p>
    <w:p w14:paraId="324CECB2">
      <w:pPr>
        <w:pStyle w:val="5"/>
      </w:pPr>
      <w:r>
        <w:t>5.2.3 管路堵塞故障处理</w:t>
      </w:r>
    </w:p>
    <w:p w14:paraId="437747AB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故障定位</w:t>
      </w:r>
      <w:r>
        <w:t>：</w:t>
      </w:r>
    </w:p>
    <w:p w14:paraId="1B8FE6C7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分段关闭管路阀门，通过压力表判断堵塞位置（如阀门前压力高、阀门后压力低，提示阀门堵塞）。</w:t>
      </w:r>
    </w:p>
    <w:p w14:paraId="0CBBC53A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冬季环境温度＜15℃时，重点检查水平管路及阀门死角。</w:t>
      </w:r>
    </w:p>
    <w:p w14:paraId="72DD0946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处理操作</w:t>
      </w:r>
      <w:r>
        <w:t>：</w:t>
      </w:r>
    </w:p>
    <w:p w14:paraId="1069E03B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加热疏通</w:t>
      </w:r>
      <w:r>
        <w:t>：用热风枪（温度150℃）沿管路均匀加热，配合木锤轻敲管壁，使固化树脂软化；拆卸堵塞阀门，用专用通条（直径比管径小5mm）清理阀芯。</w:t>
      </w:r>
    </w:p>
    <w:p w14:paraId="1B19A644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化学清洗</w:t>
      </w:r>
      <w:r>
        <w:t>：将管路两端封堵，注入丙酮（淹没堵塞段），浸泡2小时后用氮气（0.4MPa）吹扫，重复2-3次。</w:t>
      </w:r>
    </w:p>
    <w:p w14:paraId="680543C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验证效果</w:t>
      </w:r>
      <w:r>
        <w:t>：恢复管路连接，启动输送系统，流量恢复至20L/min，压力稳定在0.3MPa。</w:t>
      </w:r>
    </w:p>
    <w:p w14:paraId="53BA5E56">
      <w:pPr>
        <w:pStyle w:val="4"/>
      </w:pPr>
      <w:r>
        <w:t>5.3 预防性维护与周期管理</w:t>
      </w:r>
    </w:p>
    <w:p w14:paraId="10847ADD">
      <w:pPr>
        <w:pStyle w:val="5"/>
      </w:pPr>
      <w:r>
        <w:t>5.3.1 日常维护（每班）</w:t>
      </w:r>
    </w:p>
    <w:p w14:paraId="4FEA13F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班前检查</w:t>
      </w:r>
      <w:r>
        <w:t>：</w:t>
      </w:r>
    </w:p>
    <w:p w14:paraId="175FEDCD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真空系统：真空泵油位、油色（透明无乳化），油雾器油量（≥1/2）。</w:t>
      </w:r>
    </w:p>
    <w:p w14:paraId="5C8C50C0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加热系统：温控仪表显示正常，加热指示灯无闪烁。</w:t>
      </w:r>
    </w:p>
    <w:p w14:paraId="009483AB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搅拌系统：手动盘车灵活，无异常声响。</w:t>
      </w:r>
    </w:p>
    <w:p w14:paraId="5DC87A2E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班中巡检</w:t>
      </w:r>
      <w:r>
        <w:t>：</w:t>
      </w:r>
    </w:p>
    <w:p w14:paraId="4EEA711A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每小时记录温度、真空度、压力参数，偏差超限时及时调整。</w:t>
      </w:r>
    </w:p>
    <w:p w14:paraId="1D27E321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监听设备运行声音，振动、温度异常时停机检查。</w:t>
      </w:r>
    </w:p>
    <w:p w14:paraId="0B763AEF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班后清理</w:t>
      </w:r>
      <w:r>
        <w:t>：</w:t>
      </w:r>
    </w:p>
    <w:p w14:paraId="00E9663D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清空料罐残留物料，用丙酮清洗罐壁及搅拌桨。</w:t>
      </w:r>
    </w:p>
    <w:p w14:paraId="29143D59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t>关闭电源、气源，清理作业现场。</w:t>
      </w:r>
    </w:p>
    <w:p w14:paraId="394BEEC0">
      <w:pPr>
        <w:pStyle w:val="5"/>
      </w:pPr>
      <w:r>
        <w:t>5.3.2 定期维护</w:t>
      </w:r>
    </w:p>
    <w:p w14:paraId="567EBF9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每周维护</w:t>
      </w:r>
      <w:r>
        <w:t>：</w:t>
      </w:r>
    </w:p>
    <w:p w14:paraId="6C4EF6C5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检查密封件：罐门密封圈压缩量（≥25%），真空接口垫片无裂纹。</w:t>
      </w:r>
    </w:p>
    <w:p w14:paraId="59AD318E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校准传感器：用标准温度计校准PT100（误差≤±0.5℃），压力变送器用标准压力源校准（误差≤±0.25%FS）。</w:t>
      </w:r>
    </w:p>
    <w:p w14:paraId="746E9315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每月维护</w:t>
      </w:r>
      <w:r>
        <w:t>：</w:t>
      </w:r>
    </w:p>
    <w:p w14:paraId="63711692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搅拌系统：检查减速机润滑油位（型号N220齿轮油），不足时补充；轴承座加注润滑脂（锂基脂2号）。</w:t>
      </w:r>
    </w:p>
    <w:p w14:paraId="027FDB39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加热系统：电加热板绝缘电阻测试（≥100MΩ），清理加热管表面积尘。</w:t>
      </w:r>
    </w:p>
    <w:p w14:paraId="3FA051DF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季度维护</w:t>
      </w:r>
      <w:r>
        <w:t>：</w:t>
      </w:r>
    </w:p>
    <w:p w14:paraId="23328530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真空系统：更换真空泵油及过滤器滤芯，检查泵体密封件。</w:t>
      </w:r>
    </w:p>
    <w:p w14:paraId="2A7161EB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阀门系统：拆卸气动球阀，清洗阀芯，涂抹硅基润滑脂（耐温-40~200℃）。</w:t>
      </w:r>
    </w:p>
    <w:p w14:paraId="4F7457BA">
      <w:pPr>
        <w:pStyle w:val="5"/>
      </w:pPr>
      <w:r>
        <w:t>5.3.3 年度大修</w:t>
      </w:r>
    </w:p>
    <w:p w14:paraId="66B3934C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</w:t>
      </w:r>
    </w:p>
    <w:p w14:paraId="39F1B9E9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罐体：内窥镜检查内壁腐蚀情况，锈蚀深度＞0.5mm时进行补焊；水煮清洗（80℃热水循环2小时）去除残留树脂。</w:t>
      </w:r>
    </w:p>
    <w:p w14:paraId="60BD048D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搅拌轴：检测轴径磨损量（≤0.2mm），更换机械密封及轴承。</w:t>
      </w:r>
    </w:p>
    <w:p w14:paraId="2043BD50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</w:t>
      </w:r>
    </w:p>
    <w:p w14:paraId="1C921056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PLC系统：备份程序，检查I/O模块指示灯，更换老化接线端子（使用5年以上）。</w:t>
      </w:r>
    </w:p>
    <w:p w14:paraId="1FCD6194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执行机构：电机绝缘测试（≥1MΩ），变频器参数备份与校准。</w:t>
      </w:r>
    </w:p>
    <w:p w14:paraId="6ADE02FA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备件更换</w:t>
      </w:r>
      <w:r>
        <w:t>：按周期更换易损件（密封圈、加热管、单向阀阀芯），确保备件库存充足（如氟橡胶密封圈5套/台）。</w:t>
      </w:r>
    </w:p>
    <w:p w14:paraId="15DC20C0">
      <w:pPr>
        <w:pStyle w:val="3"/>
      </w:pPr>
      <w:r>
        <w:t>附录</w:t>
      </w:r>
    </w:p>
    <w:p w14:paraId="55AEB10C">
      <w:pPr>
        <w:pStyle w:val="4"/>
      </w:pPr>
      <w:r>
        <w:t>A. 料罐系统技术参数总表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DD2F6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457F2B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00888FC8">
            <w:pPr>
              <w:jc w:val="center"/>
              <w:rPr>
                <w:b/>
              </w:rPr>
            </w:pPr>
            <w:r>
              <w:rPr>
                <w:b/>
              </w:rPr>
              <w:t>树脂预混料罐（1000L）</w:t>
            </w:r>
          </w:p>
        </w:tc>
        <w:tc>
          <w:tcPr>
            <w:tcW w:w="0" w:type="auto"/>
            <w:vAlign w:val="center"/>
          </w:tcPr>
          <w:p w14:paraId="2E45AD40">
            <w:pPr>
              <w:jc w:val="center"/>
              <w:rPr>
                <w:b/>
              </w:rPr>
            </w:pPr>
            <w:r>
              <w:rPr>
                <w:b/>
              </w:rPr>
              <w:t>固化剂预混料罐（300L）</w:t>
            </w:r>
          </w:p>
        </w:tc>
        <w:tc>
          <w:tcPr>
            <w:tcW w:w="0" w:type="auto"/>
            <w:vAlign w:val="center"/>
          </w:tcPr>
          <w:p w14:paraId="287039A9">
            <w:pPr>
              <w:jc w:val="center"/>
              <w:rPr>
                <w:b/>
              </w:rPr>
            </w:pPr>
            <w:r>
              <w:rPr>
                <w:b/>
              </w:rPr>
              <w:t>终混罐（1500L）</w:t>
            </w:r>
          </w:p>
        </w:tc>
      </w:tr>
      <w:tr w14:paraId="7F0253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22B1D0">
            <w:r>
              <w:t>设计压力</w:t>
            </w:r>
          </w:p>
        </w:tc>
        <w:tc>
          <w:tcPr>
            <w:tcW w:w="0" w:type="auto"/>
            <w:vAlign w:val="center"/>
          </w:tcPr>
          <w:p w14:paraId="7F0F7E00">
            <w:r>
              <w:t>-0.1~0.6MPa</w:t>
            </w:r>
          </w:p>
        </w:tc>
        <w:tc>
          <w:tcPr>
            <w:tcW w:w="0" w:type="auto"/>
            <w:vAlign w:val="center"/>
          </w:tcPr>
          <w:p w14:paraId="7A9A36D7">
            <w:r>
              <w:t>-0.1~0.4MPa</w:t>
            </w:r>
          </w:p>
        </w:tc>
        <w:tc>
          <w:tcPr>
            <w:tcW w:w="0" w:type="auto"/>
            <w:vAlign w:val="center"/>
          </w:tcPr>
          <w:p w14:paraId="077B452D">
            <w:r>
              <w:t>-0.1~0.6MPa</w:t>
            </w:r>
          </w:p>
        </w:tc>
      </w:tr>
      <w:tr w14:paraId="62D28D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5B33DF">
            <w:r>
              <w:t>材质</w:t>
            </w:r>
          </w:p>
        </w:tc>
        <w:tc>
          <w:tcPr>
            <w:tcW w:w="0" w:type="auto"/>
            <w:vAlign w:val="center"/>
          </w:tcPr>
          <w:p w14:paraId="02889D77">
            <w:r>
              <w:t>不锈钢304（内层）</w:t>
            </w:r>
          </w:p>
        </w:tc>
        <w:tc>
          <w:tcPr>
            <w:tcW w:w="0" w:type="auto"/>
            <w:vAlign w:val="center"/>
          </w:tcPr>
          <w:p w14:paraId="70D8A4E7">
            <w:r>
              <w:t>不锈钢316（内层）</w:t>
            </w:r>
          </w:p>
        </w:tc>
        <w:tc>
          <w:tcPr>
            <w:tcW w:w="0" w:type="auto"/>
            <w:vAlign w:val="center"/>
          </w:tcPr>
          <w:p w14:paraId="6F7585A7">
            <w:r>
              <w:t>不锈钢304（内层）</w:t>
            </w:r>
          </w:p>
        </w:tc>
      </w:tr>
      <w:tr w14:paraId="66403DF2">
        <w:tc>
          <w:tcPr>
            <w:tcW w:w="0" w:type="auto"/>
            <w:vAlign w:val="center"/>
          </w:tcPr>
          <w:p w14:paraId="402332A9">
            <w:r>
              <w:t>加热功率</w:t>
            </w:r>
          </w:p>
        </w:tc>
        <w:tc>
          <w:tcPr>
            <w:tcW w:w="0" w:type="auto"/>
            <w:vAlign w:val="center"/>
          </w:tcPr>
          <w:p w14:paraId="78712CDA">
            <w:r>
              <w:t>9kW（电加热）</w:t>
            </w:r>
          </w:p>
        </w:tc>
        <w:tc>
          <w:tcPr>
            <w:tcW w:w="0" w:type="auto"/>
            <w:vAlign w:val="center"/>
          </w:tcPr>
          <w:p w14:paraId="63A514D5">
            <w:r>
              <w:t>6kW（油加热）</w:t>
            </w:r>
          </w:p>
        </w:tc>
        <w:tc>
          <w:tcPr>
            <w:tcW w:w="0" w:type="auto"/>
            <w:vAlign w:val="center"/>
          </w:tcPr>
          <w:p w14:paraId="55314BAF">
            <w:r>
              <w:t>12kW（电加热）</w:t>
            </w:r>
          </w:p>
        </w:tc>
      </w:tr>
      <w:tr w14:paraId="7428DC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1A6D8A">
            <w:r>
              <w:t>搅拌转速范围</w:t>
            </w:r>
          </w:p>
        </w:tc>
        <w:tc>
          <w:tcPr>
            <w:tcW w:w="0" w:type="auto"/>
            <w:vAlign w:val="center"/>
          </w:tcPr>
          <w:p w14:paraId="1787579C">
            <w:r>
              <w:t>10-40rpm</w:t>
            </w:r>
          </w:p>
        </w:tc>
        <w:tc>
          <w:tcPr>
            <w:tcW w:w="0" w:type="auto"/>
            <w:vAlign w:val="center"/>
          </w:tcPr>
          <w:p w14:paraId="631D7C74">
            <w:r>
              <w:t>20-50rpm</w:t>
            </w:r>
          </w:p>
        </w:tc>
        <w:tc>
          <w:tcPr>
            <w:tcW w:w="0" w:type="auto"/>
            <w:vAlign w:val="center"/>
          </w:tcPr>
          <w:p w14:paraId="66AEEA3C">
            <w:r>
              <w:t>10-30rpm（外层）</w:t>
            </w:r>
          </w:p>
        </w:tc>
      </w:tr>
      <w:tr w14:paraId="73891A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11B594">
            <w:r>
              <w:t>真空度</w:t>
            </w:r>
          </w:p>
        </w:tc>
        <w:tc>
          <w:tcPr>
            <w:tcW w:w="0" w:type="auto"/>
            <w:vAlign w:val="center"/>
          </w:tcPr>
          <w:p w14:paraId="0F1B1818">
            <w:r>
              <w:t>≤50Pa</w:t>
            </w:r>
          </w:p>
        </w:tc>
        <w:tc>
          <w:tcPr>
            <w:tcW w:w="0" w:type="auto"/>
            <w:vAlign w:val="center"/>
          </w:tcPr>
          <w:p w14:paraId="067602DA">
            <w:r>
              <w:t>≤100Pa</w:t>
            </w:r>
          </w:p>
        </w:tc>
        <w:tc>
          <w:tcPr>
            <w:tcW w:w="0" w:type="auto"/>
            <w:vAlign w:val="center"/>
          </w:tcPr>
          <w:p w14:paraId="322D1C18">
            <w:r>
              <w:t>≤10Pa</w:t>
            </w:r>
          </w:p>
        </w:tc>
      </w:tr>
      <w:tr w14:paraId="1211A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EB1B95">
            <w:r>
              <w:t>温控精度</w:t>
            </w:r>
          </w:p>
        </w:tc>
        <w:tc>
          <w:tcPr>
            <w:tcW w:w="0" w:type="auto"/>
            <w:vAlign w:val="center"/>
          </w:tcPr>
          <w:p w14:paraId="6EBD5A2D">
            <w:r>
              <w:t>±2℃</w:t>
            </w:r>
          </w:p>
        </w:tc>
        <w:tc>
          <w:tcPr>
            <w:tcW w:w="0" w:type="auto"/>
            <w:vAlign w:val="center"/>
          </w:tcPr>
          <w:p w14:paraId="31CF5D3B">
            <w:r>
              <w:t>±3℃</w:t>
            </w:r>
          </w:p>
        </w:tc>
        <w:tc>
          <w:tcPr>
            <w:tcW w:w="0" w:type="auto"/>
            <w:vAlign w:val="center"/>
          </w:tcPr>
          <w:p w14:paraId="16DCDFE3">
            <w:r>
              <w:t>±2℃</w:t>
            </w:r>
          </w:p>
        </w:tc>
      </w:tr>
      <w:tr w14:paraId="42A724CC">
        <w:tc>
          <w:tcPr>
            <w:tcW w:w="0" w:type="auto"/>
            <w:vAlign w:val="center"/>
          </w:tcPr>
          <w:p w14:paraId="3042DE0B">
            <w:r>
              <w:t>搅拌电机功率</w:t>
            </w:r>
          </w:p>
        </w:tc>
        <w:tc>
          <w:tcPr>
            <w:tcW w:w="0" w:type="auto"/>
            <w:vAlign w:val="center"/>
          </w:tcPr>
          <w:p w14:paraId="1CFB3AD6">
            <w:r>
              <w:t>4kW</w:t>
            </w:r>
          </w:p>
        </w:tc>
        <w:tc>
          <w:tcPr>
            <w:tcW w:w="0" w:type="auto"/>
            <w:vAlign w:val="center"/>
          </w:tcPr>
          <w:p w14:paraId="487D1657">
            <w:r>
              <w:t>1.5kW</w:t>
            </w:r>
          </w:p>
        </w:tc>
        <w:tc>
          <w:tcPr>
            <w:tcW w:w="0" w:type="auto"/>
            <w:vAlign w:val="center"/>
          </w:tcPr>
          <w:p w14:paraId="2FC772AE">
            <w:r>
              <w:t>5.5kW（外层）</w:t>
            </w:r>
          </w:p>
        </w:tc>
      </w:tr>
      <w:tr w14:paraId="2EF54F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017D26">
            <w:r>
              <w:t>外形尺寸（直径×高）</w:t>
            </w:r>
          </w:p>
        </w:tc>
        <w:tc>
          <w:tcPr>
            <w:tcW w:w="0" w:type="auto"/>
            <w:vAlign w:val="center"/>
          </w:tcPr>
          <w:p w14:paraId="5830932B">
            <w:r>
              <w:t>φ1200×2500mm</w:t>
            </w:r>
          </w:p>
        </w:tc>
        <w:tc>
          <w:tcPr>
            <w:tcW w:w="0" w:type="auto"/>
            <w:vAlign w:val="center"/>
          </w:tcPr>
          <w:p w14:paraId="3B454F01">
            <w:r>
              <w:t>φ800×1800mm</w:t>
            </w:r>
          </w:p>
        </w:tc>
        <w:tc>
          <w:tcPr>
            <w:tcW w:w="0" w:type="auto"/>
            <w:vAlign w:val="center"/>
          </w:tcPr>
          <w:p w14:paraId="7D98185D">
            <w:r>
              <w:t>φ1500×3000mm</w:t>
            </w:r>
          </w:p>
        </w:tc>
      </w:tr>
    </w:tbl>
    <w:p w14:paraId="56BDD529">
      <w:pPr>
        <w:pStyle w:val="4"/>
      </w:pPr>
      <w:r>
        <w:t>B. 常见故障排查决策树</w:t>
      </w:r>
    </w:p>
    <w:p w14:paraId="710F6C91">
      <w:r>
        <w:rPr>
          <w:b/>
        </w:rPr>
        <w:t>真空度不足</w:t>
      </w:r>
    </w:p>
    <w:p w14:paraId="5F9E6E54">
      <w:r>
        <w:t>→ 检查真空泵运行？</w:t>
      </w:r>
    </w:p>
    <w:p w14:paraId="28B129C3">
      <w:r>
        <w:t>→ 是→测油位/油色→油位低/乳化→更换真空泵油</w:t>
      </w:r>
    </w:p>
    <w:p w14:paraId="0581C029">
      <w:r>
        <w:t>→ 否→检查管路阀门→阀门未关严→手动关闭并紧固</w:t>
      </w:r>
    </w:p>
    <w:p w14:paraId="76EA7920">
      <w:r>
        <w:t>→ 否→保压测试→压力回升快→泄漏检测→修复泄漏点</w:t>
      </w:r>
    </w:p>
    <w:p w14:paraId="0ED71ED4">
      <w:r>
        <w:rPr>
          <w:b/>
        </w:rPr>
        <w:t>温度超温</w:t>
      </w:r>
    </w:p>
    <w:p w14:paraId="492C8CA4">
      <w:r>
        <w:t>→ 检查加热指示灯？</w:t>
      </w:r>
    </w:p>
    <w:p w14:paraId="30FEB70F">
      <w:r>
        <w:t>→ 亮→测传感器实际温度→显示温度＞实际温度→校准传感器</w:t>
      </w:r>
    </w:p>
    <w:p w14:paraId="455F5CF3">
      <w:r>
        <w:t>→ 亮→传感器正常→检查SSR→触点粘连→更换SSR</w:t>
      </w:r>
    </w:p>
    <w:p w14:paraId="17AA809A">
      <w:r>
        <w:t>→ 不亮→检查温控仪表→无输出→检查PLC程序</w:t>
      </w:r>
    </w:p>
    <w:p w14:paraId="413C6B3C">
      <w:r>
        <w:rPr>
          <w:b/>
        </w:rPr>
        <w:t>搅拌电流过大</w:t>
      </w:r>
    </w:p>
    <w:p w14:paraId="4E710DE2">
      <w:r>
        <w:t>→ 空载电流正常？</w:t>
      </w:r>
    </w:p>
    <w:p w14:paraId="174C2125">
      <w:r>
        <w:t>→ 是→负载状态→检查物料粘度→粘度过高→提高加热温度</w:t>
      </w:r>
    </w:p>
    <w:p w14:paraId="72072AE9">
      <w:r>
        <w:t>→ 否→断电盘车→卡滞→拆卸清理物料/更换轴承</w:t>
      </w:r>
    </w:p>
    <w:p w14:paraId="5294CAEE">
      <w:r>
        <w:t>→ 否→盘车正常→检查电机→轴承磨损→更换电机轴承</w:t>
      </w:r>
    </w:p>
    <w:p w14:paraId="3937A960">
      <w:pPr>
        <w:pStyle w:val="4"/>
      </w:pPr>
      <w:r>
        <w:t>C. 易损件与备件规格清单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2952C01">
        <w:tc>
          <w:tcPr>
            <w:tcW w:w="0" w:type="auto"/>
            <w:vAlign w:val="center"/>
          </w:tcPr>
          <w:p w14:paraId="55DA964F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33DF5ADB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DC15BD7">
            <w:pPr>
              <w:jc w:val="center"/>
              <w:rPr>
                <w:b/>
              </w:rPr>
            </w:pPr>
            <w:r>
              <w:rPr>
                <w:b/>
              </w:rPr>
              <w:t>材质</w:t>
            </w:r>
          </w:p>
        </w:tc>
        <w:tc>
          <w:tcPr>
            <w:tcW w:w="0" w:type="auto"/>
            <w:vAlign w:val="center"/>
          </w:tcPr>
          <w:p w14:paraId="5DD9DA2C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3495D29A">
            <w:pPr>
              <w:jc w:val="center"/>
              <w:rPr>
                <w:b/>
              </w:rPr>
            </w:pPr>
            <w:r>
              <w:rPr>
                <w:b/>
              </w:rPr>
              <w:t>数量（台套）</w:t>
            </w:r>
          </w:p>
        </w:tc>
      </w:tr>
      <w:tr w14:paraId="597C317C">
        <w:tc>
          <w:tcPr>
            <w:tcW w:w="0" w:type="auto"/>
            <w:vAlign w:val="center"/>
          </w:tcPr>
          <w:p w14:paraId="09365A0C">
            <w:r>
              <w:t>罐门密封圈</w:t>
            </w:r>
          </w:p>
        </w:tc>
        <w:tc>
          <w:tcPr>
            <w:tcW w:w="0" w:type="auto"/>
            <w:vAlign w:val="center"/>
          </w:tcPr>
          <w:p w14:paraId="437AE7EC">
            <w:r>
              <w:t>φ1200×10mm（截面）</w:t>
            </w:r>
          </w:p>
        </w:tc>
        <w:tc>
          <w:tcPr>
            <w:tcW w:w="0" w:type="auto"/>
            <w:vAlign w:val="center"/>
          </w:tcPr>
          <w:p w14:paraId="18D0E1A4">
            <w:r>
              <w:t>氟橡胶</w:t>
            </w:r>
          </w:p>
        </w:tc>
        <w:tc>
          <w:tcPr>
            <w:tcW w:w="0" w:type="auto"/>
            <w:vAlign w:val="center"/>
          </w:tcPr>
          <w:p w14:paraId="5F502E4E">
            <w:r>
              <w:t>6个月</w:t>
            </w:r>
          </w:p>
        </w:tc>
        <w:tc>
          <w:tcPr>
            <w:tcW w:w="0" w:type="auto"/>
            <w:vAlign w:val="center"/>
          </w:tcPr>
          <w:p w14:paraId="47A6B324">
            <w:r>
              <w:t>2</w:t>
            </w:r>
          </w:p>
        </w:tc>
      </w:tr>
      <w:tr w14:paraId="0300CE69">
        <w:tc>
          <w:tcPr>
            <w:tcW w:w="0" w:type="auto"/>
            <w:vAlign w:val="center"/>
          </w:tcPr>
          <w:p w14:paraId="6502F62D">
            <w:r>
              <w:t>真空接口垫片</w:t>
            </w:r>
          </w:p>
        </w:tc>
        <w:tc>
          <w:tcPr>
            <w:tcW w:w="0" w:type="auto"/>
            <w:vAlign w:val="center"/>
          </w:tcPr>
          <w:p w14:paraId="2E103812">
            <w:r>
              <w:t>KF50，厚度5mm</w:t>
            </w:r>
          </w:p>
        </w:tc>
        <w:tc>
          <w:tcPr>
            <w:tcW w:w="0" w:type="auto"/>
            <w:vAlign w:val="center"/>
          </w:tcPr>
          <w:p w14:paraId="4C88EE51">
            <w:r>
              <w:t>丁腈橡胶</w:t>
            </w:r>
          </w:p>
        </w:tc>
        <w:tc>
          <w:tcPr>
            <w:tcW w:w="0" w:type="auto"/>
            <w:vAlign w:val="center"/>
          </w:tcPr>
          <w:p w14:paraId="3D347942">
            <w:r>
              <w:t>3个月</w:t>
            </w:r>
          </w:p>
        </w:tc>
        <w:tc>
          <w:tcPr>
            <w:tcW w:w="0" w:type="auto"/>
            <w:vAlign w:val="center"/>
          </w:tcPr>
          <w:p w14:paraId="4AE96CF2">
            <w:r>
              <w:t>5</w:t>
            </w:r>
          </w:p>
        </w:tc>
      </w:tr>
      <w:tr w14:paraId="2181971D">
        <w:tc>
          <w:tcPr>
            <w:tcW w:w="0" w:type="auto"/>
            <w:vAlign w:val="center"/>
          </w:tcPr>
          <w:p w14:paraId="7E476C2F">
            <w:r>
              <w:t>机械密封</w:t>
            </w:r>
          </w:p>
        </w:tc>
        <w:tc>
          <w:tcPr>
            <w:tcW w:w="0" w:type="auto"/>
            <w:vAlign w:val="center"/>
          </w:tcPr>
          <w:p w14:paraId="3FFB119F">
            <w:r>
              <w:t>212型，轴径50mm</w:t>
            </w:r>
          </w:p>
        </w:tc>
        <w:tc>
          <w:tcPr>
            <w:tcW w:w="0" w:type="auto"/>
            <w:vAlign w:val="center"/>
          </w:tcPr>
          <w:p w14:paraId="0277D1FB">
            <w:r>
              <w:t>碳化硅/石墨</w:t>
            </w:r>
          </w:p>
        </w:tc>
        <w:tc>
          <w:tcPr>
            <w:tcW w:w="0" w:type="auto"/>
            <w:vAlign w:val="center"/>
          </w:tcPr>
          <w:p w14:paraId="5669EC75">
            <w:r>
              <w:t>10000小时</w:t>
            </w:r>
          </w:p>
        </w:tc>
        <w:tc>
          <w:tcPr>
            <w:tcW w:w="0" w:type="auto"/>
            <w:vAlign w:val="center"/>
          </w:tcPr>
          <w:p w14:paraId="1AEE1246">
            <w:r>
              <w:t>1</w:t>
            </w:r>
          </w:p>
        </w:tc>
      </w:tr>
      <w:tr w14:paraId="6C0CC168">
        <w:tc>
          <w:tcPr>
            <w:tcW w:w="0" w:type="auto"/>
            <w:vAlign w:val="center"/>
          </w:tcPr>
          <w:p w14:paraId="41E4EBDC">
            <w:r>
              <w:t>加热管</w:t>
            </w:r>
          </w:p>
        </w:tc>
        <w:tc>
          <w:tcPr>
            <w:tcW w:w="0" w:type="auto"/>
            <w:vAlign w:val="center"/>
          </w:tcPr>
          <w:p w14:paraId="6ECCA4D5">
            <w:r>
              <w:t>220V，1.5kW</w:t>
            </w:r>
          </w:p>
        </w:tc>
        <w:tc>
          <w:tcPr>
            <w:tcW w:w="0" w:type="auto"/>
            <w:vAlign w:val="center"/>
          </w:tcPr>
          <w:p w14:paraId="42D945ED">
            <w:r>
              <w:t>不锈钢304</w:t>
            </w:r>
          </w:p>
        </w:tc>
        <w:tc>
          <w:tcPr>
            <w:tcW w:w="0" w:type="auto"/>
            <w:vAlign w:val="center"/>
          </w:tcPr>
          <w:p w14:paraId="1120AB1D">
            <w:r>
              <w:t>8000小时</w:t>
            </w:r>
          </w:p>
        </w:tc>
        <w:tc>
          <w:tcPr>
            <w:tcW w:w="0" w:type="auto"/>
            <w:vAlign w:val="center"/>
          </w:tcPr>
          <w:p w14:paraId="00277F4E">
            <w:r>
              <w:t>6</w:t>
            </w:r>
          </w:p>
        </w:tc>
      </w:tr>
      <w:tr w14:paraId="7C064E94">
        <w:tc>
          <w:tcPr>
            <w:tcW w:w="0" w:type="auto"/>
            <w:vAlign w:val="center"/>
          </w:tcPr>
          <w:p w14:paraId="5789F7F2">
            <w:r>
              <w:t>搅拌轴承</w:t>
            </w:r>
          </w:p>
        </w:tc>
        <w:tc>
          <w:tcPr>
            <w:tcW w:w="0" w:type="auto"/>
            <w:vAlign w:val="center"/>
          </w:tcPr>
          <w:p w14:paraId="180C3629">
            <w:r>
              <w:t>6310，C3游隙</w:t>
            </w:r>
          </w:p>
        </w:tc>
        <w:tc>
          <w:tcPr>
            <w:tcW w:w="0" w:type="auto"/>
            <w:vAlign w:val="center"/>
          </w:tcPr>
          <w:p w14:paraId="15771826">
            <w:r>
              <w:t>轴承钢</w:t>
            </w:r>
          </w:p>
        </w:tc>
        <w:tc>
          <w:tcPr>
            <w:tcW w:w="0" w:type="auto"/>
            <w:vAlign w:val="center"/>
          </w:tcPr>
          <w:p w14:paraId="51EF5FBA">
            <w:r>
              <w:t>2000小时</w:t>
            </w:r>
          </w:p>
        </w:tc>
        <w:tc>
          <w:tcPr>
            <w:tcW w:w="0" w:type="auto"/>
            <w:vAlign w:val="center"/>
          </w:tcPr>
          <w:p w14:paraId="4993E392">
            <w:r>
              <w:t>2</w:t>
            </w:r>
          </w:p>
        </w:tc>
      </w:tr>
      <w:tr w14:paraId="43A7DF8B">
        <w:tc>
          <w:tcPr>
            <w:tcW w:w="0" w:type="auto"/>
            <w:vAlign w:val="center"/>
          </w:tcPr>
          <w:p w14:paraId="53289247">
            <w:r>
              <w:t>气动球阀阀芯</w:t>
            </w:r>
          </w:p>
        </w:tc>
        <w:tc>
          <w:tcPr>
            <w:tcW w:w="0" w:type="auto"/>
            <w:vAlign w:val="center"/>
          </w:tcPr>
          <w:p w14:paraId="3673489B">
            <w:r>
              <w:t>DN50，Q641F-16P</w:t>
            </w:r>
          </w:p>
        </w:tc>
        <w:tc>
          <w:tcPr>
            <w:tcW w:w="0" w:type="auto"/>
            <w:vAlign w:val="center"/>
          </w:tcPr>
          <w:p w14:paraId="1EC63AD0">
            <w:r>
              <w:t>PTFE</w:t>
            </w:r>
          </w:p>
        </w:tc>
        <w:tc>
          <w:tcPr>
            <w:tcW w:w="0" w:type="auto"/>
            <w:vAlign w:val="center"/>
          </w:tcPr>
          <w:p w14:paraId="34645DD2">
            <w:r>
              <w:t>1年</w:t>
            </w:r>
          </w:p>
        </w:tc>
        <w:tc>
          <w:tcPr>
            <w:tcW w:w="0" w:type="auto"/>
            <w:vAlign w:val="center"/>
          </w:tcPr>
          <w:p w14:paraId="19B77BC2">
            <w:r>
              <w:t>3</w:t>
            </w:r>
          </w:p>
        </w:tc>
      </w:tr>
      <w:tr w14:paraId="068828D9">
        <w:tc>
          <w:tcPr>
            <w:tcW w:w="0" w:type="auto"/>
            <w:vAlign w:val="center"/>
          </w:tcPr>
          <w:p w14:paraId="7805D35B">
            <w:r>
              <w:t>PT100传感器</w:t>
            </w:r>
          </w:p>
        </w:tc>
        <w:tc>
          <w:tcPr>
            <w:tcW w:w="0" w:type="auto"/>
            <w:vAlign w:val="center"/>
          </w:tcPr>
          <w:p w14:paraId="4CBDB2B9">
            <w:r>
              <w:t>WZP-PT100，A级精度</w:t>
            </w:r>
          </w:p>
        </w:tc>
        <w:tc>
          <w:tcPr>
            <w:tcW w:w="0" w:type="auto"/>
            <w:vAlign w:val="center"/>
          </w:tcPr>
          <w:p w14:paraId="033E1600">
            <w:r>
              <w:t>不锈钢316</w:t>
            </w:r>
          </w:p>
        </w:tc>
        <w:tc>
          <w:tcPr>
            <w:tcW w:w="0" w:type="auto"/>
            <w:vAlign w:val="center"/>
          </w:tcPr>
          <w:p w14:paraId="71CE4D74">
            <w:r>
              <w:t>2年</w:t>
            </w:r>
          </w:p>
        </w:tc>
        <w:tc>
          <w:tcPr>
            <w:tcW w:w="0" w:type="auto"/>
            <w:vAlign w:val="center"/>
          </w:tcPr>
          <w:p w14:paraId="55EBBBC5">
            <w:r>
              <w:t>3</w:t>
            </w:r>
          </w:p>
        </w:tc>
      </w:tr>
      <w:tr w14:paraId="7BE42018">
        <w:tc>
          <w:tcPr>
            <w:tcW w:w="0" w:type="auto"/>
            <w:vAlign w:val="center"/>
          </w:tcPr>
          <w:p w14:paraId="73716FC9">
            <w:r>
              <w:t>真空泵油</w:t>
            </w:r>
          </w:p>
        </w:tc>
        <w:tc>
          <w:tcPr>
            <w:tcW w:w="0" w:type="auto"/>
            <w:vAlign w:val="center"/>
          </w:tcPr>
          <w:p w14:paraId="783258AB">
            <w:r>
              <w:t>N68</w:t>
            </w:r>
          </w:p>
        </w:tc>
        <w:tc>
          <w:tcPr>
            <w:tcW w:w="0" w:type="auto"/>
            <w:vAlign w:val="center"/>
          </w:tcPr>
          <w:p w14:paraId="68FEF357">
            <w:r>
              <w:t>矿物油</w:t>
            </w:r>
          </w:p>
        </w:tc>
        <w:tc>
          <w:tcPr>
            <w:tcW w:w="0" w:type="auto"/>
            <w:vAlign w:val="center"/>
          </w:tcPr>
          <w:p w14:paraId="73733D0C">
            <w:r>
              <w:t>200小时</w:t>
            </w:r>
          </w:p>
        </w:tc>
        <w:tc>
          <w:tcPr>
            <w:tcW w:w="0" w:type="auto"/>
            <w:vAlign w:val="center"/>
          </w:tcPr>
          <w:p w14:paraId="084CF108">
            <w:r>
              <w:t>5L/桶</w:t>
            </w:r>
          </w:p>
        </w:tc>
      </w:tr>
    </w:tbl>
    <w:p w14:paraId="742410CA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3B4FA"/>
    <w:multiLevelType w:val="singleLevel"/>
    <w:tmpl w:val="8073B4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3FF9263"/>
    <w:multiLevelType w:val="multilevel"/>
    <w:tmpl w:val="B3FF92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4">
    <w:nsid w:val="B77FE214"/>
    <w:multiLevelType w:val="multilevel"/>
    <w:tmpl w:val="B77FE2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7BE03F7"/>
    <w:multiLevelType w:val="multilevel"/>
    <w:tmpl w:val="B7BE03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7">
    <w:nsid w:val="B87CF815"/>
    <w:multiLevelType w:val="singleLevel"/>
    <w:tmpl w:val="B87CF8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7EBDAEF"/>
    <w:multiLevelType w:val="singleLevel"/>
    <w:tmpl w:val="D7EBDA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B6C6690"/>
    <w:multiLevelType w:val="singleLevel"/>
    <w:tmpl w:val="DB6C66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DE40DBA"/>
    <w:multiLevelType w:val="singleLevel"/>
    <w:tmpl w:val="DDE40D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EB64429"/>
    <w:multiLevelType w:val="multilevel"/>
    <w:tmpl w:val="DEB644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DFD7BC0A"/>
    <w:multiLevelType w:val="singleLevel"/>
    <w:tmpl w:val="DFD7BC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FFBD428"/>
    <w:multiLevelType w:val="singleLevel"/>
    <w:tmpl w:val="DFFBD4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36F1055"/>
    <w:multiLevelType w:val="singleLevel"/>
    <w:tmpl w:val="E36F10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6">
    <w:nsid w:val="F736518C"/>
    <w:multiLevelType w:val="singleLevel"/>
    <w:tmpl w:val="F73651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7FE31E9"/>
    <w:multiLevelType w:val="singleLevel"/>
    <w:tmpl w:val="F7FE31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BFA1731"/>
    <w:multiLevelType w:val="multilevel"/>
    <w:tmpl w:val="FBFA17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0">
    <w:nsid w:val="FEF6F271"/>
    <w:multiLevelType w:val="singleLevel"/>
    <w:tmpl w:val="FEF6F2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F3E3945"/>
    <w:multiLevelType w:val="singleLevel"/>
    <w:tmpl w:val="FF3E39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9A4521"/>
    <w:multiLevelType w:val="singleLevel"/>
    <w:tmpl w:val="FF9A45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5">
    <w:nsid w:val="FFF75B9B"/>
    <w:multiLevelType w:val="singleLevel"/>
    <w:tmpl w:val="FFF75B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9">
    <w:nsid w:val="2DCDE32E"/>
    <w:multiLevelType w:val="multilevel"/>
    <w:tmpl w:val="2DCDE3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0">
    <w:nsid w:val="5A7CAAE0"/>
    <w:multiLevelType w:val="singleLevel"/>
    <w:tmpl w:val="5A7CAA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5EDC7374"/>
    <w:multiLevelType w:val="multilevel"/>
    <w:tmpl w:val="5EDC73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2">
    <w:nsid w:val="5FDBBF49"/>
    <w:multiLevelType w:val="multilevel"/>
    <w:tmpl w:val="5FDBBF4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3">
    <w:nsid w:val="64F6D3A3"/>
    <w:multiLevelType w:val="multilevel"/>
    <w:tmpl w:val="64F6D3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4">
    <w:nsid w:val="6F656819"/>
    <w:multiLevelType w:val="multilevel"/>
    <w:tmpl w:val="6F6568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5">
    <w:nsid w:val="6FF1EA7B"/>
    <w:multiLevelType w:val="singleLevel"/>
    <w:tmpl w:val="6FF1EA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7">
    <w:nsid w:val="76627BA5"/>
    <w:multiLevelType w:val="singleLevel"/>
    <w:tmpl w:val="76627B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77FD7AB0"/>
    <w:multiLevelType w:val="multilevel"/>
    <w:tmpl w:val="77FD7A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9">
    <w:nsid w:val="7AFAABDA"/>
    <w:multiLevelType w:val="multilevel"/>
    <w:tmpl w:val="7AFAAB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0">
    <w:nsid w:val="7EF77B3E"/>
    <w:multiLevelType w:val="singleLevel"/>
    <w:tmpl w:val="7EF77B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2">
    <w:nsid w:val="7EFF36D7"/>
    <w:multiLevelType w:val="singleLevel"/>
    <w:tmpl w:val="7EFF36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7FF8E40E"/>
    <w:multiLevelType w:val="multilevel"/>
    <w:tmpl w:val="7FF8E4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4">
    <w:nsid w:val="7FFA3AF1"/>
    <w:multiLevelType w:val="multilevel"/>
    <w:tmpl w:val="7FFA3A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num w:numId="1">
    <w:abstractNumId w:val="28"/>
  </w:num>
  <w:num w:numId="2">
    <w:abstractNumId w:val="41"/>
  </w:num>
  <w:num w:numId="3">
    <w:abstractNumId w:val="2"/>
  </w:num>
  <w:num w:numId="4">
    <w:abstractNumId w:val="26"/>
  </w:num>
  <w:num w:numId="5">
    <w:abstractNumId w:val="19"/>
  </w:num>
  <w:num w:numId="6">
    <w:abstractNumId w:val="36"/>
  </w:num>
  <w:num w:numId="7">
    <w:abstractNumId w:val="15"/>
  </w:num>
  <w:num w:numId="8">
    <w:abstractNumId w:val="27"/>
  </w:num>
  <w:num w:numId="9">
    <w:abstractNumId w:val="23"/>
  </w:num>
  <w:num w:numId="10">
    <w:abstractNumId w:val="24"/>
  </w:num>
  <w:num w:numId="11">
    <w:abstractNumId w:val="5"/>
  </w:num>
  <w:num w:numId="12">
    <w:abstractNumId w:val="1"/>
  </w:num>
  <w:num w:numId="13">
    <w:abstractNumId w:val="30"/>
  </w:num>
  <w:num w:numId="14">
    <w:abstractNumId w:val="20"/>
  </w:num>
  <w:num w:numId="15">
    <w:abstractNumId w:val="10"/>
  </w:num>
  <w:num w:numId="16">
    <w:abstractNumId w:val="8"/>
  </w:num>
  <w:num w:numId="17">
    <w:abstractNumId w:val="37"/>
  </w:num>
  <w:num w:numId="18">
    <w:abstractNumId w:val="17"/>
  </w:num>
  <w:num w:numId="19">
    <w:abstractNumId w:val="7"/>
  </w:num>
  <w:num w:numId="20">
    <w:abstractNumId w:val="42"/>
  </w:num>
  <w:num w:numId="21">
    <w:abstractNumId w:val="21"/>
  </w:num>
  <w:num w:numId="22">
    <w:abstractNumId w:val="0"/>
  </w:num>
  <w:num w:numId="23">
    <w:abstractNumId w:val="13"/>
  </w:num>
  <w:num w:numId="24">
    <w:abstractNumId w:val="22"/>
  </w:num>
  <w:num w:numId="25">
    <w:abstractNumId w:val="25"/>
  </w:num>
  <w:num w:numId="26">
    <w:abstractNumId w:val="14"/>
  </w:num>
  <w:num w:numId="27">
    <w:abstractNumId w:val="12"/>
  </w:num>
  <w:num w:numId="28">
    <w:abstractNumId w:val="40"/>
  </w:num>
  <w:num w:numId="29">
    <w:abstractNumId w:val="6"/>
  </w:num>
  <w:num w:numId="30">
    <w:abstractNumId w:val="44"/>
  </w:num>
  <w:num w:numId="31">
    <w:abstractNumId w:val="31"/>
  </w:num>
  <w:num w:numId="32">
    <w:abstractNumId w:val="29"/>
  </w:num>
  <w:num w:numId="33">
    <w:abstractNumId w:val="3"/>
  </w:num>
  <w:num w:numId="34">
    <w:abstractNumId w:val="4"/>
  </w:num>
  <w:num w:numId="35">
    <w:abstractNumId w:val="18"/>
  </w:num>
  <w:num w:numId="36">
    <w:abstractNumId w:val="34"/>
  </w:num>
  <w:num w:numId="37">
    <w:abstractNumId w:val="9"/>
  </w:num>
  <w:num w:numId="38">
    <w:abstractNumId w:val="16"/>
  </w:num>
  <w:num w:numId="39">
    <w:abstractNumId w:val="35"/>
  </w:num>
  <w:num w:numId="40">
    <w:abstractNumId w:val="43"/>
  </w:num>
  <w:num w:numId="41">
    <w:abstractNumId w:val="33"/>
  </w:num>
  <w:num w:numId="42">
    <w:abstractNumId w:val="32"/>
  </w:num>
  <w:num w:numId="43">
    <w:abstractNumId w:val="39"/>
  </w:num>
  <w:num w:numId="44">
    <w:abstractNumId w:val="11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5F8BD1F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ABFC9A63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2025-10-06T19:43:06Z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372A347AF80CA27E4AABE3684044F5E8_43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